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黑体" w:hAnsi="黑体" w:eastAsia="黑体"/>
          <w:sz w:val="32"/>
          <w:szCs w:val="32"/>
        </w:rPr>
      </w:pPr>
      <w:r>
        <w:rPr>
          <w:rFonts w:hint="eastAsia" w:ascii="黑体" w:hAnsi="黑体" w:eastAsia="黑体"/>
          <w:sz w:val="32"/>
          <w:szCs w:val="32"/>
        </w:rPr>
        <w:t>目 录</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第一部分 2022年度部门预算情况说明</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一、部门情况</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二、收入预算说明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三、支出预算说明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四、部门“三公”经费财政拨款预算说明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五、其他情况说明</w:t>
      </w:r>
    </w:p>
    <w:p>
      <w:pPr>
        <w:widowControl/>
        <w:numPr>
          <w:ilvl w:val="0"/>
          <w:numId w:val="1"/>
        </w:numPr>
        <w:spacing w:line="560" w:lineRule="exact"/>
        <w:ind w:left="640" w:firstLine="0" w:firstLineChars="0"/>
        <w:jc w:val="left"/>
        <w:rPr>
          <w:rFonts w:hint="eastAsia" w:ascii="仿宋_GB2312" w:hAnsi="仿宋" w:eastAsia="仿宋_GB2312"/>
          <w:sz w:val="32"/>
          <w:szCs w:val="32"/>
        </w:rPr>
      </w:pPr>
      <w:r>
        <w:rPr>
          <w:rFonts w:hint="eastAsia" w:ascii="仿宋_GB2312" w:hAnsi="仿宋" w:eastAsia="仿宋_GB2312"/>
          <w:sz w:val="32"/>
          <w:szCs w:val="32"/>
        </w:rPr>
        <w:t>部门政府采购预算说明</w:t>
      </w:r>
    </w:p>
    <w:p>
      <w:pPr>
        <w:widowControl/>
        <w:numPr>
          <w:ilvl w:val="0"/>
          <w:numId w:val="2"/>
        </w:numPr>
        <w:spacing w:line="560" w:lineRule="exact"/>
        <w:ind w:left="640" w:firstLine="0" w:firstLineChars="0"/>
        <w:jc w:val="left"/>
        <w:rPr>
          <w:rFonts w:hint="eastAsia" w:ascii="仿宋_GB2312" w:hAnsi="仿宋" w:eastAsia="仿宋_GB2312"/>
          <w:sz w:val="32"/>
          <w:szCs w:val="32"/>
        </w:rPr>
      </w:pPr>
      <w:r>
        <w:rPr>
          <w:rFonts w:hint="eastAsia" w:ascii="仿宋_GB2312" w:hAnsi="仿宋" w:eastAsia="仿宋_GB2312"/>
          <w:sz w:val="32"/>
          <w:szCs w:val="32"/>
        </w:rPr>
        <w:t>政府购买服务预算说明</w:t>
      </w:r>
    </w:p>
    <w:p>
      <w:pPr>
        <w:widowControl/>
        <w:numPr>
          <w:ilvl w:val="0"/>
          <w:numId w:val="3"/>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机关运行经费情况说明</w:t>
      </w:r>
    </w:p>
    <w:p>
      <w:pPr>
        <w:widowControl/>
        <w:numPr>
          <w:ilvl w:val="0"/>
          <w:numId w:val="4"/>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项目支出绩效目标情况说明</w:t>
      </w:r>
    </w:p>
    <w:p>
      <w:pPr>
        <w:widowControl/>
        <w:numPr>
          <w:ilvl w:val="0"/>
          <w:numId w:val="5"/>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重点行政事业性收费情况说明</w:t>
      </w:r>
    </w:p>
    <w:p>
      <w:pPr>
        <w:widowControl/>
        <w:numPr>
          <w:ilvl w:val="0"/>
          <w:numId w:val="6"/>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国有资本经营预算财政拨款情况说明</w:t>
      </w:r>
    </w:p>
    <w:p>
      <w:pPr>
        <w:widowControl/>
        <w:numPr>
          <w:ilvl w:val="0"/>
          <w:numId w:val="7"/>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固定资产占有使用情况说明</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（八）其他事项说明</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六、名词解释</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第二部</w:t>
      </w:r>
      <w:r>
        <w:rPr>
          <w:rFonts w:hint="eastAsia" w:ascii="仿宋_GB2312" w:hAnsi="仿宋" w:eastAsia="仿宋_GB2312"/>
          <w:sz w:val="32"/>
          <w:szCs w:val="32"/>
          <w:lang w:eastAsia="zh-CN"/>
        </w:rPr>
        <w:t>分</w:t>
      </w:r>
      <w:r>
        <w:rPr>
          <w:rFonts w:hint="eastAsia" w:ascii="仿宋_GB2312" w:hAnsi="仿宋" w:eastAsia="仿宋_GB2312"/>
          <w:sz w:val="32"/>
          <w:szCs w:val="32"/>
        </w:rPr>
        <w:t xml:space="preserve">  2022年部门预算报表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一、收支总表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二、收入总表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三、支出总表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四、项目支出表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五、政府采购预算明细表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六、财拨总表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七、一般公共预算财政拨款支出表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八、一般公共预算财政拨款基本支出表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九、政府性基金预算财政拨款支出表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十、国有资本经营预算财政拨款支出表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十一、“三公”经费支出表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十二、政府购买服务预算财政拨款明细表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十三、项目支出绩效表</w:t>
      </w:r>
    </w:p>
    <w:p>
      <w:pPr>
        <w:widowControl/>
        <w:spacing w:line="560" w:lineRule="exact"/>
        <w:jc w:val="left"/>
        <w:rPr>
          <w:rFonts w:hint="eastAsia" w:ascii="仿宋_GB2312" w:hAnsi="仿宋" w:eastAsia="仿宋_GB2312"/>
          <w:sz w:val="32"/>
          <w:szCs w:val="32"/>
        </w:rPr>
      </w:pPr>
      <w:r>
        <w:rPr>
          <w:rFonts w:hint="eastAsia" w:ascii="仿宋_GB2312" w:hAnsi="仿宋" w:eastAsia="仿宋_GB2312"/>
          <w:sz w:val="32"/>
          <w:szCs w:val="32"/>
        </w:rPr>
        <w:t>十四、部门整体支出绩效目标申报表</w:t>
      </w:r>
    </w:p>
    <w:p>
      <w:pPr>
        <w:widowControl/>
        <w:spacing w:line="560" w:lineRule="exact"/>
        <w:jc w:val="left"/>
        <w:rPr>
          <w:rFonts w:hint="eastAsia" w:ascii="仿宋_GB2312" w:hAnsi="仿宋" w:eastAsia="仿宋_GB2312"/>
          <w:sz w:val="32"/>
          <w:szCs w:val="32"/>
        </w:rPr>
      </w:pPr>
    </w:p>
    <w:p>
      <w:pPr>
        <w:widowControl/>
        <w:numPr>
          <w:ilvl w:val="0"/>
          <w:numId w:val="8"/>
        </w:numPr>
        <w:adjustRightInd w:val="0"/>
        <w:spacing w:line="560" w:lineRule="exact"/>
        <w:jc w:val="center"/>
        <w:rPr>
          <w:rFonts w:hint="eastAsia" w:ascii="仿宋_GB2312" w:hAnsi="宋体" w:eastAsia="仿宋_GB2312" w:cs="宋体"/>
          <w:b/>
          <w:bCs/>
          <w:color w:val="000000"/>
          <w:spacing w:val="15"/>
          <w:kern w:val="0"/>
          <w:sz w:val="32"/>
          <w:szCs w:val="32"/>
        </w:rPr>
      </w:pPr>
      <w:r>
        <w:rPr>
          <w:rFonts w:hint="eastAsia" w:ascii="仿宋_GB2312" w:hAnsi="宋体" w:eastAsia="仿宋_GB2312" w:cs="宋体"/>
          <w:b/>
          <w:bCs/>
          <w:color w:val="000000"/>
          <w:spacing w:val="15"/>
          <w:kern w:val="0"/>
          <w:sz w:val="32"/>
          <w:szCs w:val="32"/>
        </w:rPr>
        <w:t>2022年部门预算情况说明</w:t>
      </w:r>
    </w:p>
    <w:p>
      <w:pPr>
        <w:widowControl/>
        <w:numPr>
          <w:ilvl w:val="0"/>
          <w:numId w:val="0"/>
        </w:numPr>
        <w:adjustRightInd w:val="0"/>
        <w:spacing w:line="560" w:lineRule="exact"/>
        <w:jc w:val="both"/>
        <w:rPr>
          <w:rFonts w:hint="eastAsia" w:ascii="仿宋_GB2312" w:hAnsi="宋体" w:eastAsia="仿宋_GB2312" w:cs="宋体"/>
          <w:b/>
          <w:bCs/>
          <w:color w:val="000000"/>
          <w:spacing w:val="15"/>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（一）部门机构设置、职责</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北京市丰台区园林绿化局长辛店二七公园管理</w:t>
      </w:r>
      <w:r>
        <w:rPr>
          <w:rFonts w:hint="eastAsia" w:ascii="仿宋_GB2312" w:hAnsi="宋体" w:eastAsia="仿宋_GB2312" w:cs="宋体"/>
          <w:color w:val="000000"/>
          <w:spacing w:val="15"/>
          <w:kern w:val="0"/>
          <w:sz w:val="32"/>
          <w:szCs w:val="32"/>
          <w:highlight w:val="none"/>
          <w:lang w:eastAsia="zh-CN"/>
        </w:rPr>
        <w:t>处</w:t>
      </w:r>
      <w:r>
        <w:rPr>
          <w:rFonts w:hint="eastAsia" w:ascii="仿宋_GB2312" w:hAnsi="宋体" w:eastAsia="仿宋_GB2312" w:cs="宋体"/>
          <w:color w:val="000000"/>
          <w:spacing w:val="15"/>
          <w:kern w:val="0"/>
          <w:sz w:val="32"/>
          <w:szCs w:val="32"/>
          <w:highlight w:val="none"/>
        </w:rPr>
        <w:t>职能主要为：</w:t>
      </w:r>
    </w:p>
    <w:p>
      <w:pPr>
        <w:widowControl/>
        <w:numPr>
          <w:ilvl w:val="0"/>
          <w:numId w:val="9"/>
        </w:numPr>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lang w:eastAsia="zh-CN"/>
        </w:rPr>
      </w:pPr>
      <w:r>
        <w:rPr>
          <w:rFonts w:hint="eastAsia" w:ascii="仿宋_GB2312" w:hAnsi="宋体" w:eastAsia="仿宋_GB2312" w:cs="宋体"/>
          <w:color w:val="000000"/>
          <w:spacing w:val="15"/>
          <w:kern w:val="0"/>
          <w:sz w:val="32"/>
          <w:szCs w:val="32"/>
          <w:highlight w:val="none"/>
        </w:rPr>
        <w:t>提供休闲场所</w:t>
      </w:r>
      <w:r>
        <w:rPr>
          <w:rFonts w:hint="eastAsia" w:ascii="仿宋_GB2312" w:hAnsi="宋体" w:eastAsia="仿宋_GB2312" w:cs="宋体"/>
          <w:color w:val="000000"/>
          <w:spacing w:val="15"/>
          <w:kern w:val="0"/>
          <w:sz w:val="32"/>
          <w:szCs w:val="32"/>
          <w:highlight w:val="none"/>
          <w:lang w:eastAsia="zh-CN"/>
        </w:rPr>
        <w:t>；</w:t>
      </w:r>
    </w:p>
    <w:p>
      <w:pPr>
        <w:widowControl/>
        <w:numPr>
          <w:ilvl w:val="0"/>
          <w:numId w:val="9"/>
        </w:numPr>
        <w:adjustRightInd w:val="0"/>
        <w:spacing w:line="560" w:lineRule="exact"/>
        <w:ind w:left="0" w:leftChars="0" w:firstLine="700" w:firstLineChars="200"/>
        <w:jc w:val="left"/>
        <w:rPr>
          <w:rFonts w:hint="eastAsia" w:ascii="仿宋_GB2312" w:hAnsi="宋体" w:eastAsia="仿宋_GB2312" w:cs="宋体"/>
          <w:color w:val="000000"/>
          <w:spacing w:val="15"/>
          <w:kern w:val="0"/>
          <w:sz w:val="32"/>
          <w:szCs w:val="32"/>
          <w:highlight w:val="none"/>
          <w:lang w:eastAsia="zh-CN"/>
        </w:rPr>
      </w:pPr>
      <w:r>
        <w:rPr>
          <w:rFonts w:hint="eastAsia" w:ascii="仿宋_GB2312" w:hAnsi="宋体" w:eastAsia="仿宋_GB2312" w:cs="宋体"/>
          <w:color w:val="000000"/>
          <w:spacing w:val="15"/>
          <w:kern w:val="0"/>
          <w:sz w:val="32"/>
          <w:szCs w:val="32"/>
          <w:highlight w:val="none"/>
        </w:rPr>
        <w:t>丰富人民群众文化生活</w:t>
      </w:r>
      <w:r>
        <w:rPr>
          <w:rFonts w:hint="eastAsia" w:ascii="仿宋_GB2312" w:hAnsi="宋体" w:eastAsia="仿宋_GB2312" w:cs="宋体"/>
          <w:color w:val="000000"/>
          <w:spacing w:val="15"/>
          <w:kern w:val="0"/>
          <w:sz w:val="32"/>
          <w:szCs w:val="32"/>
          <w:highlight w:val="none"/>
          <w:lang w:eastAsia="zh-CN"/>
        </w:rPr>
        <w:t>；</w:t>
      </w:r>
    </w:p>
    <w:p>
      <w:pPr>
        <w:widowControl/>
        <w:numPr>
          <w:ilvl w:val="0"/>
          <w:numId w:val="9"/>
        </w:numPr>
        <w:adjustRightInd w:val="0"/>
        <w:spacing w:line="560" w:lineRule="exact"/>
        <w:ind w:left="0" w:leftChars="0" w:firstLine="700" w:firstLineChars="200"/>
        <w:jc w:val="left"/>
        <w:rPr>
          <w:rFonts w:hint="eastAsia" w:ascii="仿宋_GB2312" w:hAnsi="宋体" w:eastAsia="仿宋_GB2312" w:cs="宋体"/>
          <w:color w:val="000000"/>
          <w:spacing w:val="15"/>
          <w:kern w:val="0"/>
          <w:sz w:val="32"/>
          <w:szCs w:val="32"/>
          <w:highlight w:val="none"/>
          <w:lang w:eastAsia="zh-CN"/>
        </w:rPr>
      </w:pPr>
      <w:r>
        <w:rPr>
          <w:rFonts w:hint="eastAsia" w:ascii="仿宋_GB2312" w:hAnsi="宋体" w:eastAsia="仿宋_GB2312" w:cs="宋体"/>
          <w:color w:val="000000"/>
          <w:spacing w:val="15"/>
          <w:kern w:val="0"/>
          <w:sz w:val="32"/>
          <w:szCs w:val="32"/>
          <w:highlight w:val="none"/>
        </w:rPr>
        <w:t>公园绿地管理</w:t>
      </w:r>
      <w:r>
        <w:rPr>
          <w:rFonts w:hint="eastAsia" w:ascii="仿宋_GB2312" w:hAnsi="宋体" w:eastAsia="仿宋_GB2312" w:cs="宋体"/>
          <w:color w:val="000000"/>
          <w:spacing w:val="15"/>
          <w:kern w:val="0"/>
          <w:sz w:val="32"/>
          <w:szCs w:val="32"/>
          <w:highlight w:val="none"/>
          <w:lang w:eastAsia="zh-CN"/>
        </w:rPr>
        <w:t>；</w:t>
      </w:r>
    </w:p>
    <w:p>
      <w:pPr>
        <w:widowControl/>
        <w:numPr>
          <w:ilvl w:val="0"/>
          <w:numId w:val="9"/>
        </w:numPr>
        <w:adjustRightInd w:val="0"/>
        <w:spacing w:line="560" w:lineRule="exact"/>
        <w:ind w:left="0" w:leftChars="0"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公园游览与娱乐项目组织管理；</w:t>
      </w:r>
    </w:p>
    <w:p>
      <w:pPr>
        <w:widowControl/>
        <w:numPr>
          <w:ilvl w:val="0"/>
          <w:numId w:val="0"/>
        </w:numPr>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lang w:val="en-US" w:eastAsia="zh-CN"/>
        </w:rPr>
        <w:t>5、</w:t>
      </w:r>
      <w:r>
        <w:rPr>
          <w:rFonts w:hint="eastAsia" w:ascii="仿宋_GB2312" w:hAnsi="宋体" w:eastAsia="仿宋_GB2312" w:cs="宋体"/>
          <w:color w:val="000000"/>
          <w:spacing w:val="15"/>
          <w:kern w:val="0"/>
          <w:sz w:val="32"/>
          <w:szCs w:val="32"/>
          <w:highlight w:val="none"/>
        </w:rPr>
        <w:t>植物栽培与养护。</w:t>
      </w:r>
    </w:p>
    <w:p>
      <w:pPr>
        <w:tabs>
          <w:tab w:val="center" w:pos="6979"/>
        </w:tabs>
        <w:spacing w:line="580" w:lineRule="exact"/>
        <w:ind w:firstLine="525" w:firstLineChars="150"/>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内设“两室三班”，即：办公室、财务室、园容班、园务班、安保班。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宋体" w:eastAsia="仿宋_GB2312" w:cs="宋体"/>
          <w:color w:val="000000"/>
          <w:spacing w:val="15"/>
          <w:kern w:val="0"/>
          <w:sz w:val="32"/>
          <w:szCs w:val="32"/>
          <w:highlight w:val="none"/>
        </w:rPr>
        <w:t>北京市丰台区园林绿化局长辛店二七公园管理</w:t>
      </w:r>
      <w:r>
        <w:rPr>
          <w:rFonts w:hint="eastAsia" w:ascii="仿宋_GB2312" w:hAnsi="宋体" w:eastAsia="仿宋_GB2312" w:cs="宋体"/>
          <w:color w:val="000000"/>
          <w:spacing w:val="15"/>
          <w:kern w:val="0"/>
          <w:sz w:val="32"/>
          <w:szCs w:val="32"/>
          <w:highlight w:val="none"/>
          <w:lang w:eastAsia="zh-CN"/>
        </w:rPr>
        <w:t>处</w:t>
      </w:r>
      <w:r>
        <w:rPr>
          <w:rFonts w:hint="eastAsia" w:ascii="仿宋_GB2312" w:hAnsi="仿宋" w:eastAsia="仿宋_GB2312"/>
          <w:color w:val="000000"/>
          <w:sz w:val="32"/>
          <w:szCs w:val="32"/>
        </w:rPr>
        <w:t>是北京市丰台区园林绿化局所属事业单位，</w:t>
      </w:r>
      <w:r>
        <w:rPr>
          <w:rFonts w:hint="eastAsia" w:ascii="仿宋_GB2312" w:hAnsi="仿宋" w:eastAsia="仿宋_GB2312"/>
          <w:color w:val="000000"/>
          <w:sz w:val="32"/>
          <w:szCs w:val="32"/>
          <w:lang w:eastAsia="zh-CN"/>
        </w:rPr>
        <w:t>共有</w:t>
      </w:r>
      <w:r>
        <w:rPr>
          <w:rFonts w:hint="default" w:ascii="仿宋_GB2312" w:hAnsi="仿宋_GB2312" w:eastAsia="仿宋_GB2312" w:cs="仿宋_GB2312"/>
          <w:sz w:val="32"/>
          <w:szCs w:val="32"/>
          <w:highlight w:val="none"/>
          <w:lang w:val="en-US" w:eastAsia="zh-CN"/>
        </w:rPr>
        <w:t>事业编制</w:t>
      </w:r>
      <w:r>
        <w:rPr>
          <w:rFonts w:hint="eastAsia" w:ascii="仿宋_GB2312" w:hAnsi="仿宋_GB2312" w:eastAsia="仿宋_GB2312" w:cs="仿宋_GB2312"/>
          <w:sz w:val="32"/>
          <w:szCs w:val="32"/>
          <w:highlight w:val="none"/>
          <w:lang w:val="en-US" w:eastAsia="zh-CN"/>
        </w:rPr>
        <w:t>30</w:t>
      </w:r>
      <w:r>
        <w:rPr>
          <w:rFonts w:hint="default" w:ascii="仿宋_GB2312" w:hAnsi="仿宋_GB2312" w:eastAsia="仿宋_GB2312" w:cs="仿宋_GB2312"/>
          <w:sz w:val="32"/>
          <w:szCs w:val="32"/>
          <w:highlight w:val="none"/>
          <w:lang w:val="en-US" w:eastAsia="zh-CN"/>
        </w:rPr>
        <w:t>人，实际</w:t>
      </w:r>
      <w:r>
        <w:rPr>
          <w:rFonts w:hint="eastAsia" w:ascii="仿宋_GB2312" w:hAnsi="仿宋_GB2312" w:eastAsia="仿宋_GB2312" w:cs="仿宋_GB2312"/>
          <w:sz w:val="32"/>
          <w:szCs w:val="32"/>
          <w:highlight w:val="none"/>
          <w:lang w:val="en-US" w:eastAsia="zh-CN"/>
        </w:rPr>
        <w:t>24</w:t>
      </w:r>
      <w:r>
        <w:rPr>
          <w:rFonts w:hint="default"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离退休人员</w:t>
      </w:r>
      <w:r>
        <w:rPr>
          <w:rFonts w:hint="eastAsia" w:ascii="仿宋_GB2312" w:hAnsi="仿宋_GB2312" w:eastAsia="仿宋_GB2312" w:cs="仿宋_GB2312"/>
          <w:sz w:val="32"/>
          <w:szCs w:val="32"/>
          <w:highlight w:val="none"/>
          <w:lang w:val="en-US" w:eastAsia="zh-CN"/>
        </w:rPr>
        <w:t>44</w:t>
      </w:r>
      <w:r>
        <w:rPr>
          <w:rFonts w:hint="default" w:ascii="仿宋_GB2312" w:hAnsi="仿宋_GB2312" w:eastAsia="仿宋_GB2312" w:cs="仿宋_GB2312"/>
          <w:sz w:val="32"/>
          <w:szCs w:val="32"/>
          <w:highlight w:val="none"/>
          <w:lang w:val="en-US" w:eastAsia="zh-CN"/>
        </w:rPr>
        <w:t>人，其中：退休</w:t>
      </w:r>
      <w:r>
        <w:rPr>
          <w:rFonts w:hint="eastAsia" w:ascii="仿宋_GB2312" w:hAnsi="仿宋_GB2312" w:eastAsia="仿宋_GB2312" w:cs="仿宋_GB2312"/>
          <w:sz w:val="32"/>
          <w:szCs w:val="32"/>
          <w:highlight w:val="none"/>
          <w:lang w:val="en-US" w:eastAsia="zh-CN"/>
        </w:rPr>
        <w:t>44</w:t>
      </w:r>
      <w:r>
        <w:rPr>
          <w:rFonts w:hint="default" w:ascii="仿宋_GB2312" w:hAnsi="仿宋_GB2312" w:eastAsia="仿宋_GB2312" w:cs="仿宋_GB2312"/>
          <w:sz w:val="32"/>
          <w:szCs w:val="32"/>
          <w:highlight w:val="none"/>
          <w:lang w:val="en-US" w:eastAsia="zh-CN"/>
        </w:rPr>
        <w:t>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（三）本预算年度的主要工作任务</w:t>
      </w:r>
    </w:p>
    <w:p>
      <w:pPr>
        <w:pStyle w:val="2"/>
        <w:keepNext w:val="0"/>
        <w:keepLines w:val="0"/>
        <w:widowControl/>
        <w:suppressLineNumbers w:val="0"/>
        <w:shd w:val="clear" w:color="auto" w:fill="FFFFFF"/>
        <w:wordWrap/>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1、事业单位人员工资、社会保险、住房公积金、住房补贴；</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2、园内日常绿化养护，为游人提供优美的游园景观；</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3、园内基础设施、设备的维修维护工作；</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4、定期清掏化粪池、清运垃圾等卫生保洁工作，为游人提供干净、整洁的游园环境；</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5、园内安全维稳工作；</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6、做好防疫保障工作，做到防疫措施常态化；</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7、做好清明、9.30等重要活动保障工作，传承红色精神，发挥爱国主义教育基地的宣传作用；</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8、公园的建设和管理；</w:t>
      </w:r>
      <w:r>
        <w:rPr>
          <w:rFonts w:hint="eastAsia" w:ascii="仿宋_GB2312" w:hAnsi="仿宋_GB2312" w:eastAsia="仿宋_GB2312" w:cs="仿宋_GB2312"/>
          <w:color w:val="auto"/>
          <w:kern w:val="2"/>
          <w:sz w:val="32"/>
          <w:szCs w:val="32"/>
          <w:highlight w:val="none"/>
          <w:lang w:val="en-US" w:eastAsia="zh-CN" w:bidi="ar-SA"/>
        </w:rPr>
        <w:br w:type="textWrapping"/>
      </w:r>
      <w:r>
        <w:rPr>
          <w:rFonts w:hint="eastAsia" w:ascii="仿宋_GB2312" w:hAnsi="仿宋_GB2312" w:eastAsia="仿宋_GB2312" w:cs="仿宋_GB2312"/>
          <w:color w:val="auto"/>
          <w:kern w:val="2"/>
          <w:sz w:val="32"/>
          <w:szCs w:val="32"/>
          <w:highlight w:val="none"/>
          <w:lang w:val="en-US" w:eastAsia="zh-CN" w:bidi="ar-SA"/>
        </w:rPr>
        <w:t xml:space="preserve">    9、完成其他临时性工作。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二、收入预算说明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2022年收入预算</w:t>
      </w:r>
      <w:r>
        <w:rPr>
          <w:rFonts w:hint="eastAsia" w:ascii="仿宋_GB2312" w:hAnsi="仿宋_GB2312" w:eastAsia="仿宋_GB2312" w:cs="仿宋_GB2312"/>
          <w:sz w:val="32"/>
          <w:szCs w:val="32"/>
          <w:highlight w:val="none"/>
          <w:lang w:val="en-US" w:eastAsia="zh-CN"/>
        </w:rPr>
        <w:t>1168.718746</w:t>
      </w:r>
      <w:r>
        <w:rPr>
          <w:rFonts w:hint="default" w:ascii="仿宋_GB2312" w:hAnsi="仿宋_GB2312" w:eastAsia="仿宋_GB2312" w:cs="仿宋_GB2312"/>
          <w:sz w:val="32"/>
          <w:szCs w:val="32"/>
          <w:highlight w:val="none"/>
          <w:lang w:val="en-US" w:eastAsia="zh-CN"/>
        </w:rPr>
        <w:t>万元，比2021年1338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404766万元</w:t>
      </w:r>
      <w:r>
        <w:rPr>
          <w:rFonts w:hint="eastAsia" w:ascii="仿宋_GB2312" w:hAnsi="仿宋_GB2312" w:eastAsia="仿宋_GB2312" w:cs="仿宋_GB2312"/>
          <w:sz w:val="32"/>
          <w:szCs w:val="32"/>
          <w:highlight w:val="none"/>
          <w:lang w:val="en-US" w:eastAsia="zh-CN"/>
        </w:rPr>
        <w:t>减少169.68602</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减少12.68</w:t>
      </w:r>
      <w:r>
        <w:rPr>
          <w:rFonts w:hint="default" w:ascii="仿宋_GB2312" w:hAnsi="仿宋_GB2312" w:eastAsia="仿宋_GB2312" w:cs="仿宋_GB2312"/>
          <w:sz w:val="32"/>
          <w:szCs w:val="32"/>
          <w:highlight w:val="none"/>
          <w:lang w:val="en-US" w:eastAsia="zh-CN"/>
        </w:rPr>
        <w:t>%。其中：本年财政拨款收入</w:t>
      </w:r>
      <w:r>
        <w:rPr>
          <w:rFonts w:hint="eastAsia" w:ascii="仿宋_GB2312" w:hAnsi="仿宋_GB2312" w:eastAsia="仿宋_GB2312" w:cs="仿宋_GB2312"/>
          <w:sz w:val="32"/>
          <w:szCs w:val="32"/>
          <w:highlight w:val="none"/>
          <w:lang w:val="en-US" w:eastAsia="zh-CN"/>
        </w:rPr>
        <w:t>1168.718746</w:t>
      </w:r>
      <w:r>
        <w:rPr>
          <w:rFonts w:hint="default" w:ascii="仿宋_GB2312" w:hAnsi="仿宋_GB2312" w:eastAsia="仿宋_GB2312" w:cs="仿宋_GB2312"/>
          <w:sz w:val="32"/>
          <w:szCs w:val="32"/>
          <w:highlight w:val="none"/>
          <w:lang w:val="en-US" w:eastAsia="zh-CN"/>
        </w:rPr>
        <w:t>万元,比2021年1338</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404766万元</w:t>
      </w:r>
      <w:r>
        <w:rPr>
          <w:rFonts w:hint="eastAsia" w:ascii="仿宋_GB2312" w:hAnsi="仿宋_GB2312" w:eastAsia="仿宋_GB2312" w:cs="仿宋_GB2312"/>
          <w:sz w:val="32"/>
          <w:szCs w:val="32"/>
          <w:highlight w:val="none"/>
          <w:lang w:val="en-US" w:eastAsia="zh-CN"/>
        </w:rPr>
        <w:t>减少169.68602</w:t>
      </w:r>
      <w:r>
        <w:rPr>
          <w:rFonts w:hint="default" w:ascii="仿宋_GB2312" w:hAnsi="仿宋_GB2312" w:eastAsia="仿宋_GB2312" w:cs="仿宋_GB2312"/>
          <w:sz w:val="32"/>
          <w:szCs w:val="32"/>
          <w:highlight w:val="none"/>
          <w:lang w:val="en-US" w:eastAsia="zh-CN"/>
        </w:rPr>
        <w:t>万元；本年其他资金收入</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万元,比2021年</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万元与2021年持平；上年结转结余资金</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万元,比2021年</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万元与2021年持平。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三、支出预算说明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（一）基本支出预算</w:t>
      </w:r>
      <w:r>
        <w:rPr>
          <w:rFonts w:hint="eastAsia" w:ascii="仿宋_GB2312" w:hAnsi="仿宋_GB2312" w:eastAsia="仿宋_GB2312" w:cs="仿宋_GB2312"/>
          <w:sz w:val="32"/>
          <w:szCs w:val="32"/>
          <w:highlight w:val="none"/>
          <w:lang w:val="en-US" w:eastAsia="zh-CN"/>
        </w:rPr>
        <w:t>741.358746</w:t>
      </w:r>
      <w:r>
        <w:rPr>
          <w:rFonts w:hint="default" w:ascii="仿宋_GB2312" w:hAnsi="仿宋_GB2312" w:eastAsia="仿宋_GB2312" w:cs="仿宋_GB2312"/>
          <w:sz w:val="32"/>
          <w:szCs w:val="32"/>
          <w:highlight w:val="none"/>
          <w:lang w:val="en-US" w:eastAsia="zh-CN"/>
        </w:rPr>
        <w:t>万元，占总支出预算</w:t>
      </w:r>
      <w:r>
        <w:rPr>
          <w:rFonts w:hint="eastAsia" w:ascii="仿宋_GB2312" w:hAnsi="仿宋_GB2312" w:eastAsia="仿宋_GB2312" w:cs="仿宋_GB2312"/>
          <w:sz w:val="32"/>
          <w:szCs w:val="32"/>
          <w:highlight w:val="none"/>
          <w:lang w:val="en-US" w:eastAsia="zh-CN"/>
        </w:rPr>
        <w:t>63.43</w:t>
      </w:r>
      <w:r>
        <w:rPr>
          <w:rFonts w:hint="default" w:ascii="仿宋_GB2312" w:hAnsi="仿宋_GB2312" w:eastAsia="仿宋_GB2312" w:cs="仿宋_GB2312"/>
          <w:sz w:val="32"/>
          <w:szCs w:val="32"/>
          <w:highlight w:val="none"/>
          <w:lang w:val="en-US" w:eastAsia="zh-CN"/>
        </w:rPr>
        <w:t>%，比2021年</w:t>
      </w:r>
      <w:r>
        <w:rPr>
          <w:rFonts w:hint="eastAsia" w:ascii="仿宋_GB2312" w:hAnsi="仿宋_GB2312" w:eastAsia="仿宋_GB2312" w:cs="仿宋_GB2312"/>
          <w:sz w:val="32"/>
          <w:szCs w:val="32"/>
          <w:highlight w:val="none"/>
          <w:lang w:val="en-US" w:eastAsia="zh-CN"/>
        </w:rPr>
        <w:t>882.4427</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减少141.083954</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减少15.99</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，减少原因：2022年预算人数比2021年预算人数减少3人，因此相应的工资、社会保险、日常公用等经费均相应减少</w:t>
      </w:r>
      <w:r>
        <w:rPr>
          <w:rFonts w:hint="default"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（二）项目支出预算</w:t>
      </w:r>
      <w:r>
        <w:rPr>
          <w:rFonts w:hint="eastAsia" w:ascii="仿宋_GB2312" w:hAnsi="仿宋_GB2312" w:eastAsia="仿宋_GB2312" w:cs="仿宋_GB2312"/>
          <w:sz w:val="32"/>
          <w:szCs w:val="32"/>
          <w:highlight w:val="none"/>
          <w:lang w:val="en-US" w:eastAsia="zh-CN"/>
        </w:rPr>
        <w:t>427.36</w:t>
      </w:r>
      <w:r>
        <w:rPr>
          <w:rFonts w:hint="default" w:ascii="仿宋_GB2312" w:hAnsi="仿宋_GB2312" w:eastAsia="仿宋_GB2312" w:cs="仿宋_GB2312"/>
          <w:sz w:val="32"/>
          <w:szCs w:val="32"/>
          <w:highlight w:val="none"/>
          <w:lang w:val="en-US" w:eastAsia="zh-CN"/>
        </w:rPr>
        <w:t>万元，比2021年</w:t>
      </w:r>
      <w:r>
        <w:rPr>
          <w:rFonts w:hint="eastAsia" w:ascii="仿宋_GB2312" w:hAnsi="仿宋_GB2312" w:eastAsia="仿宋_GB2312" w:cs="仿宋_GB2312"/>
          <w:sz w:val="32"/>
          <w:szCs w:val="32"/>
          <w:highlight w:val="none"/>
          <w:lang w:val="en-US" w:eastAsia="zh-CN"/>
        </w:rPr>
        <w:t>455.962066</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减少28.602066</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减少6.27</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减少原因：1、2021年项目已完工，如“长辛店二七公园循环水处理系统更新改造工程”等项目；2、项目金额按政策进行了金额调整，如“机构运转经费”、“长辛店二七公园红色主题教育活动保障经费”</w:t>
      </w:r>
      <w:r>
        <w:rPr>
          <w:rFonts w:hint="default" w:ascii="仿宋_GB2312" w:hAnsi="仿宋_GB2312" w:eastAsia="仿宋_GB2312" w:cs="仿宋_GB2312"/>
          <w:sz w:val="32"/>
          <w:szCs w:val="32"/>
          <w:highlight w:val="none"/>
          <w:lang w:val="en-US" w:eastAsia="zh-CN"/>
        </w:rPr>
        <w:t>。部门预算项目主要为</w:t>
      </w:r>
      <w:r>
        <w:rPr>
          <w:rFonts w:hint="eastAsia" w:ascii="仿宋_GB2312" w:hAnsi="仿宋_GB2312" w:eastAsia="仿宋_GB2312" w:cs="仿宋_GB2312"/>
          <w:sz w:val="32"/>
          <w:szCs w:val="32"/>
          <w:highlight w:val="none"/>
          <w:lang w:val="en-US" w:eastAsia="zh-CN"/>
        </w:rPr>
        <w:t>：长辛店二七公园卫生维护费、长辛店二七公园红色主题教育活动保障经费、机构运转经费、长辛店二七公园水电费、长辛店二七公园设施维护经费、长辛店二七公园绿地养护项目经费、信息系统运维类项目、长辛店二七公园东北坡除险防护工程（二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（三）事业单位经营支出</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（四）上缴上级支出</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（五）对附属单位补助支出</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四、部门“三公”经费财政拨款预算说明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（一）“三公”经费的单位范围</w:t>
      </w:r>
    </w:p>
    <w:p>
      <w:pPr>
        <w:ind w:firstLine="640" w:firstLineChars="200"/>
        <w:rPr>
          <w:rFonts w:hint="default" w:ascii="仿宋_GB2312" w:hAnsi="仿宋_GB2312" w:eastAsia="仿宋_GB2312" w:cs="仿宋_GB2312"/>
          <w:color w:val="FF0000"/>
          <w:sz w:val="32"/>
          <w:szCs w:val="32"/>
          <w:highlight w:val="none"/>
          <w:lang w:val="en-US" w:eastAsia="zh-CN"/>
        </w:rPr>
      </w:pPr>
      <w:r>
        <w:rPr>
          <w:rFonts w:hint="eastAsia" w:ascii="仿宋_GB2312" w:eastAsia="仿宋_GB2312"/>
          <w:sz w:val="32"/>
          <w:szCs w:val="32"/>
        </w:rPr>
        <w:t>北京市丰台区园林绿化局长辛店二七公园管理</w:t>
      </w:r>
      <w:r>
        <w:rPr>
          <w:rFonts w:hint="eastAsia" w:ascii="仿宋_GB2312" w:eastAsia="仿宋_GB2312"/>
          <w:sz w:val="32"/>
          <w:szCs w:val="32"/>
          <w:lang w:eastAsia="zh-CN"/>
        </w:rPr>
        <w:t>处“三公”经费</w:t>
      </w:r>
      <w:r>
        <w:rPr>
          <w:rFonts w:hint="eastAsia" w:ascii="仿宋_GB2312" w:eastAsia="仿宋_GB2312"/>
          <w:sz w:val="32"/>
          <w:szCs w:val="32"/>
        </w:rPr>
        <w:t>支出包括：1、因公出国（境）费用；2、公务接待费；3、公务用车购置和运行维护费。</w:t>
      </w:r>
    </w:p>
    <w:p>
      <w:pPr>
        <w:keepNext w:val="0"/>
        <w:keepLines w:val="0"/>
        <w:pageBreakBefore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“三公”经费财政拨款情况说明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2022年“三公”经费财政拨款预算</w:t>
      </w:r>
      <w:r>
        <w:rPr>
          <w:rFonts w:hint="eastAsia" w:ascii="仿宋_GB2312" w:hAnsi="仿宋_GB2312" w:eastAsia="仿宋_GB2312" w:cs="仿宋_GB2312"/>
          <w:sz w:val="32"/>
          <w:szCs w:val="32"/>
          <w:highlight w:val="none"/>
          <w:lang w:val="en-US" w:eastAsia="zh-CN"/>
        </w:rPr>
        <w:t>5.4</w:t>
      </w:r>
      <w:r>
        <w:rPr>
          <w:rFonts w:hint="default" w:ascii="仿宋_GB2312" w:hAnsi="仿宋_GB2312" w:eastAsia="仿宋_GB2312" w:cs="仿宋_GB2312"/>
          <w:sz w:val="32"/>
          <w:szCs w:val="32"/>
          <w:highlight w:val="none"/>
          <w:lang w:val="en-US" w:eastAsia="zh-CN"/>
        </w:rPr>
        <w:t>万元，比2021年“三公”经费财政拨款预算减少</w:t>
      </w:r>
      <w:r>
        <w:rPr>
          <w:rFonts w:hint="eastAsia" w:ascii="仿宋_GB2312" w:hAnsi="仿宋_GB2312" w:eastAsia="仿宋_GB2312" w:cs="仿宋_GB2312"/>
          <w:sz w:val="32"/>
          <w:szCs w:val="32"/>
          <w:highlight w:val="none"/>
          <w:lang w:val="en-US" w:eastAsia="zh-CN"/>
        </w:rPr>
        <w:t>0.54</w:t>
      </w:r>
      <w:r>
        <w:rPr>
          <w:rFonts w:hint="default" w:ascii="仿宋_GB2312" w:hAnsi="仿宋_GB2312" w:eastAsia="仿宋_GB2312" w:cs="仿宋_GB2312"/>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1.因公出国（境）费用。2022年预算数</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万元，比2021年预算数</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万元与2021年持平。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2.公务接待费。2022年预算数</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万元，比2021年预算数</w:t>
      </w:r>
      <w:r>
        <w:rPr>
          <w:rFonts w:hint="eastAsia" w:ascii="仿宋_GB2312" w:hAnsi="仿宋_GB2312" w:eastAsia="仿宋_GB2312" w:cs="仿宋_GB2312"/>
          <w:sz w:val="32"/>
          <w:szCs w:val="32"/>
          <w:highlight w:val="none"/>
          <w:lang w:val="en-US" w:eastAsia="zh-CN"/>
        </w:rPr>
        <w:t>0.54</w:t>
      </w:r>
      <w:r>
        <w:rPr>
          <w:rFonts w:hint="default" w:ascii="仿宋_GB2312" w:hAnsi="仿宋_GB2312" w:eastAsia="仿宋_GB2312" w:cs="仿宋_GB2312"/>
          <w:sz w:val="32"/>
          <w:szCs w:val="32"/>
          <w:highlight w:val="none"/>
          <w:lang w:val="en-US" w:eastAsia="zh-CN"/>
        </w:rPr>
        <w:t>万元减少</w:t>
      </w:r>
      <w:r>
        <w:rPr>
          <w:rFonts w:hint="eastAsia" w:ascii="仿宋_GB2312" w:hAnsi="仿宋_GB2312" w:eastAsia="仿宋_GB2312" w:cs="仿宋_GB2312"/>
          <w:sz w:val="32"/>
          <w:szCs w:val="32"/>
          <w:highlight w:val="none"/>
          <w:lang w:val="en-US" w:eastAsia="zh-CN"/>
        </w:rPr>
        <w:t>0.54</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主要原因：</w:t>
      </w:r>
      <w:r>
        <w:rPr>
          <w:rFonts w:hint="eastAsia" w:ascii="仿宋_GB2312" w:hAnsi="仿宋_GB2312" w:eastAsia="仿宋_GB2312" w:cs="仿宋_GB2312"/>
          <w:sz w:val="32"/>
          <w:szCs w:val="32"/>
          <w:highlight w:val="none"/>
          <w:lang w:val="en-US" w:eastAsia="zh-CN"/>
        </w:rPr>
        <w:t>区财政加强管理，年初由区财政统一预留</w:t>
      </w:r>
      <w:r>
        <w:rPr>
          <w:rFonts w:hint="default"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3.公务用车购置和运行维护费。2022年预算数</w:t>
      </w:r>
      <w:r>
        <w:rPr>
          <w:rFonts w:hint="eastAsia" w:ascii="仿宋_GB2312" w:hAnsi="仿宋_GB2312" w:eastAsia="仿宋_GB2312" w:cs="仿宋_GB2312"/>
          <w:sz w:val="32"/>
          <w:szCs w:val="32"/>
          <w:highlight w:val="none"/>
          <w:lang w:val="en-US" w:eastAsia="zh-CN"/>
        </w:rPr>
        <w:t>5.4</w:t>
      </w:r>
      <w:r>
        <w:rPr>
          <w:rFonts w:hint="default" w:ascii="仿宋_GB2312" w:hAnsi="仿宋_GB2312" w:eastAsia="仿宋_GB2312" w:cs="仿宋_GB2312"/>
          <w:sz w:val="32"/>
          <w:szCs w:val="32"/>
          <w:highlight w:val="none"/>
          <w:lang w:val="en-US" w:eastAsia="zh-CN"/>
        </w:rPr>
        <w:t>万元，其中，公务用车购置费2022年预算数</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万元，比2021年预算数</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万元与2021年持平，主要原因：</w:t>
      </w:r>
      <w:r>
        <w:rPr>
          <w:rFonts w:hint="eastAsia" w:ascii="仿宋_GB2312" w:hAnsi="仿宋_GB2312" w:eastAsia="仿宋_GB2312" w:cs="仿宋_GB2312"/>
          <w:sz w:val="32"/>
          <w:szCs w:val="32"/>
          <w:highlight w:val="none"/>
          <w:lang w:val="en-US" w:eastAsia="zh-CN"/>
        </w:rPr>
        <w:t>本单位无此项</w:t>
      </w:r>
      <w:r>
        <w:rPr>
          <w:rFonts w:hint="default" w:ascii="仿宋_GB2312" w:hAnsi="仿宋_GB2312" w:eastAsia="仿宋_GB2312" w:cs="仿宋_GB2312"/>
          <w:sz w:val="32"/>
          <w:szCs w:val="32"/>
          <w:highlight w:val="none"/>
          <w:lang w:val="en-US" w:eastAsia="zh-CN"/>
        </w:rPr>
        <w:t>；公务用车运行维护费2022年预算数</w:t>
      </w:r>
      <w:r>
        <w:rPr>
          <w:rFonts w:hint="eastAsia" w:ascii="仿宋_GB2312" w:hAnsi="仿宋_GB2312" w:eastAsia="仿宋_GB2312" w:cs="仿宋_GB2312"/>
          <w:sz w:val="32"/>
          <w:szCs w:val="32"/>
          <w:highlight w:val="none"/>
          <w:lang w:val="en-US" w:eastAsia="zh-CN"/>
        </w:rPr>
        <w:t>5.4</w:t>
      </w:r>
      <w:r>
        <w:rPr>
          <w:rFonts w:hint="default" w:ascii="仿宋_GB2312" w:hAnsi="仿宋_GB2312" w:eastAsia="仿宋_GB2312" w:cs="仿宋_GB2312"/>
          <w:sz w:val="32"/>
          <w:szCs w:val="32"/>
          <w:highlight w:val="none"/>
          <w:lang w:val="en-US" w:eastAsia="zh-CN"/>
        </w:rPr>
        <w:t>万元，比2021年预算数</w:t>
      </w:r>
      <w:r>
        <w:rPr>
          <w:rFonts w:hint="eastAsia" w:ascii="仿宋_GB2312" w:hAnsi="仿宋_GB2312" w:eastAsia="仿宋_GB2312" w:cs="仿宋_GB2312"/>
          <w:sz w:val="32"/>
          <w:szCs w:val="32"/>
          <w:highlight w:val="none"/>
          <w:lang w:val="en-US" w:eastAsia="zh-CN"/>
        </w:rPr>
        <w:t>5.4</w:t>
      </w:r>
      <w:r>
        <w:rPr>
          <w:rFonts w:hint="default"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lang w:val="en-US" w:eastAsia="zh-CN"/>
        </w:rPr>
        <w:t>与</w:t>
      </w:r>
      <w:r>
        <w:rPr>
          <w:rFonts w:hint="default" w:ascii="仿宋_GB2312" w:hAnsi="仿宋_GB2312" w:eastAsia="仿宋_GB2312" w:cs="仿宋_GB2312"/>
          <w:sz w:val="32"/>
          <w:szCs w:val="32"/>
          <w:highlight w:val="none"/>
          <w:lang w:val="en-US" w:eastAsia="zh-CN"/>
        </w:rPr>
        <w:t>2021年持平，主要原因：</w:t>
      </w:r>
      <w:r>
        <w:rPr>
          <w:rFonts w:hint="eastAsia" w:ascii="仿宋_GB2312" w:hAnsi="仿宋_GB2312" w:eastAsia="仿宋_GB2312" w:cs="仿宋_GB2312"/>
          <w:sz w:val="32"/>
          <w:szCs w:val="32"/>
          <w:highlight w:val="none"/>
          <w:lang w:val="en-US" w:eastAsia="zh-CN"/>
        </w:rPr>
        <w:t>我单位车辆无变化</w:t>
      </w:r>
      <w:r>
        <w:rPr>
          <w:rFonts w:hint="default"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default" w:ascii="黑体" w:hAnsi="黑体" w:eastAsia="黑体" w:cs="黑体"/>
          <w:sz w:val="32"/>
          <w:szCs w:val="32"/>
          <w:highlight w:val="none"/>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（一）部门政府采购预算说明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w:t>
      </w:r>
      <w:r>
        <w:rPr>
          <w:rFonts w:hint="eastAsia" w:ascii="仿宋_GB2312" w:hAnsi="宋体" w:eastAsia="仿宋_GB2312" w:cs="宋体"/>
          <w:color w:val="000000"/>
          <w:spacing w:val="15"/>
          <w:kern w:val="0"/>
          <w:sz w:val="32"/>
          <w:szCs w:val="32"/>
          <w:highlight w:val="none"/>
        </w:rPr>
        <w:t>北京市丰台区园林绿化局长辛店二七公园管理</w:t>
      </w:r>
      <w:r>
        <w:rPr>
          <w:rFonts w:hint="eastAsia" w:ascii="仿宋_GB2312" w:hAnsi="宋体" w:eastAsia="仿宋_GB2312" w:cs="宋体"/>
          <w:color w:val="000000"/>
          <w:spacing w:val="15"/>
          <w:kern w:val="0"/>
          <w:sz w:val="32"/>
          <w:szCs w:val="32"/>
          <w:highlight w:val="none"/>
          <w:lang w:eastAsia="zh-CN"/>
        </w:rPr>
        <w:t>处</w:t>
      </w:r>
      <w:r>
        <w:rPr>
          <w:rFonts w:hint="default" w:ascii="仿宋_GB2312" w:hAnsi="仿宋_GB2312" w:eastAsia="仿宋_GB2312" w:cs="仿宋_GB2312"/>
          <w:sz w:val="32"/>
          <w:szCs w:val="32"/>
          <w:highlight w:val="none"/>
          <w:lang w:val="en-US" w:eastAsia="zh-CN"/>
        </w:rPr>
        <w:t>部门政府采购预算总额</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w:t>
      </w:r>
      <w:r>
        <w:rPr>
          <w:rFonts w:hint="eastAsia" w:ascii="仿宋_GB2312" w:hAnsi="仿宋_GB2312" w:eastAsia="仿宋_GB2312" w:cs="仿宋_GB2312"/>
          <w:sz w:val="32"/>
          <w:szCs w:val="32"/>
          <w:highlight w:val="none"/>
          <w:lang w:val="en-US" w:eastAsia="zh-CN"/>
        </w:rPr>
        <w:t>北京市丰台区园林绿化局长辛店二七公园管理处</w:t>
      </w:r>
      <w:r>
        <w:rPr>
          <w:rFonts w:hint="default" w:ascii="仿宋_GB2312" w:hAnsi="仿宋_GB2312" w:eastAsia="仿宋_GB2312" w:cs="仿宋_GB2312"/>
          <w:sz w:val="32"/>
          <w:szCs w:val="32"/>
          <w:highlight w:val="none"/>
          <w:lang w:val="en-US" w:eastAsia="zh-CN"/>
        </w:rPr>
        <w:t>部门政府购买服务预算总额</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本单位为公益一类事业单位，不涉及机关运行经费。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highlight w:val="none"/>
          <w:lang w:val="en-US" w:eastAsia="zh-CN"/>
        </w:rPr>
      </w:pPr>
      <w:r>
        <w:rPr>
          <w:rFonts w:hint="default" w:ascii="楷体_GB2312" w:hAnsi="楷体_GB2312" w:eastAsia="楷体_GB2312" w:cs="楷体_GB2312"/>
          <w:sz w:val="32"/>
          <w:szCs w:val="32"/>
          <w:highlight w:val="none"/>
          <w:lang w:val="en-US" w:eastAsia="zh-CN"/>
        </w:rPr>
        <w:t xml:space="preserve">（四）项目支出绩效目标情况说明 </w:t>
      </w:r>
      <w:r>
        <w:rPr>
          <w:rFonts w:hint="default" w:ascii="宋体" w:hAnsi="宋体" w:cs="宋体"/>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w:t>
      </w:r>
      <w:r>
        <w:rPr>
          <w:rFonts w:hint="eastAsia" w:ascii="仿宋_GB2312" w:hAnsi="宋体" w:eastAsia="仿宋_GB2312" w:cs="宋体"/>
          <w:color w:val="000000"/>
          <w:spacing w:val="15"/>
          <w:kern w:val="0"/>
          <w:sz w:val="32"/>
          <w:szCs w:val="32"/>
          <w:highlight w:val="none"/>
        </w:rPr>
        <w:t>北京市丰台区园林绿化局长辛店二七公园管理</w:t>
      </w:r>
      <w:r>
        <w:rPr>
          <w:rFonts w:hint="eastAsia" w:ascii="仿宋_GB2312" w:hAnsi="宋体" w:eastAsia="仿宋_GB2312" w:cs="宋体"/>
          <w:color w:val="000000"/>
          <w:spacing w:val="15"/>
          <w:kern w:val="0"/>
          <w:sz w:val="32"/>
          <w:szCs w:val="32"/>
          <w:highlight w:val="none"/>
          <w:lang w:eastAsia="zh-CN"/>
        </w:rPr>
        <w:t>处</w:t>
      </w:r>
      <w:r>
        <w:rPr>
          <w:rFonts w:hint="default" w:ascii="仿宋_GB2312" w:hAnsi="仿宋_GB2312" w:eastAsia="仿宋_GB2312" w:cs="仿宋_GB2312"/>
          <w:sz w:val="32"/>
          <w:szCs w:val="32"/>
          <w:highlight w:val="none"/>
          <w:lang w:val="en-US" w:eastAsia="zh-CN"/>
        </w:rPr>
        <w:t>填报绩效目标的预算项目</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个，占全部预算项目</w:t>
      </w:r>
      <w:r>
        <w:rPr>
          <w:rFonts w:hint="eastAsia" w:ascii="仿宋_GB2312" w:hAnsi="仿宋_GB2312" w:eastAsia="仿宋_GB2312" w:cs="仿宋_GB2312"/>
          <w:sz w:val="32"/>
          <w:szCs w:val="32"/>
          <w:highlight w:val="none"/>
          <w:lang w:val="en-US" w:eastAsia="zh-CN"/>
        </w:rPr>
        <w:t>8</w:t>
      </w:r>
      <w:r>
        <w:rPr>
          <w:rFonts w:hint="default" w:ascii="仿宋_GB2312" w:hAnsi="仿宋_GB2312" w:eastAsia="仿宋_GB2312" w:cs="仿宋_GB2312"/>
          <w:sz w:val="32"/>
          <w:szCs w:val="32"/>
          <w:highlight w:val="none"/>
          <w:lang w:val="en-US" w:eastAsia="zh-CN"/>
        </w:rPr>
        <w:t>个的</w:t>
      </w:r>
      <w:r>
        <w:rPr>
          <w:rFonts w:hint="eastAsia" w:ascii="仿宋_GB2312" w:hAnsi="仿宋_GB2312" w:eastAsia="仿宋_GB2312" w:cs="仿宋_GB2312"/>
          <w:sz w:val="32"/>
          <w:szCs w:val="32"/>
          <w:highlight w:val="none"/>
          <w:lang w:val="en-US" w:eastAsia="zh-CN"/>
        </w:rPr>
        <w:t>100</w:t>
      </w:r>
      <w:r>
        <w:rPr>
          <w:rFonts w:hint="default" w:ascii="仿宋_GB2312" w:hAnsi="仿宋_GB2312" w:eastAsia="仿宋_GB2312" w:cs="仿宋_GB2312"/>
          <w:sz w:val="32"/>
          <w:szCs w:val="32"/>
          <w:highlight w:val="none"/>
          <w:lang w:val="en-US" w:eastAsia="zh-CN"/>
        </w:rPr>
        <w:t>%。填报绩效目标的项目支出预算</w:t>
      </w:r>
      <w:r>
        <w:rPr>
          <w:rFonts w:hint="eastAsia" w:ascii="仿宋_GB2312" w:hAnsi="仿宋_GB2312" w:eastAsia="仿宋_GB2312" w:cs="仿宋_GB2312"/>
          <w:sz w:val="32"/>
          <w:szCs w:val="32"/>
          <w:highlight w:val="none"/>
          <w:lang w:val="en-US" w:eastAsia="zh-CN"/>
        </w:rPr>
        <w:t>427.36</w:t>
      </w:r>
      <w:r>
        <w:rPr>
          <w:rFonts w:hint="default" w:ascii="仿宋_GB2312" w:hAnsi="仿宋_GB2312" w:eastAsia="仿宋_GB2312" w:cs="仿宋_GB2312"/>
          <w:sz w:val="32"/>
          <w:szCs w:val="32"/>
          <w:highlight w:val="none"/>
          <w:lang w:val="en-US" w:eastAsia="zh-CN"/>
        </w:rPr>
        <w:t>万元，占本部门全部项目支出预算的</w:t>
      </w:r>
      <w:r>
        <w:rPr>
          <w:rFonts w:hint="eastAsia" w:ascii="仿宋_GB2312" w:hAnsi="仿宋_GB2312" w:eastAsia="仿宋_GB2312" w:cs="仿宋_GB2312"/>
          <w:sz w:val="32"/>
          <w:szCs w:val="32"/>
          <w:highlight w:val="none"/>
          <w:lang w:val="en-US" w:eastAsia="zh-CN"/>
        </w:rPr>
        <w:t>100</w:t>
      </w:r>
      <w:r>
        <w:rPr>
          <w:rFonts w:hint="default" w:ascii="仿宋_GB2312" w:hAnsi="仿宋_GB2312" w:eastAsia="仿宋_GB2312" w:cs="仿宋_GB2312"/>
          <w:sz w:val="32"/>
          <w:szCs w:val="32"/>
          <w:highlight w:val="none"/>
          <w:lang w:val="en-US" w:eastAsia="zh-CN"/>
        </w:rPr>
        <w:t>%。（注：不含基本支出）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2022年本</w:t>
      </w:r>
      <w:r>
        <w:rPr>
          <w:rFonts w:hint="eastAsia" w:ascii="仿宋_GB2312" w:hAnsi="仿宋_GB2312" w:eastAsia="仿宋_GB2312" w:cs="仿宋_GB2312"/>
          <w:sz w:val="32"/>
          <w:szCs w:val="32"/>
          <w:highlight w:val="none"/>
          <w:lang w:val="en-US" w:eastAsia="zh-CN"/>
        </w:rPr>
        <w:t>单位</w:t>
      </w:r>
      <w:r>
        <w:rPr>
          <w:rFonts w:hint="default" w:ascii="仿宋_GB2312" w:hAnsi="仿宋_GB2312" w:eastAsia="仿宋_GB2312" w:cs="仿宋_GB2312"/>
          <w:sz w:val="32"/>
          <w:szCs w:val="32"/>
          <w:highlight w:val="none"/>
          <w:lang w:val="en-US" w:eastAsia="zh-CN"/>
        </w:rPr>
        <w:t>无重点行政事业性收费</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2022年本</w:t>
      </w:r>
      <w:r>
        <w:rPr>
          <w:rFonts w:hint="eastAsia" w:ascii="仿宋_GB2312" w:hAnsi="仿宋_GB2312" w:eastAsia="仿宋_GB2312" w:cs="仿宋_GB2312"/>
          <w:sz w:val="32"/>
          <w:szCs w:val="32"/>
          <w:highlight w:val="none"/>
          <w:lang w:val="en-US" w:eastAsia="zh-CN"/>
        </w:rPr>
        <w:t>单位</w:t>
      </w:r>
      <w:r>
        <w:rPr>
          <w:rFonts w:hint="default" w:ascii="仿宋_GB2312" w:hAnsi="仿宋_GB2312" w:eastAsia="仿宋_GB2312" w:cs="仿宋_GB2312"/>
          <w:sz w:val="32"/>
          <w:szCs w:val="32"/>
          <w:highlight w:val="none"/>
          <w:lang w:val="en-US" w:eastAsia="zh-CN"/>
        </w:rPr>
        <w:t>无国有资本经营预算财政拨款安排的预算</w:t>
      </w:r>
      <w:r>
        <w:rPr>
          <w:rFonts w:hint="eastAsia" w:ascii="仿宋_GB2312" w:hAnsi="仿宋_GB2312" w:eastAsia="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（七）国有资产占有使用情况说明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截止2021年底，本</w:t>
      </w:r>
      <w:r>
        <w:rPr>
          <w:rFonts w:hint="eastAsia" w:ascii="仿宋_GB2312" w:hAnsi="仿宋_GB2312" w:eastAsia="仿宋_GB2312" w:cs="仿宋_GB2312"/>
          <w:sz w:val="32"/>
          <w:szCs w:val="32"/>
          <w:highlight w:val="none"/>
          <w:lang w:val="en-US" w:eastAsia="zh-CN"/>
        </w:rPr>
        <w:t>单位</w:t>
      </w:r>
      <w:r>
        <w:rPr>
          <w:rFonts w:hint="default" w:ascii="仿宋_GB2312" w:hAnsi="仿宋_GB2312" w:eastAsia="仿宋_GB2312" w:cs="仿宋_GB2312"/>
          <w:sz w:val="32"/>
          <w:szCs w:val="32"/>
          <w:highlight w:val="none"/>
          <w:lang w:val="en-US" w:eastAsia="zh-CN"/>
        </w:rPr>
        <w:t>固定资产总额</w:t>
      </w:r>
      <w:r>
        <w:rPr>
          <w:rFonts w:hint="eastAsia" w:ascii="仿宋_GB2312" w:hAnsi="仿宋_GB2312" w:eastAsia="仿宋_GB2312" w:cs="仿宋_GB2312"/>
          <w:sz w:val="32"/>
          <w:szCs w:val="32"/>
          <w:highlight w:val="none"/>
          <w:lang w:val="en-US" w:eastAsia="zh-CN"/>
        </w:rPr>
        <w:t>885.669417</w:t>
      </w:r>
      <w:r>
        <w:rPr>
          <w:rFonts w:hint="default" w:ascii="仿宋_GB2312" w:hAnsi="仿宋_GB2312" w:eastAsia="仿宋_GB2312" w:cs="仿宋_GB2312"/>
          <w:sz w:val="32"/>
          <w:szCs w:val="32"/>
          <w:highlight w:val="none"/>
          <w:lang w:val="en-US" w:eastAsia="zh-CN"/>
        </w:rPr>
        <w:t>万元，其中：车辆</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台，</w:t>
      </w:r>
      <w:r>
        <w:rPr>
          <w:rFonts w:hint="eastAsia" w:ascii="仿宋_GB2312" w:hAnsi="宋体" w:eastAsia="仿宋_GB2312" w:cs="宋体"/>
          <w:color w:val="000000"/>
          <w:spacing w:val="15"/>
          <w:kern w:val="0"/>
          <w:sz w:val="32"/>
          <w:szCs w:val="32"/>
          <w:highlight w:val="none"/>
          <w:lang w:val="en-US" w:eastAsia="zh-CN"/>
        </w:rPr>
        <w:t>61.26659</w:t>
      </w:r>
      <w:r>
        <w:rPr>
          <w:rFonts w:hint="default" w:ascii="仿宋_GB2312" w:hAnsi="仿宋_GB2312" w:eastAsia="仿宋_GB2312" w:cs="仿宋_GB2312"/>
          <w:sz w:val="32"/>
          <w:szCs w:val="32"/>
          <w:highlight w:val="none"/>
          <w:lang w:val="en-US" w:eastAsia="zh-CN"/>
        </w:rPr>
        <w:t>万元；单位价值50万元以上的通用设备</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台（套）、</w:t>
      </w:r>
      <w:r>
        <w:rPr>
          <w:rFonts w:hint="eastAsia" w:ascii="仿宋_GB2312" w:hAnsi="仿宋_GB2312" w:eastAsia="仿宋_GB2312" w:cs="仿宋_GB2312"/>
          <w:sz w:val="32"/>
          <w:szCs w:val="32"/>
          <w:highlight w:val="none"/>
          <w:lang w:val="en-US" w:eastAsia="zh-CN"/>
        </w:rPr>
        <w:t>283.915542</w:t>
      </w:r>
      <w:r>
        <w:rPr>
          <w:rFonts w:hint="default" w:ascii="仿宋_GB2312" w:hAnsi="仿宋_GB2312" w:eastAsia="仿宋_GB2312" w:cs="仿宋_GB2312"/>
          <w:sz w:val="32"/>
          <w:szCs w:val="32"/>
          <w:highlight w:val="none"/>
          <w:lang w:val="en-US" w:eastAsia="zh-CN"/>
        </w:rPr>
        <w:t>万元，单位价值100万元以上的专用设备</w:t>
      </w:r>
      <w:r>
        <w:rPr>
          <w:rFonts w:hint="eastAsia" w:ascii="仿宋_GB2312" w:hAnsi="仿宋_GB2312" w:eastAsia="仿宋_GB2312" w:cs="仿宋_GB2312"/>
          <w:sz w:val="32"/>
          <w:szCs w:val="32"/>
          <w:highlight w:val="none"/>
          <w:lang w:val="en-US" w:eastAsia="zh-CN"/>
        </w:rPr>
        <w:t>0</w:t>
      </w:r>
      <w:r>
        <w:rPr>
          <w:rFonts w:hint="default" w:ascii="仿宋_GB2312" w:hAnsi="仿宋_GB2312" w:eastAsia="仿宋_GB2312" w:cs="仿宋_GB2312"/>
          <w:sz w:val="32"/>
          <w:szCs w:val="32"/>
          <w:highlight w:val="none"/>
          <w:lang w:val="en-US" w:eastAsia="zh-CN"/>
        </w:rPr>
        <w:t>台（套）、</w:t>
      </w:r>
      <w:r>
        <w:rPr>
          <w:rFonts w:hint="eastAsia" w:ascii="仿宋_GB2312" w:hAnsi="仿宋_GB2312" w:eastAsia="仿宋_GB2312" w:cs="仿宋_GB2312"/>
          <w:sz w:val="32"/>
          <w:szCs w:val="32"/>
          <w:highlight w:val="none"/>
          <w:lang w:val="en-US" w:eastAsia="zh-CN"/>
        </w:rPr>
        <w:t>0.00</w:t>
      </w:r>
      <w:r>
        <w:rPr>
          <w:rFonts w:hint="default" w:ascii="仿宋_GB2312" w:hAnsi="仿宋_GB2312" w:eastAsia="仿宋_GB2312" w:cs="仿宋_GB2312"/>
          <w:sz w:val="32"/>
          <w:szCs w:val="32"/>
          <w:highlight w:val="none"/>
          <w:lang w:val="en-US" w:eastAsia="zh-CN"/>
        </w:rPr>
        <w:t>万元。</w:t>
      </w:r>
    </w:p>
    <w:p>
      <w:pPr>
        <w:keepNext w:val="0"/>
        <w:keepLines w:val="0"/>
        <w:pageBreakBefore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其他事项说明</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202</w:t>
      </w:r>
      <w:r>
        <w:rPr>
          <w:rFonts w:hint="eastAsia" w:ascii="仿宋_GB2312" w:hAnsi="宋体" w:eastAsia="仿宋_GB2312" w:cs="宋体"/>
          <w:color w:val="000000"/>
          <w:spacing w:val="15"/>
          <w:kern w:val="0"/>
          <w:sz w:val="32"/>
          <w:szCs w:val="32"/>
          <w:highlight w:val="none"/>
          <w:lang w:val="en-US" w:eastAsia="zh-CN"/>
        </w:rPr>
        <w:t>2</w:t>
      </w:r>
      <w:r>
        <w:rPr>
          <w:rFonts w:hint="eastAsia" w:ascii="仿宋_GB2312" w:hAnsi="宋体" w:eastAsia="仿宋_GB2312" w:cs="宋体"/>
          <w:color w:val="000000"/>
          <w:spacing w:val="15"/>
          <w:kern w:val="0"/>
          <w:sz w:val="32"/>
          <w:szCs w:val="32"/>
          <w:highlight w:val="none"/>
        </w:rPr>
        <w:t>年财政未安排本单位政府性基金支出，所以政府性基金预算支出情况表为零。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w:t>
      </w:r>
      <w:r>
        <w:rPr>
          <w:rFonts w:hint="default" w:ascii="黑体" w:hAnsi="黑体" w:eastAsia="黑体" w:cs="黑体"/>
          <w:sz w:val="32"/>
          <w:szCs w:val="32"/>
          <w:highlight w:val="none"/>
          <w:lang w:val="en-US" w:eastAsia="zh-CN"/>
        </w:rPr>
        <w:t>、</w:t>
      </w:r>
      <w:r>
        <w:rPr>
          <w:rFonts w:hint="eastAsia" w:ascii="黑体" w:hAnsi="黑体" w:eastAsia="黑体" w:cs="黑体"/>
          <w:sz w:val="32"/>
          <w:szCs w:val="32"/>
          <w:highlight w:val="none"/>
          <w:lang w:val="en-US" w:eastAsia="zh-CN"/>
        </w:rPr>
        <w:t>名词解释</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一般公共预算：对以税收为主体的财政收入，安排用于保障和改善民生、推动经济社会发展、维护国家安全、维持国家机构正常运转等方面的收支预算。</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highlight w:val="none"/>
        </w:rPr>
      </w:pPr>
      <w:r>
        <w:rPr>
          <w:rFonts w:hint="eastAsia" w:ascii="仿宋_GB2312" w:hAnsi="宋体" w:eastAsia="仿宋_GB2312" w:cs="宋体"/>
          <w:color w:val="000000"/>
          <w:spacing w:val="15"/>
          <w:kern w:val="0"/>
          <w:sz w:val="32"/>
          <w:szCs w:val="32"/>
          <w:highlight w:val="none"/>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highlight w:val="none"/>
        </w:rPr>
        <w:t>“三公”经费：指因公出国（境）费、公务用车购置及运行维护费和公务接待费。其中，因公出国（境）费反映单位公务出国（境）的国际旅费、国外城市间交通费、住宿费、伙食费</w:t>
      </w:r>
      <w:r>
        <w:rPr>
          <w:rFonts w:hint="eastAsia" w:ascii="仿宋_GB2312" w:hAnsi="宋体" w:eastAsia="仿宋_GB2312" w:cs="宋体"/>
          <w:color w:val="000000"/>
          <w:spacing w:val="15"/>
          <w:kern w:val="0"/>
          <w:sz w:val="32"/>
          <w:szCs w:val="32"/>
        </w:rPr>
        <w:t>、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700" w:firstLineChars="200"/>
        <w:rPr>
          <w:rFonts w:hint="eastAsia" w:ascii="仿宋_GB2312" w:hAnsi="宋体" w:eastAsia="仿宋_GB2312" w:cs="宋体"/>
          <w:color w:val="000000"/>
          <w:spacing w:val="15"/>
          <w:kern w:val="0"/>
          <w:sz w:val="32"/>
          <w:szCs w:val="32"/>
        </w:rPr>
      </w:pPr>
    </w:p>
    <w:p>
      <w:pPr>
        <w:widowControl/>
        <w:numPr>
          <w:ilvl w:val="0"/>
          <w:numId w:val="12"/>
        </w:numPr>
        <w:adjustRightInd w:val="0"/>
        <w:spacing w:line="560" w:lineRule="exact"/>
        <w:ind w:firstLine="703" w:firstLineChars="200"/>
        <w:jc w:val="center"/>
        <w:rPr>
          <w:rFonts w:hint="eastAsia" w:ascii="仿宋_GB2312" w:hAnsi="宋体" w:eastAsia="仿宋_GB2312" w:cs="宋体"/>
          <w:b/>
          <w:bCs/>
          <w:color w:val="000000"/>
          <w:spacing w:val="15"/>
          <w:kern w:val="0"/>
          <w:sz w:val="32"/>
          <w:szCs w:val="32"/>
        </w:rPr>
      </w:pPr>
      <w:r>
        <w:rPr>
          <w:rFonts w:hint="eastAsia" w:ascii="仿宋_GB2312" w:hAnsi="宋体" w:eastAsia="仿宋_GB2312" w:cs="宋体"/>
          <w:b/>
          <w:bCs/>
          <w:color w:val="000000"/>
          <w:spacing w:val="15"/>
          <w:kern w:val="0"/>
          <w:sz w:val="32"/>
          <w:szCs w:val="32"/>
        </w:rPr>
        <w:t>2022年部门预算报表</w:t>
      </w:r>
    </w:p>
    <w:p>
      <w:pPr>
        <w:widowControl/>
        <w:adjustRightInd w:val="0"/>
        <w:spacing w:line="560" w:lineRule="exact"/>
        <w:jc w:val="left"/>
        <w:rPr>
          <w:rFonts w:hint="eastAsia" w:ascii="仿宋_GB2312" w:hAnsi="宋体" w:eastAsia="仿宋_GB2312" w:cs="宋体"/>
          <w:b/>
          <w:bCs/>
          <w:color w:val="000000"/>
          <w:spacing w:val="15"/>
          <w:kern w:val="0"/>
          <w:sz w:val="32"/>
          <w:szCs w:val="32"/>
        </w:rPr>
      </w:pPr>
    </w:p>
    <w:p>
      <w:pPr>
        <w:widowControl/>
        <w:numPr>
          <w:ilvl w:val="0"/>
          <w:numId w:val="0"/>
        </w:numPr>
        <w:adjustRightInd w:val="0"/>
        <w:spacing w:line="560" w:lineRule="exact"/>
        <w:jc w:val="left"/>
        <w:rPr>
          <w:rFonts w:hint="default" w:ascii="仿宋_GB2312" w:hAnsi="宋体" w:eastAsia="仿宋_GB2312" w:cs="宋体"/>
          <w:color w:val="000000"/>
          <w:spacing w:val="15"/>
          <w:kern w:val="0"/>
          <w:sz w:val="32"/>
          <w:szCs w:val="32"/>
          <w:highlight w:val="none"/>
          <w:lang w:val="en-US" w:eastAsia="zh-CN"/>
        </w:rPr>
      </w:pPr>
      <w:r>
        <w:rPr>
          <w:rFonts w:hint="eastAsia" w:ascii="仿宋_GB2312" w:hAnsi="宋体" w:eastAsia="仿宋_GB2312" w:cs="宋体"/>
          <w:color w:val="000000"/>
          <w:spacing w:val="15"/>
          <w:kern w:val="0"/>
          <w:sz w:val="32"/>
          <w:szCs w:val="32"/>
          <w:highlight w:val="none"/>
          <w:lang w:val="en-US" w:eastAsia="zh-CN"/>
        </w:rPr>
        <w:t xml:space="preserve">    详见附件：北京市丰台区园林绿化局长辛店二七公园管理处2022年部门预算报表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一、收支总表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二、收入总表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三、支出总表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四、项目支出表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五、政府采购预算明细表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六、财拨总表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七、一般公共预算财政拨款支出表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八、一般公共预算财政拨款基本支出表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九、政府性基金预算财政拨款支出表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十、国有资本经营预算财政拨款支出表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十一、“</w:t>
      </w:r>
      <w:bookmarkStart w:id="0" w:name="_GoBack"/>
      <w:r>
        <w:rPr>
          <w:rFonts w:hint="eastAsia" w:ascii="仿宋_GB2312" w:hAnsi="宋体" w:eastAsia="仿宋_GB2312" w:cs="宋体"/>
          <w:color w:val="000000"/>
          <w:spacing w:val="15"/>
          <w:kern w:val="0"/>
          <w:sz w:val="32"/>
          <w:szCs w:val="32"/>
        </w:rPr>
        <w:t>三公</w:t>
      </w:r>
      <w:bookmarkEnd w:id="0"/>
      <w:r>
        <w:rPr>
          <w:rFonts w:hint="eastAsia" w:ascii="仿宋_GB2312" w:hAnsi="宋体" w:eastAsia="仿宋_GB2312" w:cs="宋体"/>
          <w:color w:val="000000"/>
          <w:spacing w:val="15"/>
          <w:kern w:val="0"/>
          <w:sz w:val="32"/>
          <w:szCs w:val="32"/>
        </w:rPr>
        <w:t>”经费支出表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十二、政府购买服务预算财政拨款明细表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十三、项目支出绩效表</w:t>
      </w:r>
    </w:p>
    <w:p>
      <w:pPr>
        <w:widowControl/>
        <w:adjustRightInd w:val="0"/>
        <w:spacing w:line="560" w:lineRule="exact"/>
        <w:ind w:firstLine="700" w:firstLineChars="200"/>
        <w:jc w:val="left"/>
        <w:rPr>
          <w:rFonts w:hint="eastAsia"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十四、部门整体支出绩效目标申报表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1AFB7"/>
    <w:multiLevelType w:val="singleLevel"/>
    <w:tmpl w:val="B5D1AFB7"/>
    <w:lvl w:ilvl="0" w:tentative="0">
      <w:start w:val="6"/>
      <w:numFmt w:val="chineseCounting"/>
      <w:suff w:val="nothing"/>
      <w:lvlText w:val="（%1）"/>
      <w:lvlJc w:val="left"/>
      <w:rPr>
        <w:rFonts w:hint="eastAsia"/>
      </w:rPr>
    </w:lvl>
  </w:abstractNum>
  <w:abstractNum w:abstractNumId="1">
    <w:nsid w:val="B7460E44"/>
    <w:multiLevelType w:val="singleLevel"/>
    <w:tmpl w:val="B7460E44"/>
    <w:lvl w:ilvl="0" w:tentative="0">
      <w:start w:val="8"/>
      <w:numFmt w:val="chineseCounting"/>
      <w:suff w:val="nothing"/>
      <w:lvlText w:val="（%1）"/>
      <w:lvlJc w:val="left"/>
      <w:rPr>
        <w:rFonts w:hint="eastAsia"/>
      </w:rPr>
    </w:lvl>
  </w:abstractNum>
  <w:abstractNum w:abstractNumId="2">
    <w:nsid w:val="DBCD4573"/>
    <w:multiLevelType w:val="singleLevel"/>
    <w:tmpl w:val="DBCD4573"/>
    <w:lvl w:ilvl="0" w:tentative="0">
      <w:start w:val="5"/>
      <w:numFmt w:val="chineseCounting"/>
      <w:suff w:val="nothing"/>
      <w:lvlText w:val="（%1）"/>
      <w:lvlJc w:val="left"/>
      <w:rPr>
        <w:rFonts w:hint="eastAsia"/>
      </w:rPr>
    </w:lvl>
  </w:abstractNum>
  <w:abstractNum w:abstractNumId="3">
    <w:nsid w:val="E19E167F"/>
    <w:multiLevelType w:val="singleLevel"/>
    <w:tmpl w:val="E19E167F"/>
    <w:lvl w:ilvl="0" w:tentative="0">
      <w:start w:val="7"/>
      <w:numFmt w:val="chineseCounting"/>
      <w:suff w:val="nothing"/>
      <w:lvlText w:val="（%1）"/>
      <w:lvlJc w:val="left"/>
      <w:rPr>
        <w:rFonts w:hint="eastAsia"/>
      </w:rPr>
    </w:lvl>
  </w:abstractNum>
  <w:abstractNum w:abstractNumId="4">
    <w:nsid w:val="F20E37F5"/>
    <w:multiLevelType w:val="singleLevel"/>
    <w:tmpl w:val="F20E37F5"/>
    <w:lvl w:ilvl="0" w:tentative="0">
      <w:start w:val="1"/>
      <w:numFmt w:val="decimal"/>
      <w:suff w:val="nothing"/>
      <w:lvlText w:val="%1、"/>
      <w:lvlJc w:val="left"/>
    </w:lvl>
  </w:abstractNum>
  <w:abstractNum w:abstractNumId="5">
    <w:nsid w:val="FC3118FD"/>
    <w:multiLevelType w:val="singleLevel"/>
    <w:tmpl w:val="FC3118FD"/>
    <w:lvl w:ilvl="0" w:tentative="0">
      <w:start w:val="2"/>
      <w:numFmt w:val="chineseCounting"/>
      <w:suff w:val="nothing"/>
      <w:lvlText w:val="（%1）"/>
      <w:lvlJc w:val="left"/>
      <w:pPr>
        <w:ind w:left="640" w:firstLine="0"/>
      </w:pPr>
      <w:rPr>
        <w:rFonts w:hint="eastAsia"/>
      </w:rPr>
    </w:lvl>
  </w:abstractNum>
  <w:abstractNum w:abstractNumId="6">
    <w:nsid w:val="FFBE0564"/>
    <w:multiLevelType w:val="singleLevel"/>
    <w:tmpl w:val="FFBE0564"/>
    <w:lvl w:ilvl="0" w:tentative="0">
      <w:start w:val="1"/>
      <w:numFmt w:val="chineseCounting"/>
      <w:suff w:val="space"/>
      <w:lvlText w:val="第%1部分"/>
      <w:lvlJc w:val="left"/>
      <w:rPr>
        <w:rFonts w:hint="eastAsia"/>
      </w:rPr>
    </w:lvl>
  </w:abstractNum>
  <w:abstractNum w:abstractNumId="7">
    <w:nsid w:val="072184D4"/>
    <w:multiLevelType w:val="singleLevel"/>
    <w:tmpl w:val="072184D4"/>
    <w:lvl w:ilvl="0" w:tentative="0">
      <w:start w:val="2"/>
      <w:numFmt w:val="chineseCounting"/>
      <w:suff w:val="space"/>
      <w:lvlText w:val="第%1部分"/>
      <w:lvlJc w:val="left"/>
      <w:rPr>
        <w:rFonts w:hint="eastAsia"/>
      </w:rPr>
    </w:lvl>
  </w:abstractNum>
  <w:abstractNum w:abstractNumId="8">
    <w:nsid w:val="2DD128F2"/>
    <w:multiLevelType w:val="singleLevel"/>
    <w:tmpl w:val="2DD128F2"/>
    <w:lvl w:ilvl="0" w:tentative="0">
      <w:start w:val="2"/>
      <w:numFmt w:val="chineseCounting"/>
      <w:suff w:val="nothing"/>
      <w:lvlText w:val="（%1）"/>
      <w:lvlJc w:val="left"/>
      <w:rPr>
        <w:rFonts w:hint="eastAsia"/>
      </w:rPr>
    </w:lvl>
  </w:abstractNum>
  <w:abstractNum w:abstractNumId="9">
    <w:nsid w:val="5D8E4409"/>
    <w:multiLevelType w:val="singleLevel"/>
    <w:tmpl w:val="5D8E4409"/>
    <w:lvl w:ilvl="0" w:tentative="0">
      <w:start w:val="3"/>
      <w:numFmt w:val="chineseCounting"/>
      <w:suff w:val="nothing"/>
      <w:lvlText w:val="（%1）"/>
      <w:lvlJc w:val="left"/>
      <w:rPr>
        <w:rFonts w:hint="eastAsia"/>
      </w:rPr>
    </w:lvl>
  </w:abstractNum>
  <w:abstractNum w:abstractNumId="10">
    <w:nsid w:val="65F3A2E6"/>
    <w:multiLevelType w:val="singleLevel"/>
    <w:tmpl w:val="65F3A2E6"/>
    <w:lvl w:ilvl="0" w:tentative="0">
      <w:start w:val="1"/>
      <w:numFmt w:val="chineseCounting"/>
      <w:suff w:val="nothing"/>
      <w:lvlText w:val="（%1）"/>
      <w:lvlJc w:val="left"/>
      <w:pPr>
        <w:ind w:left="640" w:firstLine="0"/>
      </w:pPr>
      <w:rPr>
        <w:rFonts w:hint="eastAsia"/>
      </w:rPr>
    </w:lvl>
  </w:abstractNum>
  <w:abstractNum w:abstractNumId="11">
    <w:nsid w:val="78E51494"/>
    <w:multiLevelType w:val="singleLevel"/>
    <w:tmpl w:val="78E51494"/>
    <w:lvl w:ilvl="0" w:tentative="0">
      <w:start w:val="4"/>
      <w:numFmt w:val="chineseCounting"/>
      <w:suff w:val="nothing"/>
      <w:lvlText w:val="（%1）"/>
      <w:lvlJc w:val="left"/>
      <w:rPr>
        <w:rFonts w:hint="eastAsia"/>
      </w:rPr>
    </w:lvl>
  </w:abstractNum>
  <w:num w:numId="1">
    <w:abstractNumId w:val="10"/>
  </w:num>
  <w:num w:numId="2">
    <w:abstractNumId w:val="5"/>
  </w:num>
  <w:num w:numId="3">
    <w:abstractNumId w:val="9"/>
  </w:num>
  <w:num w:numId="4">
    <w:abstractNumId w:val="11"/>
  </w:num>
  <w:num w:numId="5">
    <w:abstractNumId w:val="2"/>
  </w:num>
  <w:num w:numId="6">
    <w:abstractNumId w:val="0"/>
  </w:num>
  <w:num w:numId="7">
    <w:abstractNumId w:val="3"/>
  </w:num>
  <w:num w:numId="8">
    <w:abstractNumId w:val="6"/>
  </w:num>
  <w:num w:numId="9">
    <w:abstractNumId w:val="4"/>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3bfccfd0-811b-484e-be2f-0d3c18fabb94"/>
  </w:docVars>
  <w:rsids>
    <w:rsidRoot w:val="B9FF64A6"/>
    <w:rsid w:val="60AB3D74"/>
    <w:rsid w:val="621F2017"/>
    <w:rsid w:val="764372C3"/>
    <w:rsid w:val="7FDDC1E3"/>
    <w:rsid w:val="7FFF1A70"/>
    <w:rsid w:val="B9FF64A6"/>
    <w:rsid w:val="F6418B0E"/>
    <w:rsid w:val="FFF36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2930</Words>
  <Characters>3277</Characters>
  <Lines>0</Lines>
  <Paragraphs>0</Paragraphs>
  <TotalTime>2</TotalTime>
  <ScaleCrop>false</ScaleCrop>
  <LinksUpToDate>false</LinksUpToDate>
  <CharactersWithSpaces>3320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2022-01-14T21:35:00Z</dcterms:created>
  <dc:creator>uos</dc:creator>
  <cp:lastModifiedBy>血月舞殇</cp:lastModifiedBy>
  <dcterms:modified xsi:type="dcterms:W3CDTF">2025-03-18T02:40:05Z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5E7F08CADE9E492E835C680810D464B5</vt:lpwstr>
  </property>
</Properties>
</file>