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北京市丰台区财政局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2023年部门预算情况说明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
          <w:sz w:val="32"/>
          <w:szCs w:val="32"/>
          <w:lang w:val="en-US" w:eastAsia="zh-CN"/>
        </w:rPr>
      </w:pPr>
      <w:r>
        <w:rPr>
          <w:rFonts w:hint="eastAsia" w:ascii="黑体" w:hAnsi="黑体" w:eastAsia="黑体" w:cs="黑体"/>
          <w:b w:val="0"/>
          <w:bCs w:val="0"/>
          <w:sz w:val="32"/>
          <w:szCs w:val="32"/>
          <w:lang w:val="en-US" w:eastAsia="zh-CN"/>
        </w:rPr>
        <w:t>第一部分 2023年度部门预算情况说明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pStyle w:val="5"/>
        <w:keepNext w:val="0"/>
        <w:keepLines w:val="0"/>
        <w:pageBreakBefore w:val="0"/>
        <w:kinsoku/>
        <w:wordWrap/>
        <w:overflowPunct/>
        <w:topLinePunct w:val="0"/>
        <w:bidi w:val="0"/>
        <w:spacing w:line="560" w:lineRule="exact"/>
        <w:ind w:firstLine="640" w:firstLineChars="200"/>
        <w:jc w:val="both"/>
        <w:textAlignment w:val="auto"/>
        <w:rPr>
          <w:rFonts w:hint="eastAsia"/>
          <w:color w:val="auto"/>
          <w:sz w:val="32"/>
          <w:szCs w:val="32"/>
        </w:rPr>
      </w:pPr>
      <w:r>
        <w:rPr>
          <w:rFonts w:hint="eastAsia"/>
          <w:color w:val="auto"/>
          <w:sz w:val="32"/>
          <w:szCs w:val="32"/>
        </w:rPr>
        <w:t>北京市丰台区财政局（简称区财政局）为区政府工作部门，为正处级。</w:t>
      </w:r>
    </w:p>
    <w:p>
      <w:pPr>
        <w:pStyle w:val="5"/>
        <w:keepNext w:val="0"/>
        <w:keepLines w:val="0"/>
        <w:pageBreakBefore w:val="0"/>
        <w:kinsoku/>
        <w:wordWrap/>
        <w:overflowPunct/>
        <w:topLinePunct w:val="0"/>
        <w:bidi w:val="0"/>
        <w:spacing w:line="560" w:lineRule="exact"/>
        <w:ind w:firstLine="640" w:firstLineChars="200"/>
        <w:jc w:val="both"/>
        <w:textAlignment w:val="auto"/>
        <w:rPr>
          <w:rFonts w:hint="eastAsia" w:eastAsia="仿宋_GB2312"/>
          <w:color w:val="auto"/>
          <w:sz w:val="32"/>
          <w:szCs w:val="32"/>
          <w:lang w:eastAsia="zh-CN"/>
        </w:rPr>
      </w:pPr>
      <w:r>
        <w:rPr>
          <w:rFonts w:hint="eastAsia"/>
          <w:color w:val="auto"/>
          <w:sz w:val="32"/>
          <w:szCs w:val="32"/>
          <w:lang w:eastAsia="zh-CN"/>
        </w:rPr>
        <w:t>区财政局内设科室</w:t>
      </w:r>
      <w:r>
        <w:rPr>
          <w:rFonts w:hint="eastAsia"/>
          <w:color w:val="auto"/>
          <w:sz w:val="32"/>
          <w:szCs w:val="32"/>
          <w:lang w:val="en-US" w:eastAsia="zh-CN"/>
        </w:rPr>
        <w:t>20个，</w:t>
      </w:r>
      <w:r>
        <w:rPr>
          <w:rFonts w:hint="eastAsia"/>
          <w:color w:val="auto"/>
          <w:sz w:val="32"/>
          <w:szCs w:val="32"/>
          <w:lang w:eastAsia="zh-CN"/>
        </w:rPr>
        <w:t>分别为：办公室、综合科、预算科、金融债务科、绩效评价科、</w:t>
      </w:r>
      <w:r>
        <w:rPr>
          <w:rFonts w:hint="eastAsia" w:ascii="仿宋_GB2312" w:eastAsia="仿宋_GB2312" w:cs="楷体_GB2312"/>
          <w:sz w:val="32"/>
          <w:szCs w:val="32"/>
        </w:rPr>
        <w:t>资产管理科（国有资本经营预算科）</w:t>
      </w:r>
      <w:r>
        <w:rPr>
          <w:rFonts w:hint="eastAsia" w:cs="楷体_GB2312"/>
          <w:sz w:val="32"/>
          <w:szCs w:val="32"/>
          <w:lang w:eastAsia="zh-CN"/>
        </w:rPr>
        <w:t>、</w:t>
      </w:r>
      <w:r>
        <w:rPr>
          <w:rFonts w:hint="eastAsia" w:ascii="仿宋_GB2312" w:eastAsia="仿宋_GB2312" w:cs="楷体_GB2312"/>
          <w:sz w:val="32"/>
          <w:szCs w:val="32"/>
        </w:rPr>
        <w:t>国库科</w:t>
      </w:r>
      <w:r>
        <w:rPr>
          <w:rFonts w:hint="eastAsia" w:cs="楷体_GB2312"/>
          <w:sz w:val="32"/>
          <w:szCs w:val="32"/>
          <w:lang w:eastAsia="zh-CN"/>
        </w:rPr>
        <w:t>、行政政法科、教科文科、经济建设科、</w:t>
      </w:r>
      <w:r>
        <w:rPr>
          <w:rFonts w:hint="eastAsia" w:ascii="仿宋_GB2312" w:eastAsia="仿宋_GB2312" w:cs="楷体_GB2312"/>
          <w:sz w:val="32"/>
          <w:szCs w:val="32"/>
        </w:rPr>
        <w:t>公用事业科</w:t>
      </w:r>
      <w:r>
        <w:rPr>
          <w:rFonts w:hint="eastAsia" w:ascii="仿宋_GB2312" w:eastAsia="仿宋_GB2312" w:cs="仿宋_GB2312"/>
          <w:sz w:val="32"/>
          <w:szCs w:val="32"/>
        </w:rPr>
        <w:t>（环境保护科）</w:t>
      </w:r>
      <w:r>
        <w:rPr>
          <w:rFonts w:hint="eastAsia" w:cs="仿宋_GB2312"/>
          <w:sz w:val="32"/>
          <w:szCs w:val="32"/>
          <w:lang w:eastAsia="zh-CN"/>
        </w:rPr>
        <w:t>、街镇科（农业农村科）、</w:t>
      </w:r>
      <w:r>
        <w:rPr>
          <w:rFonts w:hint="eastAsia" w:ascii="仿宋_GB2312" w:eastAsia="仿宋_GB2312" w:cs="楷体_GB2312"/>
          <w:sz w:val="32"/>
          <w:szCs w:val="32"/>
        </w:rPr>
        <w:t>社会保障科</w:t>
      </w:r>
      <w:r>
        <w:rPr>
          <w:rFonts w:hint="eastAsia" w:cs="楷体_GB2312"/>
          <w:sz w:val="32"/>
          <w:szCs w:val="32"/>
          <w:lang w:eastAsia="zh-CN"/>
        </w:rPr>
        <w:t>、会计科、</w:t>
      </w:r>
      <w:r>
        <w:rPr>
          <w:rFonts w:hint="eastAsia" w:ascii="仿宋_GB2312" w:eastAsia="仿宋_GB2312" w:cs="楷体_GB2312"/>
          <w:sz w:val="32"/>
          <w:szCs w:val="32"/>
        </w:rPr>
        <w:t>财政监督科（内部控制办公室）</w:t>
      </w:r>
      <w:r>
        <w:rPr>
          <w:rFonts w:hint="eastAsia" w:cs="楷体_GB2312"/>
          <w:sz w:val="32"/>
          <w:szCs w:val="32"/>
          <w:lang w:eastAsia="zh-CN"/>
        </w:rPr>
        <w:t>、</w:t>
      </w:r>
      <w:r>
        <w:rPr>
          <w:rFonts w:hint="eastAsia" w:ascii="仿宋_GB2312" w:eastAsia="仿宋_GB2312" w:cs="楷体_GB2312"/>
          <w:sz w:val="32"/>
          <w:szCs w:val="32"/>
        </w:rPr>
        <w:t>政府采购科（控制社会集团购买力办公室）</w:t>
      </w:r>
      <w:r>
        <w:rPr>
          <w:rFonts w:hint="eastAsia" w:cs="楷体_GB2312"/>
          <w:sz w:val="32"/>
          <w:szCs w:val="32"/>
          <w:lang w:eastAsia="zh-CN"/>
        </w:rPr>
        <w:t>、法制科、行政科、</w:t>
      </w:r>
      <w:r>
        <w:rPr>
          <w:rFonts w:hint="eastAsia" w:ascii="仿宋_GB2312" w:eastAsia="仿宋_GB2312" w:cs="楷体_GB2312"/>
          <w:sz w:val="32"/>
          <w:szCs w:val="32"/>
        </w:rPr>
        <w:t>人事教育科</w:t>
      </w:r>
      <w:r>
        <w:rPr>
          <w:rFonts w:hint="eastAsia" w:cs="楷体_GB2312"/>
          <w:sz w:val="32"/>
          <w:szCs w:val="32"/>
          <w:lang w:eastAsia="zh-CN"/>
        </w:rPr>
        <w:t>、财源建设科。</w:t>
      </w:r>
    </w:p>
    <w:p>
      <w:pPr>
        <w:pStyle w:val="5"/>
        <w:keepNext w:val="0"/>
        <w:keepLines w:val="0"/>
        <w:pageBreakBefore w:val="0"/>
        <w:kinsoku/>
        <w:wordWrap/>
        <w:overflowPunct/>
        <w:topLinePunct w:val="0"/>
        <w:bidi w:val="0"/>
        <w:spacing w:line="560" w:lineRule="exact"/>
        <w:ind w:firstLine="640" w:firstLineChars="200"/>
        <w:jc w:val="both"/>
        <w:textAlignment w:val="auto"/>
        <w:rPr>
          <w:color w:val="auto"/>
          <w:sz w:val="32"/>
          <w:szCs w:val="32"/>
        </w:rPr>
      </w:pPr>
      <w:r>
        <w:rPr>
          <w:rFonts w:hint="eastAsia"/>
          <w:color w:val="auto"/>
          <w:sz w:val="32"/>
          <w:szCs w:val="32"/>
          <w:lang w:eastAsia="zh-CN"/>
        </w:rPr>
        <w:t>区财政局下属参公事业单位</w:t>
      </w:r>
      <w:r>
        <w:rPr>
          <w:rFonts w:hint="eastAsia"/>
          <w:color w:val="auto"/>
          <w:sz w:val="32"/>
          <w:szCs w:val="32"/>
          <w:lang w:val="en-US" w:eastAsia="zh-CN"/>
        </w:rPr>
        <w:t>4个，分别为财政监督检查所、财政国库支付中心、财政绩效考评中心、财政预算编审中心；下属一般事业单位1个，为财政综合服务中心。</w:t>
      </w:r>
    </w:p>
    <w:p>
      <w:pPr>
        <w:pStyle w:val="5"/>
        <w:keepNext w:val="0"/>
        <w:keepLines w:val="0"/>
        <w:pageBreakBefore w:val="0"/>
        <w:kinsoku/>
        <w:wordWrap/>
        <w:overflowPunct/>
        <w:topLinePunct w:val="0"/>
        <w:bidi w:val="0"/>
        <w:spacing w:line="560" w:lineRule="exact"/>
        <w:ind w:firstLine="640" w:firstLineChars="200"/>
        <w:jc w:val="both"/>
        <w:textAlignment w:val="auto"/>
        <w:rPr>
          <w:color w:val="auto"/>
          <w:sz w:val="32"/>
          <w:szCs w:val="32"/>
        </w:rPr>
      </w:pPr>
      <w:r>
        <w:rPr>
          <w:rFonts w:hint="eastAsia"/>
          <w:color w:val="auto"/>
          <w:sz w:val="32"/>
          <w:szCs w:val="32"/>
        </w:rPr>
        <w:t xml:space="preserve">区财政局贯彻落实党中央关于财政工作的方针政策、决策部署和市委、区委有关工作要求，在履行职责过程中坚持和加强党对财政工作的集中统一领导。主要职责是： </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贯彻落实国家和北京市关于财政、财务、会计管理方面的法律、行政法规、部门规章和政策，并监督执行。</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拟订本区财政发展战略、规划、政策和改革方案并组织实施；分析预测全区收入形势，研究提出运用财税政策对经济运行实施调控和综合平衡本区财力的建议；拟订并执行市与区、区与街乡、国家与企业的分配政策。</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贯彻执行政府债务管理的制度和政策；拟订本区政府性债务管理办法；执行区政府债务余额限额计划；依法依规拟订政府防范债务风险的措施。</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管理区本级各项财政收支；编制年度预决算草案并组织执行；组织制定经费开支标准、定额，审核批复部门（单位）的年度预决算；受区政府委托，向区人民代表大会及其常委会报告本区预算、执行及决算等情况；完善转移支付制度；负责政府投资基金中区级财政出资的资产管理；负责区级预决算公开；负责办理和监督区级财政的经济发展支出、区级政府投资项目的财政拨款，参与拟订本区基建投资有关政策措施，制订基建财务管理制度；承担预算评审管理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按分工负责政府非税收入管理；负责政府性基金管理；按规定管理行政事业性收费；管理财政票据；落实彩票管理有关办法，负责彩票资金管理。</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组织制定本区国库管理制度、国库集中收付制度，指导和监督本区国库业务；负责国库现金管理的有关工作；制定政府财务报告编制办法并组织实施。</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拟订本区政府采购政策措施并监督管理；承担区本级行政执法用车、特种专业技术用车定编工作。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牵头编制国有资产管理情况报告；履行区本级国有金融资本管理职责，负责组织实施基础管理、经营预算、绩效考核、负责人薪酬管理等工作；负责拟订行政事业单位国有资产管理制度并组织实施；组织落实全市统一规定的开支标准和支出政策。</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负责审核和汇总编制本区国有资本经营预决算草案；制定国有资本经营预算的制度和办法，收取区本级企业国有资本收益；组织实施企业财务制度，参与拟订企业国有资产管理相关制度。</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负责审核并汇总编制本区社会保险基金预决算草案，会同有关部门拟订有关资金（基金）的财务管理制度，承担社会保险基金财政监管工作。</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负责管理本区会计工作，监督和规范会计行为，执行国家统一的会计制度。</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负责组织实施全面预算绩效管理工作，研究完善本区财政支出绩效评价制度和评价体系。</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承担丰台区社会保障基金管理有关工作。</w:t>
      </w:r>
    </w:p>
    <w:p>
      <w:pPr>
        <w:pStyle w:val="5"/>
        <w:keepNext w:val="0"/>
        <w:keepLines w:val="0"/>
        <w:pageBreakBefore w:val="0"/>
        <w:kinsoku/>
        <w:wordWrap/>
        <w:overflowPunct/>
        <w:topLinePunct w:val="0"/>
        <w:bidi w:val="0"/>
        <w:spacing w:line="560" w:lineRule="exact"/>
        <w:ind w:firstLine="640" w:firstLineChars="200"/>
        <w:jc w:val="both"/>
        <w:textAlignment w:val="auto"/>
        <w:rPr>
          <w:rFonts w:hint="eastAsia"/>
          <w:color w:val="auto"/>
          <w:sz w:val="32"/>
          <w:szCs w:val="32"/>
        </w:rPr>
      </w:pPr>
      <w:r>
        <w:rPr>
          <w:rFonts w:hint="eastAsia"/>
          <w:color w:val="auto"/>
          <w:sz w:val="32"/>
          <w:szCs w:val="32"/>
          <w:lang w:val="en-US" w:eastAsia="zh-CN"/>
        </w:rPr>
        <w:t>14.</w:t>
      </w:r>
      <w:r>
        <w:rPr>
          <w:rFonts w:hint="eastAsia"/>
          <w:color w:val="auto"/>
          <w:sz w:val="32"/>
          <w:szCs w:val="32"/>
        </w:rPr>
        <w:t>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行政编制</w:t>
      </w:r>
      <w:r>
        <w:rPr>
          <w:rFonts w:hint="eastAsia" w:ascii="仿宋_GB2312" w:hAnsi="仿宋_GB2312" w:eastAsia="仿宋_GB2312" w:cs="仿宋_GB2312"/>
          <w:sz w:val="32"/>
          <w:szCs w:val="32"/>
          <w:lang w:val="en-US" w:eastAsia="zh-CN"/>
        </w:rPr>
        <w:t>86</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人；事业编制</w:t>
      </w: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69</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离退休人员</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人，其中：退休</w:t>
      </w:r>
      <w:r>
        <w:rPr>
          <w:rFonts w:hint="eastAsia" w:ascii="仿宋_GB2312" w:hAnsi="仿宋_GB2312" w:eastAsia="仿宋_GB2312" w:cs="仿宋_GB2312"/>
          <w:sz w:val="32"/>
          <w:szCs w:val="32"/>
          <w:lang w:val="en-US" w:eastAsia="zh-CN"/>
        </w:rPr>
        <w:t>83</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本预算年度的主要工作任务(需部门自行填写)</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Calibri" w:eastAsia="仿宋_GB2312" w:cs="楷体_GB2312"/>
          <w:color w:val="000000"/>
          <w:kern w:val="0"/>
          <w:sz w:val="32"/>
          <w:szCs w:val="32"/>
          <w:lang w:val="en-US" w:eastAsia="zh-CN" w:bidi="ar-SA"/>
        </w:rPr>
      </w:pPr>
      <w:r>
        <w:rPr>
          <w:rFonts w:hint="eastAsia" w:ascii="仿宋_GB2312" w:hAnsi="Calibri" w:eastAsia="仿宋_GB2312" w:cs="楷体_GB2312"/>
          <w:color w:val="000000"/>
          <w:kern w:val="0"/>
          <w:sz w:val="32"/>
          <w:szCs w:val="32"/>
          <w:lang w:val="en-US" w:eastAsia="zh-CN" w:bidi="ar-SA"/>
        </w:rPr>
        <w:t>加强财政队伍建设，不断提升财政干部识大体、顾大局、谋长远的核心素养；继续深化财源建设，提升财政保障能力；优化资源配置，提升财政资金使用效能；充分利用财政信息化工具，增强财政在促进经济和社会发展中的资金保障能力；强化预算绩效管理，推进重点领域成本绩效改革，开展优化财政支出结构分析工作，促进财政资金科学化、精细化管理，推动“妙笔生花看丰台”愿景早日成为现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年收入预算</w:t>
      </w:r>
      <w:r>
        <w:rPr>
          <w:rFonts w:hint="eastAsia" w:ascii="仿宋_GB2312" w:hAnsi="仿宋_GB2312" w:eastAsia="仿宋_GB2312" w:cs="仿宋_GB2312"/>
          <w:sz w:val="32"/>
          <w:szCs w:val="32"/>
          <w:lang w:val="en-US" w:eastAsia="zh-CN"/>
        </w:rPr>
        <w:t>7094.05</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7755.56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减少661.51</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下降8.53</w:t>
      </w:r>
      <w:r>
        <w:rPr>
          <w:rFonts w:hint="default" w:ascii="仿宋_GB2312" w:hAnsi="仿宋_GB2312" w:eastAsia="仿宋_GB2312" w:cs="仿宋_GB2312"/>
          <w:sz w:val="32"/>
          <w:szCs w:val="32"/>
          <w:lang w:val="en-US" w:eastAsia="zh-CN"/>
        </w:rPr>
        <w:t>%。其中：本年财政拨款收入</w:t>
      </w:r>
      <w:r>
        <w:rPr>
          <w:rFonts w:hint="eastAsia" w:ascii="仿宋_GB2312" w:hAnsi="仿宋_GB2312" w:eastAsia="仿宋_GB2312" w:cs="仿宋_GB2312"/>
          <w:sz w:val="32"/>
          <w:szCs w:val="32"/>
          <w:lang w:val="en-US" w:eastAsia="zh-CN"/>
        </w:rPr>
        <w:t>7094.05</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7755.56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减少661.51</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年持平；上年结转结余资金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持平</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w:t>
      </w:r>
      <w:r>
        <w:rPr>
          <w:rFonts w:hint="eastAsia" w:ascii="仿宋_GB2312" w:hAnsi="仿宋_GB2312" w:eastAsia="仿宋_GB2312" w:cs="仿宋_GB2312"/>
          <w:sz w:val="32"/>
          <w:szCs w:val="32"/>
          <w:lang w:val="en-US" w:eastAsia="zh-CN"/>
        </w:rPr>
        <w:t>5613.45</w:t>
      </w:r>
      <w:r>
        <w:rPr>
          <w:rFonts w:hint="default" w:ascii="仿宋_GB2312" w:hAnsi="仿宋_GB2312" w:eastAsia="仿宋_GB2312" w:cs="仿宋_GB2312"/>
          <w:sz w:val="32"/>
          <w:szCs w:val="32"/>
          <w:lang w:val="en-US" w:eastAsia="zh-CN"/>
        </w:rPr>
        <w:t>万元，占总支出预算</w:t>
      </w:r>
      <w:r>
        <w:rPr>
          <w:rFonts w:hint="eastAsia" w:ascii="仿宋_GB2312" w:hAnsi="仿宋_GB2312" w:eastAsia="仿宋_GB2312" w:cs="仿宋_GB2312"/>
          <w:sz w:val="32"/>
          <w:szCs w:val="32"/>
          <w:lang w:val="en-US" w:eastAsia="zh-CN"/>
        </w:rPr>
        <w:t>79.13</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4601.19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增加1012.26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，主要原因是2022年新录用人员较多，参照2022年预算执行情况，本年有所增加</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楷体_GB2312"/>
          <w:color w:val="000000"/>
          <w:kern w:val="0"/>
          <w:sz w:val="32"/>
          <w:szCs w:val="32"/>
          <w:lang w:val="en-US" w:eastAsia="zh-CN" w:bidi="ar-SA"/>
        </w:rPr>
      </w:pPr>
      <w:r>
        <w:rPr>
          <w:rFonts w:hint="default" w:ascii="仿宋_GB2312" w:hAnsi="仿宋_GB2312" w:eastAsia="仿宋_GB2312" w:cs="仿宋_GB2312"/>
          <w:sz w:val="32"/>
          <w:szCs w:val="32"/>
          <w:lang w:val="en-US" w:eastAsia="zh-CN"/>
        </w:rPr>
        <w:t>（二）项</w:t>
      </w:r>
      <w:r>
        <w:rPr>
          <w:rFonts w:hint="default" w:ascii="仿宋_GB2312" w:hAnsi="Calibri" w:eastAsia="仿宋_GB2312" w:cs="楷体_GB2312"/>
          <w:color w:val="000000"/>
          <w:kern w:val="0"/>
          <w:sz w:val="32"/>
          <w:szCs w:val="32"/>
          <w:lang w:val="en-US" w:eastAsia="zh-CN" w:bidi="ar-SA"/>
        </w:rPr>
        <w:t>目支出预算</w:t>
      </w:r>
      <w:r>
        <w:rPr>
          <w:rFonts w:hint="eastAsia" w:ascii="仿宋_GB2312" w:eastAsia="仿宋_GB2312" w:cs="楷体_GB2312"/>
          <w:color w:val="000000"/>
          <w:kern w:val="0"/>
          <w:sz w:val="32"/>
          <w:szCs w:val="32"/>
          <w:lang w:val="en-US" w:eastAsia="zh-CN" w:bidi="ar-SA"/>
        </w:rPr>
        <w:t>1480.59</w:t>
      </w:r>
      <w:r>
        <w:rPr>
          <w:rFonts w:hint="default" w:ascii="仿宋_GB2312" w:hAnsi="Calibri" w:eastAsia="仿宋_GB2312" w:cs="楷体_GB2312"/>
          <w:color w:val="000000"/>
          <w:kern w:val="0"/>
          <w:sz w:val="32"/>
          <w:szCs w:val="32"/>
          <w:lang w:val="en-US" w:eastAsia="zh-CN" w:bidi="ar-SA"/>
        </w:rPr>
        <w:t>万元，比202</w:t>
      </w:r>
      <w:r>
        <w:rPr>
          <w:rFonts w:hint="eastAsia" w:ascii="仿宋_GB2312" w:eastAsia="仿宋_GB2312" w:cs="楷体_GB2312"/>
          <w:color w:val="000000"/>
          <w:kern w:val="0"/>
          <w:sz w:val="32"/>
          <w:szCs w:val="32"/>
          <w:lang w:val="en-US" w:eastAsia="zh-CN" w:bidi="ar-SA"/>
        </w:rPr>
        <w:t>2</w:t>
      </w:r>
      <w:r>
        <w:rPr>
          <w:rFonts w:hint="default" w:ascii="仿宋_GB2312" w:hAnsi="Calibri" w:eastAsia="仿宋_GB2312" w:cs="楷体_GB2312"/>
          <w:color w:val="000000"/>
          <w:kern w:val="0"/>
          <w:sz w:val="32"/>
          <w:szCs w:val="32"/>
          <w:lang w:val="en-US" w:eastAsia="zh-CN" w:bidi="ar-SA"/>
        </w:rPr>
        <w:t>年</w:t>
      </w:r>
      <w:r>
        <w:rPr>
          <w:rFonts w:hint="eastAsia" w:ascii="仿宋_GB2312" w:eastAsia="仿宋_GB2312" w:cs="楷体_GB2312"/>
          <w:color w:val="000000"/>
          <w:kern w:val="0"/>
          <w:sz w:val="32"/>
          <w:szCs w:val="32"/>
          <w:lang w:val="en-US" w:eastAsia="zh-CN" w:bidi="ar-SA"/>
        </w:rPr>
        <w:t>3154.37</w:t>
      </w:r>
      <w:r>
        <w:rPr>
          <w:rFonts w:hint="default" w:ascii="仿宋_GB2312" w:hAnsi="Calibri" w:eastAsia="仿宋_GB2312" w:cs="楷体_GB2312"/>
          <w:color w:val="000000"/>
          <w:kern w:val="0"/>
          <w:sz w:val="32"/>
          <w:szCs w:val="32"/>
          <w:lang w:val="en-US" w:eastAsia="zh-CN" w:bidi="ar-SA"/>
        </w:rPr>
        <w:t>万元</w:t>
      </w:r>
      <w:r>
        <w:rPr>
          <w:rFonts w:hint="eastAsia" w:ascii="仿宋_GB2312" w:eastAsia="仿宋_GB2312" w:cs="楷体_GB2312"/>
          <w:color w:val="000000"/>
          <w:kern w:val="0"/>
          <w:sz w:val="32"/>
          <w:szCs w:val="32"/>
          <w:lang w:val="en-US" w:eastAsia="zh-CN" w:bidi="ar-SA"/>
        </w:rPr>
        <w:t>减少</w:t>
      </w:r>
      <w:r>
        <w:rPr>
          <w:rFonts w:hint="eastAsia" w:ascii="仿宋_GB2312" w:hAnsi="Calibri" w:eastAsia="仿宋_GB2312" w:cs="楷体_GB2312"/>
          <w:color w:val="000000"/>
          <w:kern w:val="0"/>
          <w:sz w:val="32"/>
          <w:szCs w:val="32"/>
          <w:lang w:val="en-US" w:eastAsia="zh-CN" w:bidi="ar-SA"/>
        </w:rPr>
        <w:t>1</w:t>
      </w:r>
      <w:r>
        <w:rPr>
          <w:rFonts w:hint="eastAsia" w:ascii="仿宋_GB2312" w:eastAsia="仿宋_GB2312" w:cs="楷体_GB2312"/>
          <w:color w:val="000000"/>
          <w:kern w:val="0"/>
          <w:sz w:val="32"/>
          <w:szCs w:val="32"/>
          <w:lang w:val="en-US" w:eastAsia="zh-CN" w:bidi="ar-SA"/>
        </w:rPr>
        <w:t>673.78</w:t>
      </w:r>
      <w:r>
        <w:rPr>
          <w:rFonts w:hint="default" w:ascii="仿宋_GB2312" w:hAnsi="Calibri" w:eastAsia="仿宋_GB2312" w:cs="楷体_GB2312"/>
          <w:color w:val="000000"/>
          <w:kern w:val="0"/>
          <w:sz w:val="32"/>
          <w:szCs w:val="32"/>
          <w:lang w:val="en-US" w:eastAsia="zh-CN" w:bidi="ar-SA"/>
        </w:rPr>
        <w:t>万元，</w:t>
      </w:r>
      <w:r>
        <w:rPr>
          <w:rFonts w:hint="eastAsia" w:ascii="仿宋_GB2312" w:eastAsia="仿宋_GB2312" w:cs="楷体_GB2312"/>
          <w:color w:val="000000"/>
          <w:kern w:val="0"/>
          <w:sz w:val="32"/>
          <w:szCs w:val="32"/>
          <w:lang w:val="en-US" w:eastAsia="zh-CN" w:bidi="ar-SA"/>
        </w:rPr>
        <w:t>下降53.06</w:t>
      </w:r>
      <w:r>
        <w:rPr>
          <w:rFonts w:hint="default" w:ascii="仿宋_GB2312" w:hAnsi="Calibri" w:eastAsia="仿宋_GB2312" w:cs="楷体_GB2312"/>
          <w:color w:val="000000"/>
          <w:kern w:val="0"/>
          <w:sz w:val="32"/>
          <w:szCs w:val="32"/>
          <w:lang w:val="en-US" w:eastAsia="zh-CN" w:bidi="ar-SA"/>
        </w:rPr>
        <w:t>%，</w:t>
      </w:r>
      <w:r>
        <w:rPr>
          <w:rFonts w:hint="eastAsia" w:ascii="仿宋_GB2312" w:hAnsi="Calibri" w:eastAsia="仿宋_GB2312" w:cs="楷体_GB2312"/>
          <w:color w:val="000000"/>
          <w:kern w:val="0"/>
          <w:sz w:val="32"/>
          <w:szCs w:val="32"/>
          <w:lang w:val="en-US" w:eastAsia="zh-CN" w:bidi="ar-SA"/>
        </w:rPr>
        <w:t>主要是</w:t>
      </w:r>
      <w:r>
        <w:rPr>
          <w:rFonts w:hint="eastAsia" w:ascii="仿宋_GB2312" w:eastAsia="仿宋_GB2312" w:cs="楷体_GB2312"/>
          <w:color w:val="000000"/>
          <w:kern w:val="0"/>
          <w:sz w:val="32"/>
          <w:szCs w:val="32"/>
          <w:lang w:val="en-US" w:eastAsia="zh-CN" w:bidi="ar-SA"/>
        </w:rPr>
        <w:t>受三年疫情影响，财政收支压力突出，为响应政府过“紧日子”的要求，2023年</w:t>
      </w:r>
      <w:r>
        <w:rPr>
          <w:rFonts w:hint="eastAsia" w:ascii="仿宋_GB2312" w:hAnsi="Calibri" w:eastAsia="仿宋_GB2312" w:cs="楷体_GB2312"/>
          <w:color w:val="000000"/>
          <w:kern w:val="0"/>
          <w:sz w:val="32"/>
          <w:szCs w:val="32"/>
          <w:lang w:val="en-US" w:eastAsia="zh-CN" w:bidi="ar-SA"/>
        </w:rPr>
        <w:t>项目预算压减</w:t>
      </w:r>
      <w:r>
        <w:rPr>
          <w:rFonts w:hint="eastAsia" w:ascii="仿宋_GB2312" w:eastAsia="仿宋_GB2312" w:cs="楷体_GB2312"/>
          <w:color w:val="000000"/>
          <w:kern w:val="0"/>
          <w:sz w:val="32"/>
          <w:szCs w:val="32"/>
          <w:lang w:val="en-US" w:eastAsia="zh-CN" w:bidi="ar-SA"/>
        </w:rPr>
        <w:t>过</w:t>
      </w:r>
      <w:r>
        <w:rPr>
          <w:rFonts w:hint="eastAsia" w:ascii="仿宋_GB2312" w:hAnsi="Calibri" w:eastAsia="仿宋_GB2312" w:cs="楷体_GB2312"/>
          <w:color w:val="000000"/>
          <w:kern w:val="0"/>
          <w:sz w:val="32"/>
          <w:szCs w:val="32"/>
          <w:lang w:val="en-US" w:eastAsia="zh-CN" w:bidi="ar-SA"/>
        </w:rPr>
        <w:t>半</w:t>
      </w:r>
      <w:r>
        <w:rPr>
          <w:rFonts w:hint="eastAsia" w:ascii="仿宋_GB2312" w:eastAsia="仿宋_GB2312" w:cs="楷体_GB2312"/>
          <w:color w:val="000000"/>
          <w:kern w:val="0"/>
          <w:sz w:val="32"/>
          <w:szCs w:val="32"/>
          <w:lang w:val="en-US" w:eastAsia="zh-CN" w:bidi="ar-SA"/>
        </w:rPr>
        <w:t>。</w:t>
      </w:r>
      <w:r>
        <w:rPr>
          <w:rFonts w:hint="default" w:ascii="仿宋_GB2312" w:hAnsi="Calibri" w:eastAsia="仿宋_GB2312" w:cs="楷体_GB2312"/>
          <w:color w:val="000000"/>
          <w:kern w:val="0"/>
          <w:sz w:val="32"/>
          <w:szCs w:val="32"/>
          <w:lang w:val="en-US" w:eastAsia="zh-CN" w:bidi="ar-SA"/>
        </w:rPr>
        <w:t>部门预算项目主要为</w:t>
      </w:r>
      <w:r>
        <w:rPr>
          <w:rFonts w:hint="eastAsia" w:ascii="仿宋_GB2312" w:hAnsi="Calibri" w:eastAsia="仿宋_GB2312" w:cs="楷体_GB2312"/>
          <w:color w:val="000000"/>
          <w:kern w:val="0"/>
          <w:sz w:val="32"/>
          <w:szCs w:val="32"/>
          <w:lang w:val="en-US" w:eastAsia="zh-CN" w:bidi="ar-SA"/>
        </w:rPr>
        <w:t>投资评审费、票据印刷费、绩效评价费、</w:t>
      </w:r>
      <w:r>
        <w:rPr>
          <w:rFonts w:hint="eastAsia" w:ascii="仿宋_GB2312" w:eastAsia="仿宋_GB2312" w:cs="楷体_GB2312"/>
          <w:color w:val="000000"/>
          <w:kern w:val="0"/>
          <w:sz w:val="32"/>
          <w:szCs w:val="32"/>
          <w:lang w:val="en-US" w:eastAsia="zh-CN" w:bidi="ar-SA"/>
        </w:rPr>
        <w:t>代理银行手续费</w:t>
      </w:r>
      <w:r>
        <w:rPr>
          <w:rFonts w:hint="default" w:ascii="仿宋_GB2312" w:hAnsi="Calibri" w:eastAsia="仿宋_GB2312" w:cs="楷体_GB2312"/>
          <w:color w:val="000000"/>
          <w:kern w:val="0"/>
          <w:sz w:val="32"/>
          <w:szCs w:val="32"/>
          <w:lang w:val="en-US" w:eastAsia="zh-CN" w:bidi="ar-SA"/>
        </w:rPr>
        <w:t>等。</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事业单位经营支出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上缴上级支出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（五）对附属单位补助支出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四、部门"三公"经费财政拨款预算说明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（一）"三公经费"的单位范围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"三公经费"财政拨款情况说明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年"三公经费"财政拨款预算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年"三公经费"财政拨款预算</w:t>
      </w:r>
      <w:r>
        <w:rPr>
          <w:rFonts w:hint="eastAsia" w:ascii="仿宋_GB2312" w:hAnsi="仿宋_GB2312" w:eastAsia="仿宋_GB2312" w:cs="仿宋_GB2312"/>
          <w:sz w:val="32"/>
          <w:szCs w:val="32"/>
          <w:lang w:val="en-US" w:eastAsia="zh-CN"/>
        </w:rPr>
        <w:t>相同</w:t>
      </w:r>
      <w:r>
        <w:rPr>
          <w:rFonts w:hint="default" w:ascii="仿宋_GB2312" w:hAnsi="仿宋_GB2312" w:eastAsia="仿宋_GB2312" w:cs="仿宋_GB2312"/>
          <w:sz w:val="32"/>
          <w:szCs w:val="32"/>
          <w:lang w:val="en-US" w:eastAsia="zh-CN"/>
        </w:rPr>
        <w:t>。其中：</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因公出国（境）费用。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不涉及此项预算，由区财政统一预留。</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公务接待费。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年预算数</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主要原因：</w:t>
      </w:r>
      <w:r>
        <w:rPr>
          <w:rFonts w:hint="eastAsia" w:ascii="仿宋_GB2312" w:hAnsi="仿宋_GB2312" w:eastAsia="仿宋_GB2312" w:cs="仿宋_GB2312"/>
          <w:sz w:val="32"/>
          <w:szCs w:val="32"/>
          <w:highlight w:val="none"/>
          <w:lang w:val="en-US" w:eastAsia="zh-CN"/>
        </w:rPr>
        <w:t>区财政加强管理，年初由财政统一预留</w:t>
      </w:r>
      <w:r>
        <w:rPr>
          <w:rFonts w:hint="default" w:ascii="仿宋_GB2312" w:hAnsi="仿宋_GB2312" w:eastAsia="仿宋_GB2312" w:cs="仿宋_GB2312"/>
          <w:sz w:val="32"/>
          <w:szCs w:val="32"/>
          <w:highlight w:val="none"/>
          <w:lang w:val="en-US" w:eastAsia="zh-CN"/>
        </w:rPr>
        <w:t>。</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公务用车购置和运行维护费。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不涉及此项预算，购置费年初由区财政统一预留，本单位公务用车统一由区机关事务管理服务中心进行管理。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FF0000"/>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政府采购预算总额</w:t>
      </w:r>
      <w:r>
        <w:rPr>
          <w:rFonts w:hint="eastAsia" w:ascii="仿宋_GB2312" w:hAnsi="仿宋_GB2312" w:eastAsia="仿宋_GB2312" w:cs="仿宋_GB2312"/>
          <w:sz w:val="32"/>
          <w:szCs w:val="32"/>
          <w:lang w:val="en-US" w:eastAsia="zh-CN"/>
        </w:rPr>
        <w:t>1045.08</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部门政府购买服务预算总额</w:t>
      </w:r>
      <w:r>
        <w:rPr>
          <w:rFonts w:hint="eastAsia" w:ascii="仿宋_GB2312" w:hAnsi="仿宋_GB2312" w:eastAsia="仿宋_GB2312" w:cs="仿宋_GB2312"/>
          <w:sz w:val="32"/>
          <w:szCs w:val="32"/>
          <w:lang w:val="en-US" w:eastAsia="zh-CN"/>
        </w:rPr>
        <w:t>1244.13</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区财政局1</w:t>
      </w:r>
      <w:r>
        <w:rPr>
          <w:rFonts w:hint="default" w:ascii="仿宋_GB2312" w:hAnsi="仿宋_GB2312" w:eastAsia="仿宋_GB2312" w:cs="仿宋_GB2312"/>
          <w:sz w:val="32"/>
          <w:szCs w:val="32"/>
          <w:lang w:val="en-US" w:eastAsia="zh-CN"/>
        </w:rPr>
        <w:t>家行政单位以及</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家参公管理事业单位的机关运行经费财政拨款预算</w:t>
      </w:r>
      <w:r>
        <w:rPr>
          <w:rFonts w:hint="eastAsia" w:ascii="仿宋_GB2312" w:hAnsi="仿宋_GB2312" w:eastAsia="仿宋_GB2312" w:cs="仿宋_GB2312"/>
          <w:sz w:val="32"/>
          <w:szCs w:val="32"/>
          <w:lang w:val="en-US" w:eastAsia="zh-CN"/>
        </w:rPr>
        <w:t>407.28</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丰台区财政局</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1480.59</w:t>
      </w:r>
      <w:r>
        <w:rPr>
          <w:rFonts w:hint="default" w:ascii="仿宋_GB2312" w:hAnsi="仿宋_GB2312" w:eastAsia="仿宋_GB2312" w:cs="仿宋_GB2312"/>
          <w:sz w:val="32"/>
          <w:szCs w:val="32"/>
          <w:lang w:val="en-US" w:eastAsia="zh-CN"/>
        </w:rPr>
        <w:t>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行政事业性收费项目</w:t>
      </w:r>
      <w:r>
        <w:rPr>
          <w:rFonts w:hint="eastAsia" w:ascii="仿宋_GB2312" w:hAnsi="仿宋_GB2312" w:eastAsia="仿宋_GB2312" w:cs="仿宋_GB2312"/>
          <w:sz w:val="32"/>
          <w:szCs w:val="32"/>
          <w:lang w:val="en-US" w:eastAsia="zh-CN"/>
        </w:rPr>
        <w:t>主要有：</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lang w:val="en-US" w:eastAsia="zh-CN"/>
        </w:rPr>
      </w:pPr>
      <w:r>
        <w:rPr>
          <w:rFonts w:hint="eastAsia" w:ascii="仿宋_GB2312" w:hAnsi="宋体" w:eastAsia="仿宋_GB2312" w:cs="宋体"/>
          <w:color w:val="000000"/>
          <w:spacing w:val="15"/>
          <w:kern w:val="0"/>
          <w:sz w:val="32"/>
          <w:szCs w:val="32"/>
          <w:highlight w:val="none"/>
          <w:lang w:val="en-US" w:eastAsia="zh-CN"/>
        </w:rPr>
        <w:t>初级会计专业技术资格考试费</w:t>
      </w:r>
    </w:p>
    <w:p>
      <w:pPr>
        <w:keepNext w:val="0"/>
        <w:keepLines w:val="0"/>
        <w:pageBreakBefore w:val="0"/>
        <w:widowControl/>
        <w:kinsoku/>
        <w:wordWrap/>
        <w:overflowPunct/>
        <w:topLinePunct w:val="0"/>
        <w:bidi w:val="0"/>
        <w:adjustRightInd w:val="0"/>
        <w:spacing w:line="560" w:lineRule="exact"/>
        <w:ind w:firstLine="1280" w:firstLineChars="400"/>
        <w:jc w:val="lef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收费依据</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计价格[2000]1567号</w:t>
      </w:r>
    </w:p>
    <w:p>
      <w:pPr>
        <w:keepNext w:val="0"/>
        <w:keepLines w:val="0"/>
        <w:pageBreakBefore w:val="0"/>
        <w:widowControl/>
        <w:kinsoku/>
        <w:wordWrap/>
        <w:overflowPunct/>
        <w:topLinePunct w:val="0"/>
        <w:bidi w:val="0"/>
        <w:adjustRightInd w:val="0"/>
        <w:spacing w:line="560" w:lineRule="exact"/>
        <w:ind w:firstLine="3150" w:firstLineChars="9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京财综[2006]3112号</w:t>
      </w:r>
    </w:p>
    <w:p>
      <w:pPr>
        <w:keepNext w:val="0"/>
        <w:keepLines w:val="0"/>
        <w:pageBreakBefore w:val="0"/>
        <w:widowControl/>
        <w:kinsoku/>
        <w:wordWrap/>
        <w:overflowPunct/>
        <w:topLinePunct w:val="0"/>
        <w:bidi w:val="0"/>
        <w:adjustRightInd w:val="0"/>
        <w:spacing w:line="560" w:lineRule="exact"/>
        <w:ind w:firstLine="3150" w:firstLineChars="900"/>
        <w:jc w:val="left"/>
        <w:textAlignment w:val="auto"/>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京发改[2013]2842号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 xml:space="preserve">        执收主体</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收费部门</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r>
        <w:rPr>
          <w:rFonts w:hint="default"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highlight w:val="none"/>
          <w:lang w:val="en-US" w:eastAsia="zh-CN"/>
        </w:rPr>
        <w:t>标准</w:t>
      </w:r>
      <w:r>
        <w:rPr>
          <w:rFonts w:hint="eastAsia" w:ascii="仿宋_GB2312" w:hAnsi="仿宋_GB2312" w:eastAsia="仿宋_GB2312" w:cs="仿宋_GB2312"/>
          <w:sz w:val="32"/>
          <w:szCs w:val="32"/>
          <w:highlight w:val="none"/>
          <w:lang w:val="en-US" w:eastAsia="zh-CN"/>
        </w:rPr>
        <w:t>：56元/人/科</w:t>
      </w:r>
      <w:r>
        <w:rPr>
          <w:rFonts w:hint="default"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收入预计</w:t>
      </w:r>
      <w:r>
        <w:rPr>
          <w:rFonts w:hint="eastAsia" w:ascii="仿宋_GB2312" w:hAnsi="仿宋_GB2312" w:eastAsia="仿宋_GB2312" w:cs="仿宋_GB2312"/>
          <w:sz w:val="32"/>
          <w:szCs w:val="32"/>
          <w:highlight w:val="none"/>
          <w:lang w:val="en-US" w:eastAsia="zh-CN"/>
        </w:rPr>
        <w:t>：89.96</w:t>
      </w:r>
      <w:r>
        <w:rPr>
          <w:rFonts w:hint="default" w:ascii="仿宋_GB2312" w:hAnsi="仿宋_GB2312" w:eastAsia="仿宋_GB2312" w:cs="仿宋_GB2312"/>
          <w:sz w:val="32"/>
          <w:szCs w:val="32"/>
          <w:highlight w:val="none"/>
          <w:lang w:val="en-US" w:eastAsia="zh-CN"/>
        </w:rPr>
        <w:t>万元。</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lang w:eastAsia="zh-CN"/>
        </w:rPr>
        <w:t>中</w:t>
      </w:r>
      <w:r>
        <w:rPr>
          <w:rFonts w:hint="eastAsia" w:ascii="仿宋_GB2312" w:hAnsi="宋体" w:eastAsia="仿宋_GB2312" w:cs="宋体"/>
          <w:color w:val="000000"/>
          <w:spacing w:val="15"/>
          <w:kern w:val="0"/>
          <w:sz w:val="32"/>
          <w:szCs w:val="32"/>
          <w:highlight w:val="none"/>
        </w:rPr>
        <w:t>级会计专业技术资格考试费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收费依据</w:t>
      </w:r>
      <w:r>
        <w:rPr>
          <w:rFonts w:hint="eastAsia" w:ascii="仿宋_GB2312" w:hAnsi="仿宋_GB2312" w:eastAsia="仿宋_GB2312" w:cs="仿宋_GB2312"/>
          <w:sz w:val="32"/>
          <w:szCs w:val="32"/>
          <w:lang w:val="en-US" w:eastAsia="zh-CN"/>
        </w:rPr>
        <w:t>：计价格[2000]1567号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京发改[2013]2842号</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000000"/>
          <w:spacing w:val="15"/>
          <w:kern w:val="0"/>
          <w:sz w:val="32"/>
          <w:szCs w:val="32"/>
        </w:rPr>
      </w:pPr>
      <w:r>
        <w:rPr>
          <w:rFonts w:hint="default" w:ascii="仿宋_GB2312" w:hAnsi="仿宋_GB2312" w:eastAsia="仿宋_GB2312" w:cs="仿宋_GB2312"/>
          <w:sz w:val="32"/>
          <w:szCs w:val="32"/>
          <w:lang w:val="en-US" w:eastAsia="zh-CN"/>
        </w:rPr>
        <w:t xml:space="preserve">        执收主体</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收费部门</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000000"/>
          <w:spacing w:val="15"/>
          <w:kern w:val="0"/>
          <w:sz w:val="32"/>
          <w:szCs w:val="32"/>
        </w:rPr>
        <w:t>北京市丰台区财政局</w:t>
      </w:r>
      <w:r>
        <w:rPr>
          <w:rFonts w:hint="default"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收费</w:t>
      </w:r>
      <w:r>
        <w:rPr>
          <w:rFonts w:hint="default" w:ascii="仿宋_GB2312" w:hAnsi="仿宋_GB2312" w:eastAsia="仿宋_GB2312" w:cs="仿宋_GB2312"/>
          <w:sz w:val="32"/>
          <w:szCs w:val="32"/>
          <w:highlight w:val="none"/>
          <w:lang w:val="en-US" w:eastAsia="zh-CN"/>
        </w:rPr>
        <w:t>标准</w:t>
      </w:r>
      <w:r>
        <w:rPr>
          <w:rFonts w:hint="eastAsia" w:ascii="仿宋_GB2312" w:hAnsi="仿宋_GB2312" w:eastAsia="仿宋_GB2312" w:cs="仿宋_GB2312"/>
          <w:sz w:val="32"/>
          <w:szCs w:val="32"/>
          <w:highlight w:val="none"/>
          <w:lang w:val="en-US" w:eastAsia="zh-CN"/>
        </w:rPr>
        <w:t>：56元/人/科</w:t>
      </w:r>
      <w:r>
        <w:rPr>
          <w:rFonts w:hint="default"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收入预计</w:t>
      </w:r>
      <w:r>
        <w:rPr>
          <w:rFonts w:hint="eastAsia" w:ascii="仿宋_GB2312" w:hAnsi="仿宋_GB2312" w:eastAsia="仿宋_GB2312" w:cs="仿宋_GB2312"/>
          <w:sz w:val="32"/>
          <w:szCs w:val="32"/>
          <w:highlight w:val="none"/>
          <w:lang w:val="en-US" w:eastAsia="zh-CN"/>
        </w:rPr>
        <w:t>：178.16</w:t>
      </w:r>
      <w:r>
        <w:rPr>
          <w:rFonts w:hint="default" w:ascii="仿宋_GB2312" w:hAnsi="仿宋_GB2312" w:eastAsia="仿宋_GB2312" w:cs="仿宋_GB2312"/>
          <w:sz w:val="32"/>
          <w:szCs w:val="32"/>
          <w:highlight w:val="none"/>
          <w:lang w:val="en-US" w:eastAsia="zh-CN"/>
        </w:rPr>
        <w:t xml:space="preserve">万元。 </w:t>
      </w:r>
    </w:p>
    <w:p>
      <w:pPr>
        <w:keepNext w:val="0"/>
        <w:keepLines w:val="0"/>
        <w:pageBreakBefore w:val="0"/>
        <w:widowControl/>
        <w:numPr>
          <w:ilvl w:val="0"/>
          <w:numId w:val="5"/>
        </w:numPr>
        <w:kinsoku/>
        <w:wordWrap/>
        <w:overflowPunct/>
        <w:topLinePunct w:val="0"/>
        <w:bidi w:val="0"/>
        <w:adjustRightInd w:val="0"/>
        <w:spacing w:line="560" w:lineRule="exact"/>
        <w:ind w:left="0" w:leftChars="0" w:firstLine="700" w:firstLineChars="200"/>
        <w:jc w:val="left"/>
        <w:textAlignment w:val="auto"/>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高级会计专业技术资格考试费</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宋体" w:eastAsia="仿宋_GB2312" w:cs="宋体"/>
          <w:color w:val="000000"/>
          <w:spacing w:val="15"/>
          <w:kern w:val="0"/>
          <w:sz w:val="32"/>
          <w:szCs w:val="32"/>
          <w:highlight w:val="none"/>
        </w:rPr>
        <w:t>收费依据：京财会[2019]281号</w:t>
      </w:r>
      <w:r>
        <w:rPr>
          <w:rFonts w:hint="eastAsia" w:ascii="仿宋_GB2312" w:hAnsi="宋体" w:eastAsia="仿宋_GB2312" w:cs="宋体"/>
          <w:color w:val="000000"/>
          <w:spacing w:val="15"/>
          <w:kern w:val="0"/>
          <w:sz w:val="32"/>
          <w:szCs w:val="32"/>
          <w:highlight w:val="none"/>
          <w:lang w:eastAsia="zh-CN"/>
        </w:rPr>
        <w:t>　　</w:t>
      </w:r>
      <w:r>
        <w:rPr>
          <w:rFonts w:hint="eastAsia"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eastAsia" w:ascii="仿宋_GB2312" w:hAnsi="宋体" w:eastAsia="仿宋_GB2312" w:cs="宋体"/>
          <w:color w:val="000000"/>
          <w:spacing w:val="15"/>
          <w:kern w:val="0"/>
          <w:sz w:val="32"/>
          <w:szCs w:val="32"/>
          <w:highlight w:val="none"/>
        </w:rPr>
      </w:pPr>
      <w:r>
        <w:rPr>
          <w:rFonts w:hint="default" w:ascii="仿宋_GB2312" w:hAnsi="宋体" w:eastAsia="仿宋_GB2312" w:cs="宋体"/>
          <w:color w:val="000000"/>
          <w:spacing w:val="15"/>
          <w:kern w:val="0"/>
          <w:sz w:val="32"/>
          <w:szCs w:val="32"/>
          <w:highlight w:val="none"/>
          <w:lang w:val="en-US" w:eastAsia="zh-CN"/>
        </w:rPr>
        <w:t>执收主体</w:t>
      </w:r>
      <w:r>
        <w:rPr>
          <w:rFonts w:hint="eastAsia" w:ascii="仿宋_GB2312" w:hAnsi="宋体" w:eastAsia="仿宋_GB2312" w:cs="宋体"/>
          <w:color w:val="000000"/>
          <w:spacing w:val="15"/>
          <w:kern w:val="0"/>
          <w:sz w:val="32"/>
          <w:szCs w:val="32"/>
          <w:highlight w:val="none"/>
          <w:lang w:val="en-US" w:eastAsia="zh-CN"/>
        </w:rPr>
        <w:t>：</w:t>
      </w:r>
      <w:r>
        <w:rPr>
          <w:rFonts w:hint="eastAsia" w:ascii="仿宋_GB2312" w:hAnsi="宋体" w:eastAsia="仿宋_GB2312" w:cs="宋体"/>
          <w:color w:val="000000"/>
          <w:spacing w:val="15"/>
          <w:kern w:val="0"/>
          <w:sz w:val="32"/>
          <w:szCs w:val="32"/>
          <w:highlight w:val="none"/>
        </w:rPr>
        <w:t>北京市丰台区财政局</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宋体" w:eastAsia="仿宋_GB2312" w:cs="宋体"/>
          <w:color w:val="000000"/>
          <w:spacing w:val="15"/>
          <w:kern w:val="0"/>
          <w:sz w:val="32"/>
          <w:szCs w:val="32"/>
          <w:highlight w:val="none"/>
          <w:lang w:val="en-US" w:eastAsia="zh-CN"/>
        </w:rPr>
      </w:pPr>
      <w:r>
        <w:rPr>
          <w:rFonts w:hint="default" w:ascii="仿宋_GB2312" w:hAnsi="宋体" w:eastAsia="仿宋_GB2312" w:cs="宋体"/>
          <w:color w:val="000000"/>
          <w:spacing w:val="15"/>
          <w:kern w:val="0"/>
          <w:sz w:val="32"/>
          <w:szCs w:val="32"/>
          <w:highlight w:val="none"/>
          <w:lang w:val="en-US" w:eastAsia="zh-CN"/>
        </w:rPr>
        <w:t>收费部门</w:t>
      </w:r>
      <w:r>
        <w:rPr>
          <w:rFonts w:hint="eastAsia" w:ascii="仿宋_GB2312" w:hAnsi="宋体" w:eastAsia="仿宋_GB2312" w:cs="宋体"/>
          <w:color w:val="000000"/>
          <w:spacing w:val="15"/>
          <w:kern w:val="0"/>
          <w:sz w:val="32"/>
          <w:szCs w:val="32"/>
          <w:highlight w:val="none"/>
          <w:lang w:val="en-US" w:eastAsia="zh-CN"/>
        </w:rPr>
        <w:t>：</w:t>
      </w:r>
      <w:r>
        <w:rPr>
          <w:rFonts w:hint="eastAsia" w:ascii="仿宋_GB2312" w:hAnsi="宋体" w:eastAsia="仿宋_GB2312" w:cs="宋体"/>
          <w:color w:val="000000"/>
          <w:spacing w:val="15"/>
          <w:kern w:val="0"/>
          <w:sz w:val="32"/>
          <w:szCs w:val="32"/>
          <w:highlight w:val="none"/>
        </w:rPr>
        <w:t>北京市丰台区财政局</w:t>
      </w:r>
      <w:r>
        <w:rPr>
          <w:rFonts w:hint="default"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宋体" w:eastAsia="仿宋_GB2312" w:cs="宋体"/>
          <w:color w:val="000000"/>
          <w:spacing w:val="15"/>
          <w:kern w:val="0"/>
          <w:sz w:val="32"/>
          <w:szCs w:val="32"/>
          <w:highlight w:val="none"/>
          <w:lang w:val="en-US" w:eastAsia="zh-CN"/>
        </w:rPr>
      </w:pPr>
      <w:r>
        <w:rPr>
          <w:rFonts w:hint="default" w:ascii="仿宋_GB2312" w:hAnsi="宋体" w:eastAsia="仿宋_GB2312" w:cs="宋体"/>
          <w:color w:val="000000"/>
          <w:spacing w:val="15"/>
          <w:kern w:val="0"/>
          <w:sz w:val="32"/>
          <w:szCs w:val="32"/>
          <w:highlight w:val="none"/>
          <w:lang w:val="en-US" w:eastAsia="zh-CN"/>
        </w:rPr>
        <w:t>收费标准</w:t>
      </w:r>
      <w:r>
        <w:rPr>
          <w:rFonts w:hint="eastAsia" w:ascii="仿宋_GB2312" w:hAnsi="宋体" w:eastAsia="仿宋_GB2312" w:cs="宋体"/>
          <w:color w:val="000000"/>
          <w:spacing w:val="15"/>
          <w:kern w:val="0"/>
          <w:sz w:val="32"/>
          <w:szCs w:val="32"/>
          <w:highlight w:val="none"/>
          <w:lang w:val="en-US" w:eastAsia="zh-CN"/>
        </w:rPr>
        <w:t>：70元/人/科</w:t>
      </w:r>
      <w:r>
        <w:rPr>
          <w:rFonts w:hint="default" w:ascii="仿宋_GB2312" w:hAnsi="宋体" w:eastAsia="仿宋_GB2312" w:cs="宋体"/>
          <w:color w:val="000000"/>
          <w:spacing w:val="15"/>
          <w:kern w:val="0"/>
          <w:sz w:val="32"/>
          <w:szCs w:val="32"/>
          <w:highlight w:val="none"/>
          <w:lang w:val="en-US" w:eastAsia="zh-CN"/>
        </w:rPr>
        <w:t xml:space="preserve">    </w:t>
      </w:r>
    </w:p>
    <w:p>
      <w:pPr>
        <w:keepNext w:val="0"/>
        <w:keepLines w:val="0"/>
        <w:pageBreakBefore w:val="0"/>
        <w:widowControl/>
        <w:kinsoku/>
        <w:wordWrap/>
        <w:overflowPunct/>
        <w:topLinePunct w:val="0"/>
        <w:bidi w:val="0"/>
        <w:adjustRightInd w:val="0"/>
        <w:spacing w:line="560" w:lineRule="exact"/>
        <w:ind w:firstLine="1400" w:firstLineChars="40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宋体" w:eastAsia="仿宋_GB2312" w:cs="宋体"/>
          <w:color w:val="000000"/>
          <w:spacing w:val="15"/>
          <w:kern w:val="0"/>
          <w:sz w:val="32"/>
          <w:szCs w:val="32"/>
          <w:highlight w:val="none"/>
          <w:lang w:val="en-US" w:eastAsia="zh-CN"/>
        </w:rPr>
        <w:t>收入预计</w:t>
      </w:r>
      <w:r>
        <w:rPr>
          <w:rFonts w:hint="eastAsia" w:ascii="仿宋_GB2312" w:hAnsi="宋体" w:eastAsia="仿宋_GB2312" w:cs="宋体"/>
          <w:color w:val="000000"/>
          <w:spacing w:val="15"/>
          <w:kern w:val="0"/>
          <w:sz w:val="32"/>
          <w:szCs w:val="32"/>
          <w:highlight w:val="none"/>
          <w:lang w:val="en-US" w:eastAsia="zh-CN"/>
        </w:rPr>
        <w:t>：5.18</w:t>
      </w:r>
      <w:r>
        <w:rPr>
          <w:rFonts w:hint="default" w:ascii="仿宋_GB2312" w:hAnsi="宋体" w:eastAsia="仿宋_GB2312" w:cs="宋体"/>
          <w:color w:val="000000"/>
          <w:spacing w:val="15"/>
          <w:kern w:val="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本部门2023年无国有资本经营预算财政拨款安排的预算。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（七）国有资产占有使用情况说明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年底，</w:t>
      </w:r>
      <w:r>
        <w:rPr>
          <w:rFonts w:hint="eastAsia" w:ascii="仿宋_GB2312" w:hAnsi="仿宋_GB2312" w:eastAsia="仿宋_GB2312" w:cs="仿宋_GB2312"/>
          <w:sz w:val="32"/>
          <w:szCs w:val="32"/>
          <w:lang w:val="en-US" w:eastAsia="zh-CN"/>
        </w:rPr>
        <w:t>区财政局</w:t>
      </w:r>
      <w:r>
        <w:rPr>
          <w:rFonts w:hint="default" w:ascii="仿宋_GB2312" w:hAnsi="仿宋_GB2312" w:eastAsia="仿宋_GB2312" w:cs="仿宋_GB2312"/>
          <w:sz w:val="32"/>
          <w:szCs w:val="32"/>
          <w:lang w:val="en-US" w:eastAsia="zh-CN"/>
        </w:rPr>
        <w:t>固定资产总额</w:t>
      </w:r>
      <w:r>
        <w:rPr>
          <w:rFonts w:hint="eastAsia" w:ascii="仿宋_GB2312" w:hAnsi="仿宋_GB2312" w:eastAsia="仿宋_GB2312" w:cs="仿宋_GB2312"/>
          <w:sz w:val="32"/>
          <w:szCs w:val="32"/>
          <w:lang w:val="en-US" w:eastAsia="zh-CN"/>
        </w:rPr>
        <w:t>10241.39</w:t>
      </w:r>
      <w:r>
        <w:rPr>
          <w:rFonts w:hint="default"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万元；单位价值50万元以上的通用设备</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1115.75</w:t>
      </w:r>
      <w:r>
        <w:rPr>
          <w:rFonts w:hint="default" w:ascii="仿宋_GB2312" w:hAnsi="仿宋_GB2312" w:eastAsia="仿宋_GB2312" w:cs="仿宋_GB2312"/>
          <w:sz w:val="32"/>
          <w:szCs w:val="32"/>
          <w:lang w:val="en-US" w:eastAsia="zh-CN"/>
        </w:rPr>
        <w:t>万元，单位价值100万元以上的专用设备</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无其他需要说明的事项。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预算绩效管理：</w:t>
      </w:r>
      <w:r>
        <w:rPr>
          <w:rFonts w:hint="eastAsia" w:ascii="仿宋_GB2312" w:hAnsi="仿宋_GB2312" w:eastAsia="仿宋_GB2312" w:cs="仿宋_GB2312"/>
          <w:sz w:val="32"/>
          <w:szCs w:val="32"/>
          <w:lang w:val="en-US" w:eastAsia="zh-CN"/>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Calibri" w:eastAsia="仿宋_GB2312"/>
          <w:b/>
          <w:sz w:val="32"/>
          <w:szCs w:val="32"/>
        </w:rPr>
        <w:t>财政投资评审：</w:t>
      </w:r>
      <w:r>
        <w:rPr>
          <w:rFonts w:hint="eastAsia" w:ascii="仿宋_GB2312" w:hAnsi="仿宋_GB2312" w:eastAsia="仿宋_GB2312" w:cs="仿宋_GB2312"/>
          <w:sz w:val="32"/>
          <w:szCs w:val="32"/>
          <w:lang w:val="en-US" w:eastAsia="zh-CN"/>
        </w:rPr>
        <w:t>指财政部门为加强财政资金管理，提高财政预算编制的科学性、准确性，运用技术手段对财政性资金投资项目预、决（结）算进行评价审查和专项检查的行为。财政投资评审是财政部门项目支出预算编制的重要环节和手段。</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宋体" w:eastAsia="仿宋_GB2312" w:cs="宋体"/>
          <w:color w:val="000000"/>
          <w:spacing w:val="15"/>
          <w:kern w:val="0"/>
          <w:sz w:val="32"/>
          <w:szCs w:val="32"/>
          <w:lang w:val="en-US" w:eastAsia="zh-CN"/>
        </w:rPr>
      </w:pPr>
      <w:r>
        <w:rPr>
          <w:rFonts w:hint="eastAsia" w:ascii="仿宋_GB2312" w:hAnsi="Calibri" w:eastAsia="仿宋_GB2312"/>
          <w:b/>
          <w:sz w:val="32"/>
          <w:szCs w:val="32"/>
        </w:rPr>
        <w:t>政府购买服务：</w:t>
      </w:r>
      <w:r>
        <w:rPr>
          <w:rFonts w:hint="eastAsia" w:ascii="仿宋_GB2312" w:hAnsi="仿宋_GB2312" w:eastAsia="仿宋_GB2312" w:cs="仿宋_GB2312"/>
          <w:sz w:val="32"/>
          <w:szCs w:val="32"/>
          <w:lang w:val="en-US" w:eastAsia="zh-CN"/>
        </w:rPr>
        <w:t>指通过发挥市场机制作用，把政府直接向社会公众提供的公共服务等事项，按照一定的方式和程序，交由具备条件的社会力量承担，并由政府根据服务数量和质量向其支付费用。</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部门（单位）整体支出绩效目标</w:t>
      </w:r>
      <w:r>
        <w:rPr>
          <w:rFonts w:hint="eastAsia" w:ascii="仿宋_GB2312" w:hAnsi="Calibri" w:eastAsia="仿宋_GB2312"/>
          <w:b/>
          <w:sz w:val="32"/>
          <w:szCs w:val="32"/>
          <w:lang w:eastAsia="zh-CN"/>
        </w:rPr>
        <w:t>：</w:t>
      </w:r>
      <w:r>
        <w:rPr>
          <w:rFonts w:hint="eastAsia" w:ascii="仿宋_GB2312" w:hAnsi="仿宋_GB2312" w:eastAsia="仿宋_GB2312" w:cs="仿宋_GB2312"/>
          <w:sz w:val="32"/>
          <w:szCs w:val="32"/>
          <w:lang w:val="en-US" w:eastAsia="zh-CN"/>
        </w:rPr>
        <w:t>指区级预算部门或单位按照确定的职责，利用全部部门预算资金在一定期限内预期达到的总体产出和效果。</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b/>
          <w:sz w:val="32"/>
          <w:szCs w:val="32"/>
        </w:rPr>
        <w:t>行政事业性收费:</w:t>
      </w:r>
      <w:r>
        <w:rPr>
          <w:rFonts w:hint="eastAsia" w:ascii="仿宋_GB2312" w:hAnsi="仿宋_GB2312" w:eastAsia="仿宋_GB2312" w:cs="仿宋_GB2312"/>
          <w:sz w:val="32"/>
          <w:szCs w:val="32"/>
          <w:lang w:val="en-US" w:eastAsia="zh-CN"/>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keepNext w:val="0"/>
        <w:keepLines w:val="0"/>
        <w:pageBreakBefore w:val="0"/>
        <w:kinsoku/>
        <w:wordWrap/>
        <w:overflowPunct/>
        <w:topLinePunct w:val="0"/>
        <w:bidi w:val="0"/>
        <w:spacing w:line="560" w:lineRule="exact"/>
        <w:ind w:firstLine="700" w:firstLineChars="200"/>
        <w:textAlignment w:val="auto"/>
        <w:rPr>
          <w:rFonts w:hint="eastAsia" w:ascii="仿宋_GB2312" w:hAnsi="宋体" w:eastAsia="仿宋_GB2312" w:cs="宋体"/>
          <w:color w:val="000000"/>
          <w:spacing w:val="15"/>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第二部分 2023年部门预算报表</w:t>
      </w:r>
    </w:p>
    <w:p>
      <w:pPr>
        <w:keepNext w:val="0"/>
        <w:keepLines w:val="0"/>
        <w:pageBreakBefore w:val="0"/>
        <w:widowControl/>
        <w:numPr>
          <w:ilvl w:val="0"/>
          <w:numId w:val="0"/>
        </w:numPr>
        <w:kinsoku/>
        <w:wordWrap/>
        <w:overflowPunct/>
        <w:topLinePunct w:val="0"/>
        <w:bidi w:val="0"/>
        <w:adjustRightInd w:val="0"/>
        <w:spacing w:line="560" w:lineRule="exact"/>
        <w:jc w:val="left"/>
        <w:textAlignment w:val="auto"/>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    详见附件：2023年部门预算报表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BFA4E10C"/>
    <w:multiLevelType w:val="singleLevel"/>
    <w:tmpl w:val="BFA4E10C"/>
    <w:lvl w:ilvl="0" w:tentative="0">
      <w:start w:val="1"/>
      <w:numFmt w:val="decimal"/>
      <w:lvlText w:val="%1."/>
      <w:lvlJc w:val="left"/>
      <w:pPr>
        <w:tabs>
          <w:tab w:val="left" w:pos="312"/>
        </w:tabs>
      </w:pPr>
    </w:lvl>
  </w:abstractNum>
  <w:abstractNum w:abstractNumId="2">
    <w:nsid w:val="2DD128F2"/>
    <w:multiLevelType w:val="singleLevel"/>
    <w:tmpl w:val="2DD128F2"/>
    <w:lvl w:ilvl="0" w:tentative="0">
      <w:start w:val="2"/>
      <w:numFmt w:val="chineseCounting"/>
      <w:suff w:val="nothing"/>
      <w:lvlText w:val="（%1）"/>
      <w:lvlJc w:val="left"/>
      <w:rPr>
        <w:rFonts w:hint="eastAsia"/>
      </w:rPr>
    </w:lvl>
  </w:abstractNum>
  <w:abstractNum w:abstractNumId="3">
    <w:nsid w:val="51302455"/>
    <w:multiLevelType w:val="singleLevel"/>
    <w:tmpl w:val="51302455"/>
    <w:lvl w:ilvl="0" w:tentative="0">
      <w:start w:val="1"/>
      <w:numFmt w:val="decimal"/>
      <w:suff w:val="space"/>
      <w:lvlText w:val="%1、"/>
      <w:lvlJc w:val="left"/>
    </w:lvl>
  </w:abstractNum>
  <w:abstractNum w:abstractNumId="4">
    <w:nsid w:val="66952F85"/>
    <w:multiLevelType w:val="singleLevel"/>
    <w:tmpl w:val="66952F85"/>
    <w:lvl w:ilvl="0" w:tentative="0">
      <w:start w:val="3"/>
      <w:numFmt w:val="chineseCounting"/>
      <w:suff w:val="nothing"/>
      <w:lvlText w:val="（%1）"/>
      <w:lvlJc w:val="left"/>
      <w:rPr>
        <w:rFonts w:hint="eastAsia"/>
      </w:rPr>
    </w:lvl>
  </w:abstractNum>
  <w:abstractNum w:abstractNumId="5">
    <w:nsid w:val="7741D084"/>
    <w:multiLevelType w:val="singleLevel"/>
    <w:tmpl w:val="7741D084"/>
    <w:lvl w:ilvl="0" w:tentative="0">
      <w:start w:val="3"/>
      <w:numFmt w:val="chineseCounting"/>
      <w:suff w:val="nothing"/>
      <w:lvlText w:val="（%1）"/>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16BEE"/>
    <w:rsid w:val="10C842DA"/>
    <w:rsid w:val="214E6AD2"/>
    <w:rsid w:val="2E616BEE"/>
    <w:rsid w:val="315700BE"/>
    <w:rsid w:val="39177791"/>
    <w:rsid w:val="43DC4B55"/>
    <w:rsid w:val="56EB71FB"/>
    <w:rsid w:val="61DD60EA"/>
    <w:rsid w:val="7333602B"/>
    <w:rsid w:val="77A1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2023-01-31T01:44:00Z</dcterms:created>
  <dc:creator>董红敏</dc:creator>
  <cp:lastModifiedBy>陶虹</cp:lastModifiedBy>
  <dcterms:modified xsi:type="dcterms:W3CDTF">2023-02-02T02:14:50Z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