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北京市丰台区救助管理站</w:t>
      </w:r>
    </w:p>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2023年度部门预算情况说明</w:t>
      </w:r>
    </w:p>
    <w:p>
      <w:pPr>
        <w:numPr>
          <w:ilvl w:val="0"/>
          <w:numId w:val="0"/>
        </w:numPr>
        <w:ind w:left="525" w:leftChars="0"/>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第一部分 2023年度部门预算情况说明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eastAsia" w:ascii="仿宋_GB2312" w:hAnsi="仿宋_GB2312" w:eastAsia="仿宋_GB2312" w:cs="仿宋_GB2312"/>
          <w:sz w:val="32"/>
          <w:szCs w:val="32"/>
          <w:lang w:val="en-US" w:eastAsia="zh-CN"/>
        </w:rPr>
        <w:t>北京市丰台区救助管理站，为北京市丰台区民政局所属公益一类财政全额补助事业单位，主要职责为：负责本区流浪乞讨人员照料服务、医疗救治、身份查询、寻亲服务、接送返乡等临时救助服务工作；负责对托养机构进行指导监督；统筹做好本区流浪乞讨人员救助工作；协调区外办等部门做好外籍流浪乞讨人员救助工作；负责本区家庭暴力受害人临时庇护救助工作；做好救助情况数据统计报送及机构信息化建设工作；负责本区发现的8-18周岁流浪未成年人的保护性救助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北京市丰台区救助管理站</w:t>
      </w:r>
      <w:r>
        <w:rPr>
          <w:rFonts w:hint="default" w:ascii="仿宋_GB2312" w:hAnsi="仿宋_GB2312" w:eastAsia="仿宋_GB2312" w:cs="仿宋_GB2312"/>
          <w:b w:val="0"/>
          <w:bCs w:val="0"/>
          <w:color w:val="auto"/>
          <w:kern w:val="2"/>
          <w:sz w:val="32"/>
          <w:szCs w:val="32"/>
          <w:lang w:val="en-US" w:eastAsia="zh-CN" w:bidi="ar-SA"/>
        </w:rPr>
        <w:t>行政编制</w:t>
      </w:r>
      <w:r>
        <w:rPr>
          <w:rFonts w:hint="eastAsia" w:ascii="仿宋_GB2312" w:hAnsi="仿宋_GB2312" w:eastAsia="仿宋_GB2312" w:cs="仿宋_GB2312"/>
          <w:b w:val="0"/>
          <w:bCs w:val="0"/>
          <w:color w:val="auto"/>
          <w:kern w:val="2"/>
          <w:sz w:val="32"/>
          <w:szCs w:val="32"/>
          <w:lang w:val="en-US" w:eastAsia="zh-CN" w:bidi="ar-SA"/>
        </w:rPr>
        <w:t>0</w:t>
      </w:r>
      <w:r>
        <w:rPr>
          <w:rFonts w:hint="default" w:ascii="仿宋_GB2312" w:hAnsi="仿宋_GB2312" w:eastAsia="仿宋_GB2312" w:cs="仿宋_GB2312"/>
          <w:b w:val="0"/>
          <w:bCs w:val="0"/>
          <w:color w:val="auto"/>
          <w:kern w:val="2"/>
          <w:sz w:val="32"/>
          <w:szCs w:val="32"/>
          <w:lang w:val="en-US" w:eastAsia="zh-CN" w:bidi="ar-SA"/>
        </w:rPr>
        <w:t>人，实际</w:t>
      </w:r>
      <w:r>
        <w:rPr>
          <w:rFonts w:hint="eastAsia" w:ascii="仿宋_GB2312" w:hAnsi="仿宋_GB2312" w:eastAsia="仿宋_GB2312" w:cs="仿宋_GB2312"/>
          <w:b w:val="0"/>
          <w:bCs w:val="0"/>
          <w:color w:val="auto"/>
          <w:kern w:val="2"/>
          <w:sz w:val="32"/>
          <w:szCs w:val="32"/>
          <w:lang w:val="en-US" w:eastAsia="zh-CN" w:bidi="ar-SA"/>
        </w:rPr>
        <w:t>0</w:t>
      </w:r>
      <w:r>
        <w:rPr>
          <w:rFonts w:hint="default" w:ascii="仿宋_GB2312" w:hAnsi="仿宋_GB2312" w:eastAsia="仿宋_GB2312" w:cs="仿宋_GB2312"/>
          <w:b w:val="0"/>
          <w:bCs w:val="0"/>
          <w:color w:val="auto"/>
          <w:kern w:val="2"/>
          <w:sz w:val="32"/>
          <w:szCs w:val="32"/>
          <w:lang w:val="en-US" w:eastAsia="zh-CN" w:bidi="ar-SA"/>
        </w:rPr>
        <w:t>人；事业编制</w:t>
      </w:r>
      <w:r>
        <w:rPr>
          <w:rFonts w:hint="eastAsia" w:ascii="仿宋_GB2312" w:hAnsi="仿宋_GB2312" w:eastAsia="仿宋_GB2312" w:cs="仿宋_GB2312"/>
          <w:b w:val="0"/>
          <w:bCs w:val="0"/>
          <w:color w:val="auto"/>
          <w:kern w:val="2"/>
          <w:sz w:val="32"/>
          <w:szCs w:val="32"/>
          <w:highlight w:val="none"/>
          <w:lang w:val="en-US" w:eastAsia="zh-CN" w:bidi="ar-SA"/>
        </w:rPr>
        <w:t>12</w:t>
      </w:r>
      <w:r>
        <w:rPr>
          <w:rFonts w:hint="default" w:ascii="仿宋_GB2312" w:hAnsi="仿宋_GB2312" w:eastAsia="仿宋_GB2312" w:cs="仿宋_GB2312"/>
          <w:b w:val="0"/>
          <w:bCs w:val="0"/>
          <w:color w:val="auto"/>
          <w:kern w:val="2"/>
          <w:sz w:val="32"/>
          <w:szCs w:val="32"/>
          <w:lang w:val="en-US" w:eastAsia="zh-CN" w:bidi="ar-SA"/>
        </w:rPr>
        <w:t>人，实际</w:t>
      </w:r>
      <w:r>
        <w:rPr>
          <w:rFonts w:hint="eastAsia" w:ascii="仿宋_GB2312" w:hAnsi="仿宋_GB2312" w:eastAsia="仿宋_GB2312" w:cs="仿宋_GB2312"/>
          <w:b w:val="0"/>
          <w:bCs w:val="0"/>
          <w:color w:val="auto"/>
          <w:kern w:val="2"/>
          <w:sz w:val="32"/>
          <w:szCs w:val="32"/>
          <w:highlight w:val="none"/>
          <w:lang w:val="en-US" w:eastAsia="zh-CN" w:bidi="ar-SA"/>
        </w:rPr>
        <w:t>11</w:t>
      </w:r>
      <w:r>
        <w:rPr>
          <w:rFonts w:hint="default" w:ascii="仿宋_GB2312" w:hAnsi="仿宋_GB2312" w:eastAsia="仿宋_GB2312" w:cs="仿宋_GB2312"/>
          <w:b w:val="0"/>
          <w:bCs w:val="0"/>
          <w:color w:val="auto"/>
          <w:kern w:val="2"/>
          <w:sz w:val="32"/>
          <w:szCs w:val="32"/>
          <w:lang w:val="en-US" w:eastAsia="zh-CN" w:bidi="ar-SA"/>
        </w:rPr>
        <w:t>人；聘用人员</w:t>
      </w:r>
      <w:r>
        <w:rPr>
          <w:rFonts w:hint="eastAsia" w:ascii="仿宋_GB2312" w:hAnsi="仿宋_GB2312" w:eastAsia="仿宋_GB2312" w:cs="仿宋_GB2312"/>
          <w:b w:val="0"/>
          <w:bCs w:val="0"/>
          <w:color w:val="auto"/>
          <w:kern w:val="2"/>
          <w:sz w:val="32"/>
          <w:szCs w:val="32"/>
          <w:lang w:val="en-US" w:eastAsia="zh-CN" w:bidi="ar-SA"/>
        </w:rPr>
        <w:t>0</w:t>
      </w:r>
      <w:r>
        <w:rPr>
          <w:rFonts w:hint="default" w:ascii="仿宋_GB2312" w:hAnsi="仿宋_GB2312" w:eastAsia="仿宋_GB2312" w:cs="仿宋_GB2312"/>
          <w:b w:val="0"/>
          <w:bCs w:val="0"/>
          <w:color w:val="auto"/>
          <w:kern w:val="2"/>
          <w:sz w:val="32"/>
          <w:szCs w:val="32"/>
          <w:lang w:val="en-US" w:eastAsia="zh-CN" w:bidi="ar-SA"/>
        </w:rPr>
        <w:t>人。离退休人员</w:t>
      </w: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人，其中：离休</w:t>
      </w:r>
      <w:r>
        <w:rPr>
          <w:rFonts w:hint="eastAsia" w:ascii="仿宋_GB2312" w:hAnsi="仿宋_GB2312" w:eastAsia="仿宋_GB2312" w:cs="仿宋_GB2312"/>
          <w:b w:val="0"/>
          <w:bCs w:val="0"/>
          <w:color w:val="auto"/>
          <w:kern w:val="2"/>
          <w:sz w:val="32"/>
          <w:szCs w:val="32"/>
          <w:highlight w:val="none"/>
          <w:lang w:val="en-US" w:eastAsia="zh-CN" w:bidi="ar-SA"/>
        </w:rPr>
        <w:t>0</w:t>
      </w:r>
      <w:r>
        <w:rPr>
          <w:rFonts w:hint="default" w:ascii="仿宋_GB2312" w:hAnsi="仿宋_GB2312" w:eastAsia="仿宋_GB2312" w:cs="仿宋_GB2312"/>
          <w:b w:val="0"/>
          <w:bCs w:val="0"/>
          <w:color w:val="auto"/>
          <w:kern w:val="2"/>
          <w:sz w:val="32"/>
          <w:szCs w:val="32"/>
          <w:lang w:val="en-US" w:eastAsia="zh-CN" w:bidi="ar-SA"/>
        </w:rPr>
        <w:t>人，退休</w:t>
      </w: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本预算年度的主要工作任务</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一是切实做好重大活动和重点时段的救助保障工作。</w:t>
      </w:r>
      <w:r>
        <w:rPr>
          <w:rFonts w:hint="eastAsia" w:ascii="仿宋_GB2312" w:eastAsia="仿宋_GB2312"/>
          <w:color w:val="000000"/>
          <w:sz w:val="32"/>
          <w:szCs w:val="32"/>
        </w:rPr>
        <w:t>按照首善之区标准，站在讲政治的高度，发挥联席会议机制作用，全力做好我市重大活动、重要会议等时期的救助服务保障工作。深化“夏季送清凉”、“寒冬送温暖”等专项救助工作。</w:t>
      </w:r>
    </w:p>
    <w:p>
      <w:pPr>
        <w:spacing w:line="560" w:lineRule="exact"/>
        <w:rPr>
          <w:rFonts w:ascii="仿宋_GB2312" w:eastAsia="仿宋_GB2312"/>
          <w:color w:val="000000"/>
          <w:sz w:val="32"/>
          <w:szCs w:val="32"/>
        </w:rPr>
      </w:pPr>
      <w:r>
        <w:rPr>
          <w:rFonts w:hint="eastAsia" w:ascii="仿宋_GB2312" w:eastAsia="仿宋_GB2312"/>
          <w:b/>
          <w:color w:val="000000"/>
          <w:sz w:val="32"/>
          <w:szCs w:val="32"/>
        </w:rPr>
        <w:t xml:space="preserve">    二是持续推进救助管理服务质量提升。</w:t>
      </w:r>
      <w:r>
        <w:rPr>
          <w:rFonts w:hint="eastAsia" w:ascii="仿宋_GB2312" w:eastAsia="仿宋_GB2312"/>
          <w:color w:val="000000"/>
          <w:sz w:val="32"/>
          <w:szCs w:val="32"/>
        </w:rPr>
        <w:t>进一步查找分析站内照料、寻亲服务、街面巡查、源头治理和干部队伍建设中存在的不足，挖掘问题症结，创新工作对策，推进提质增效。</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三是进一步强化部门间的救助工作统筹协调力度。</w:t>
      </w:r>
      <w:r>
        <w:rPr>
          <w:rFonts w:hint="eastAsia" w:ascii="仿宋_GB2312" w:eastAsia="仿宋_GB2312"/>
          <w:color w:val="000000"/>
          <w:sz w:val="32"/>
          <w:szCs w:val="32"/>
        </w:rPr>
        <w:t>注重信息互通和问题会商，发挥公安、城管、卫健、市场监管等部门作用，形成救助工作合力。</w:t>
      </w:r>
    </w:p>
    <w:p>
      <w:pPr>
        <w:spacing w:line="560" w:lineRule="exact"/>
        <w:ind w:firstLine="643" w:firstLineChars="200"/>
        <w:rPr>
          <w:rFonts w:hint="default"/>
          <w:lang w:val="en-US" w:eastAsia="zh-CN"/>
        </w:rPr>
      </w:pPr>
      <w:r>
        <w:rPr>
          <w:rFonts w:hint="eastAsia" w:ascii="仿宋_GB2312" w:eastAsia="仿宋_GB2312"/>
          <w:b/>
          <w:color w:val="000000"/>
          <w:sz w:val="32"/>
          <w:szCs w:val="32"/>
        </w:rPr>
        <w:t>四是继续做好长期滞留人员寻亲返乡工作。</w:t>
      </w:r>
      <w:r>
        <w:rPr>
          <w:rFonts w:hint="eastAsia" w:ascii="仿宋_GB2312" w:eastAsia="仿宋_GB2312"/>
          <w:color w:val="000000"/>
          <w:sz w:val="32"/>
          <w:szCs w:val="32"/>
        </w:rPr>
        <w:t>在运用全国寻亲网、今日头条和DNA比对、“警务通”筛查基础上，深化拓展寻亲渠道，壮大寻亲队伍、畅通“互联网+救助寻亲”合作手段、加大寻亲宣传，提高寻亲效率。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年收入预算1,856.851200万元，比202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年1,326.572745万元增加</w:t>
      </w:r>
      <w:r>
        <w:rPr>
          <w:rFonts w:hint="eastAsia" w:ascii="仿宋_GB2312" w:hAnsi="仿宋_GB2312" w:eastAsia="仿宋_GB2312" w:cs="仿宋_GB2312"/>
          <w:sz w:val="32"/>
          <w:szCs w:val="32"/>
          <w:lang w:val="en-US" w:eastAsia="zh-CN"/>
        </w:rPr>
        <w:t>530.278455</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39.97</w:t>
      </w:r>
      <w:r>
        <w:rPr>
          <w:rFonts w:hint="default" w:ascii="仿宋_GB2312" w:hAnsi="仿宋_GB2312" w:eastAsia="仿宋_GB2312" w:cs="仿宋_GB2312"/>
          <w:sz w:val="32"/>
          <w:szCs w:val="32"/>
          <w:lang w:val="en-US" w:eastAsia="zh-CN"/>
        </w:rPr>
        <w:t>%。其中：本年财政拨款收入1,856.851200万元,比202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年1,326.572745万元增加</w:t>
      </w:r>
      <w:r>
        <w:rPr>
          <w:rFonts w:hint="eastAsia" w:ascii="仿宋_GB2312" w:hAnsi="仿宋_GB2312" w:eastAsia="仿宋_GB2312" w:cs="仿宋_GB2312"/>
          <w:sz w:val="32"/>
          <w:szCs w:val="32"/>
          <w:lang w:val="en-US" w:eastAsia="zh-CN"/>
        </w:rPr>
        <w:t>530.278455</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年持平；上年结转结余资金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（一）基本支出预算461.851200万元，占总支出预算</w:t>
      </w:r>
      <w:r>
        <w:rPr>
          <w:rFonts w:hint="eastAsia" w:ascii="仿宋_GB2312" w:hAnsi="仿宋_GB2312" w:eastAsia="仿宋_GB2312" w:cs="仿宋_GB2312"/>
          <w:sz w:val="32"/>
          <w:szCs w:val="32"/>
          <w:lang w:val="en-US" w:eastAsia="zh-CN"/>
        </w:rPr>
        <w:t>24.87</w:t>
      </w:r>
      <w:r>
        <w:rPr>
          <w:rFonts w:hint="default" w:ascii="仿宋_GB2312" w:hAnsi="仿宋_GB2312" w:eastAsia="仿宋_GB2312" w:cs="仿宋_GB2312"/>
          <w:sz w:val="32"/>
          <w:szCs w:val="32"/>
          <w:lang w:val="en-US" w:eastAsia="zh-CN"/>
        </w:rPr>
        <w:t>%，比202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年408.292745万元增加</w:t>
      </w:r>
      <w:r>
        <w:rPr>
          <w:rFonts w:hint="eastAsia" w:ascii="仿宋_GB2312" w:hAnsi="仿宋_GB2312" w:eastAsia="仿宋_GB2312" w:cs="仿宋_GB2312"/>
          <w:sz w:val="32"/>
          <w:szCs w:val="32"/>
          <w:lang w:val="en-US" w:eastAsia="zh-CN"/>
        </w:rPr>
        <w:t>53.558455</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13.12</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（二）项目支出预算</w:t>
      </w:r>
      <w:r>
        <w:rPr>
          <w:rFonts w:hint="eastAsia" w:ascii="仿宋_GB2312" w:hAnsi="仿宋_GB2312" w:eastAsia="仿宋_GB2312" w:cs="仿宋_GB2312"/>
          <w:sz w:val="32"/>
          <w:szCs w:val="32"/>
          <w:lang w:val="en-US" w:eastAsia="zh-CN"/>
        </w:rPr>
        <w:t>1,395</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918.28</w:t>
      </w:r>
      <w:r>
        <w:rPr>
          <w:rFonts w:hint="default"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lang w:val="en-US" w:eastAsia="zh-CN"/>
        </w:rPr>
        <w:t>476.72</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51.91</w:t>
      </w:r>
      <w:r>
        <w:rPr>
          <w:rFonts w:hint="default" w:ascii="仿宋_GB2312" w:hAnsi="仿宋_GB2312" w:eastAsia="仿宋_GB2312" w:cs="仿宋_GB2312"/>
          <w:sz w:val="32"/>
          <w:szCs w:val="32"/>
          <w:lang w:val="en-US" w:eastAsia="zh-CN"/>
        </w:rPr>
        <w:t>%，增加原因</w:t>
      </w:r>
      <w:r>
        <w:rPr>
          <w:rFonts w:hint="eastAsia" w:ascii="仿宋_GB2312" w:hAnsi="仿宋_GB2312" w:eastAsia="仿宋_GB2312" w:cs="仿宋_GB2312"/>
          <w:sz w:val="32"/>
          <w:szCs w:val="32"/>
          <w:lang w:val="en-US" w:eastAsia="zh-CN"/>
        </w:rPr>
        <w:t>是救助对象救济费、医药费、返乡费等成本增加</w:t>
      </w:r>
      <w:r>
        <w:rPr>
          <w:rFonts w:hint="default" w:ascii="仿宋_GB2312" w:hAnsi="仿宋_GB2312" w:eastAsia="仿宋_GB2312" w:cs="仿宋_GB2312"/>
          <w:sz w:val="32"/>
          <w:szCs w:val="32"/>
          <w:lang w:val="en-US" w:eastAsia="zh-CN"/>
        </w:rPr>
        <w:t>。部门预算项目主要为流浪乞讨人员区级救助经费</w:t>
      </w:r>
      <w:r>
        <w:rPr>
          <w:rFonts w:hint="eastAsia" w:ascii="仿宋_GB2312" w:hAnsi="仿宋_GB2312" w:eastAsia="仿宋_GB2312" w:cs="仿宋_GB2312"/>
          <w:sz w:val="32"/>
          <w:szCs w:val="32"/>
          <w:lang w:val="en-US" w:eastAsia="zh-CN"/>
        </w:rPr>
        <w:t>、救助站运行保障经费、流浪乞讨人员救助资金</w:t>
      </w:r>
      <w:r>
        <w:rPr>
          <w:rFonts w:hint="default" w:ascii="仿宋_GB2312" w:hAnsi="仿宋_GB2312" w:eastAsia="仿宋_GB2312" w:cs="仿宋_GB2312"/>
          <w:sz w:val="32"/>
          <w:szCs w:val="32"/>
          <w:lang w:val="en-US" w:eastAsia="zh-CN"/>
        </w:rPr>
        <w:t>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年无事业单位经营支出预算。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年无上缴上级支出预算。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年无对附属单位补助支出预算。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四、部门</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三公</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北京市丰台区救助管理站</w:t>
      </w:r>
      <w:r>
        <w:rPr>
          <w:rFonts w:hint="default" w:ascii="仿宋_GB2312" w:hAnsi="仿宋_GB2312" w:eastAsia="仿宋_GB2312" w:cs="仿宋_GB2312"/>
          <w:sz w:val="32"/>
          <w:szCs w:val="32"/>
          <w:lang w:val="en-US" w:eastAsia="zh-CN"/>
        </w:rPr>
        <w:t>因公出国（境）费用、公务接待费、公务用车购置和运行维护费开支单位包括</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个所属单位。</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经费财政拨款预算</w:t>
      </w:r>
      <w:r>
        <w:rPr>
          <w:rFonts w:hint="eastAsia" w:ascii="仿宋_GB2312" w:hAnsi="仿宋_GB2312" w:eastAsia="仿宋_GB2312" w:cs="仿宋_GB2312"/>
          <w:sz w:val="32"/>
          <w:szCs w:val="32"/>
          <w:lang w:val="en-US" w:eastAsia="zh-CN"/>
        </w:rPr>
        <w:t>3.6</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1.因公出国（境）费用。本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年无因公出国（境）费用预算，与202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2.公务接待费。本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年无公务接待费</w:t>
      </w:r>
      <w:r>
        <w:rPr>
          <w:rFonts w:hint="eastAsia" w:ascii="仿宋_GB2312" w:hAnsi="仿宋_GB2312" w:eastAsia="仿宋_GB2312" w:cs="仿宋_GB2312"/>
          <w:sz w:val="32"/>
          <w:szCs w:val="32"/>
          <w:lang w:val="en-US" w:eastAsia="zh-CN"/>
        </w:rPr>
        <w:t>预算</w:t>
      </w:r>
      <w:r>
        <w:rPr>
          <w:rFonts w:hint="default" w:ascii="仿宋_GB2312" w:hAnsi="仿宋_GB2312" w:eastAsia="仿宋_GB2312" w:cs="仿宋_GB2312"/>
          <w:sz w:val="32"/>
          <w:szCs w:val="32"/>
          <w:lang w:val="en-US" w:eastAsia="zh-CN"/>
        </w:rPr>
        <w:t>，与202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3.公务用车购置和运行维护费。202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3.6</w:t>
      </w:r>
      <w:r>
        <w:rPr>
          <w:rFonts w:hint="default" w:ascii="仿宋_GB2312" w:hAnsi="仿宋_GB2312" w:eastAsia="仿宋_GB2312" w:cs="仿宋_GB2312"/>
          <w:sz w:val="32"/>
          <w:szCs w:val="32"/>
          <w:lang w:val="en-US" w:eastAsia="zh-CN"/>
        </w:rPr>
        <w:t>万元，其中，公务用车购置费202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年持平；公务用车运行维护费202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3.6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北京市丰台区救助管理站</w:t>
      </w:r>
      <w:r>
        <w:rPr>
          <w:rFonts w:hint="default" w:ascii="仿宋_GB2312" w:hAnsi="仿宋_GB2312" w:eastAsia="仿宋_GB2312" w:cs="仿宋_GB2312"/>
          <w:sz w:val="32"/>
          <w:szCs w:val="32"/>
          <w:lang w:val="en-US" w:eastAsia="zh-CN"/>
        </w:rPr>
        <w:t>政府采购预算总额122.3735万元。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北京市丰台区救助管理站无</w:t>
      </w:r>
      <w:r>
        <w:rPr>
          <w:rFonts w:hint="default" w:ascii="仿宋_GB2312" w:hAnsi="仿宋_GB2312" w:eastAsia="仿宋_GB2312" w:cs="仿宋_GB2312"/>
          <w:sz w:val="32"/>
          <w:szCs w:val="32"/>
          <w:lang w:val="en-US" w:eastAsia="zh-CN"/>
        </w:rPr>
        <w:t>政府购买服务预算。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北京市丰台区救助管理站无机关运行经费。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北京市丰台区救助管理站</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%。填报绩效目标的项目支出预算1,395万元，占本部门全部项目支出预算的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年无重点行政事业性收费</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年无国有资本经营预算财政拨款安排的预算</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val="en-US" w:eastAsia="zh-CN"/>
        </w:rPr>
        <w:t>固定</w:t>
      </w:r>
      <w:r>
        <w:rPr>
          <w:rFonts w:hint="default" w:ascii="楷体_GB2312" w:hAnsi="楷体_GB2312" w:eastAsia="楷体_GB2312" w:cs="楷体_GB2312"/>
          <w:sz w:val="32"/>
          <w:szCs w:val="32"/>
          <w:lang w:val="en-US" w:eastAsia="zh-CN"/>
        </w:rPr>
        <w:t>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年底，本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（包括各下属单位）固定资产总额</w:t>
      </w:r>
      <w:r>
        <w:rPr>
          <w:rFonts w:hint="eastAsia" w:ascii="仿宋_GB2312" w:hAnsi="仿宋_GB2312" w:eastAsia="仿宋_GB2312" w:cs="仿宋_GB2312"/>
          <w:sz w:val="32"/>
          <w:szCs w:val="32"/>
          <w:highlight w:val="none"/>
          <w:lang w:val="en-US" w:eastAsia="zh-CN"/>
        </w:rPr>
        <w:t>317.222808</w:t>
      </w:r>
      <w:r>
        <w:rPr>
          <w:rFonts w:hint="default" w:ascii="仿宋_GB2312" w:hAnsi="仿宋_GB2312" w:eastAsia="仿宋_GB2312" w:cs="仿宋_GB2312"/>
          <w:sz w:val="32"/>
          <w:szCs w:val="32"/>
          <w:lang w:val="en-US" w:eastAsia="zh-CN"/>
        </w:rPr>
        <w:t>万元，其中：车辆</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台，</w:t>
      </w:r>
      <w:r>
        <w:rPr>
          <w:rFonts w:hint="eastAsia" w:ascii="仿宋_GB2312" w:hAnsi="仿宋_GB2312" w:eastAsia="仿宋_GB2312" w:cs="仿宋_GB2312"/>
          <w:sz w:val="32"/>
          <w:szCs w:val="32"/>
          <w:highlight w:val="none"/>
          <w:lang w:val="en-US" w:eastAsia="zh-CN"/>
        </w:rPr>
        <w:t>52.22938</w:t>
      </w:r>
      <w:r>
        <w:rPr>
          <w:rFonts w:hint="default" w:ascii="仿宋_GB2312" w:hAnsi="仿宋_GB2312" w:eastAsia="仿宋_GB2312" w:cs="仿宋_GB2312"/>
          <w:sz w:val="32"/>
          <w:szCs w:val="32"/>
          <w:lang w:val="en-US" w:eastAsia="zh-CN"/>
        </w:rPr>
        <w:t>万元；单位价值50万元以上的通用设备</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lang w:val="en-US" w:eastAsia="zh-CN"/>
        </w:rPr>
        <w:t>台（套）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55.794628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；无</w:t>
      </w:r>
      <w:r>
        <w:rPr>
          <w:rFonts w:hint="default" w:ascii="仿宋_GB2312" w:hAnsi="仿宋_GB2312" w:eastAsia="仿宋_GB2312" w:cs="仿宋_GB2312"/>
          <w:sz w:val="32"/>
          <w:szCs w:val="32"/>
          <w:lang w:val="en-US" w:eastAsia="zh-CN"/>
        </w:rPr>
        <w:t>单位价值100万元以上的专用设备。</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其他事项说明</w:t>
      </w:r>
    </w:p>
    <w:p>
      <w:pPr>
        <w:widowControl/>
        <w:adjustRightInd w:val="0"/>
        <w:spacing w:line="560" w:lineRule="exact"/>
        <w:ind w:firstLine="700" w:firstLineChars="200"/>
        <w:jc w:val="left"/>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生活无着人员救助管理站：救助生活无着流浪乞讨人员的专门单位。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生活无着流浪乞讨人员：是指离家在外、自身无力解决食宿、无亲友投靠处于流浪或者乞讨状态的人员。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自主返乡：是指具有完全行为能力的公民，在身体、精神状况等因素允许的情况下，基于自己的意愿，自行返乡的情形。</w:t>
      </w:r>
    </w:p>
    <w:p>
      <w:pPr>
        <w:widowControl/>
        <w:adjustRightInd w:val="0"/>
        <w:spacing w:line="560" w:lineRule="exact"/>
        <w:jc w:val="left"/>
        <w:rPr>
          <w:rFonts w:hint="eastAsia" w:ascii="仿宋_GB2312" w:hAnsi="宋体" w:eastAsia="仿宋_GB2312" w:cs="宋体"/>
          <w:color w:val="000000"/>
          <w:spacing w:val="15"/>
          <w:kern w:val="0"/>
          <w:sz w:val="32"/>
          <w:szCs w:val="32"/>
        </w:rPr>
      </w:pPr>
      <w:bookmarkStart w:id="0" w:name="_GoBack"/>
      <w:bookmarkEnd w:id="0"/>
    </w:p>
    <w:p>
      <w:pPr>
        <w:widowControl/>
        <w:numPr>
          <w:ilvl w:val="0"/>
          <w:numId w:val="0"/>
        </w:numPr>
        <w:adjustRightInd w:val="0"/>
        <w:spacing w:line="560" w:lineRule="exact"/>
        <w:jc w:val="left"/>
        <w:rPr>
          <w:rFonts w:hint="eastAsia" w:ascii="黑体" w:hAnsi="黑体" w:eastAsia="黑体" w:cs="黑体"/>
          <w:color w:val="000000"/>
          <w:spacing w:val="15"/>
          <w:kern w:val="0"/>
          <w:sz w:val="32"/>
          <w:szCs w:val="32"/>
          <w:lang w:val="en-US" w:eastAsia="zh-CN"/>
        </w:rPr>
      </w:pPr>
      <w:r>
        <w:rPr>
          <w:rFonts w:hint="eastAsia" w:ascii="黑体" w:hAnsi="黑体" w:eastAsia="黑体" w:cs="黑体"/>
          <w:b w:val="0"/>
          <w:bCs w:val="0"/>
          <w:sz w:val="32"/>
          <w:szCs w:val="32"/>
          <w:lang w:val="en-US" w:eastAsia="zh-CN"/>
        </w:rPr>
        <w:t xml:space="preserve">第二部分 </w:t>
      </w:r>
      <w:r>
        <w:rPr>
          <w:rFonts w:hint="eastAsia" w:ascii="黑体" w:hAnsi="黑体" w:eastAsia="黑体" w:cs="黑体"/>
          <w:color w:val="000000"/>
          <w:spacing w:val="15"/>
          <w:kern w:val="0"/>
          <w:sz w:val="32"/>
          <w:szCs w:val="32"/>
          <w:lang w:val="en-US" w:eastAsia="zh-CN"/>
        </w:rPr>
        <w:t>2023年部门预算报表</w:t>
      </w:r>
    </w:p>
    <w:p>
      <w:pPr>
        <w:jc w:val="cente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textAlignment w:val="auto"/>
        <w:rPr>
          <w:rFonts w:hint="default" w:ascii="楷体_GB2312" w:hAnsi="楷体_GB2312" w:eastAsia="楷体_GB2312" w:cs="楷体_GB2312"/>
          <w:sz w:val="32"/>
          <w:szCs w:val="32"/>
          <w:lang w:val="en-US" w:eastAsia="zh-CN"/>
        </w:rPr>
      </w:pPr>
      <w:r>
        <w:rPr>
          <w:rFonts w:hint="eastAsia" w:ascii="仿宋_GB2312" w:hAnsi="宋体" w:eastAsia="仿宋_GB2312" w:cs="宋体"/>
          <w:b w:val="0"/>
          <w:bCs w:val="0"/>
          <w:color w:val="000000"/>
          <w:spacing w:val="15"/>
          <w:kern w:val="0"/>
          <w:sz w:val="32"/>
          <w:szCs w:val="32"/>
          <w:lang w:val="en-US" w:eastAsia="zh-CN"/>
        </w:rPr>
        <w:t>详见附件：北京市丰台区救助管理站2023年部门预算报表。</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85F0D"/>
    <w:multiLevelType w:val="singleLevel"/>
    <w:tmpl w:val="95485F0D"/>
    <w:lvl w:ilvl="0" w:tentative="0">
      <w:start w:val="3"/>
      <w:numFmt w:val="chineseCounting"/>
      <w:suff w:val="nothing"/>
      <w:lvlText w:val="（%1）"/>
      <w:lvlJc w:val="left"/>
      <w:rPr>
        <w:rFonts w:hint="eastAsia"/>
      </w:rPr>
    </w:lvl>
  </w:abstractNum>
  <w:abstractNum w:abstractNumId="1">
    <w:nsid w:val="B7460E44"/>
    <w:multiLevelType w:val="singleLevel"/>
    <w:tmpl w:val="B7460E44"/>
    <w:lvl w:ilvl="0" w:tentative="0">
      <w:start w:val="8"/>
      <w:numFmt w:val="chineseCounting"/>
      <w:suff w:val="nothing"/>
      <w:lvlText w:val="（%1）"/>
      <w:lvlJc w:val="left"/>
      <w:rPr>
        <w:rFonts w:hint="eastAsia"/>
      </w:rPr>
    </w:lvl>
  </w:abstractNum>
  <w:abstractNum w:abstractNumId="2">
    <w:nsid w:val="2DD128F2"/>
    <w:multiLevelType w:val="singleLevel"/>
    <w:tmpl w:val="2DD128F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56C1"/>
    <w:rsid w:val="057C7A58"/>
    <w:rsid w:val="06CA1566"/>
    <w:rsid w:val="06DE7D56"/>
    <w:rsid w:val="09AC7569"/>
    <w:rsid w:val="0AE93880"/>
    <w:rsid w:val="0CF0304C"/>
    <w:rsid w:val="0E8F67FC"/>
    <w:rsid w:val="0F6B4355"/>
    <w:rsid w:val="17BB59B8"/>
    <w:rsid w:val="18547342"/>
    <w:rsid w:val="191C7D18"/>
    <w:rsid w:val="1A194442"/>
    <w:rsid w:val="1CAC61E1"/>
    <w:rsid w:val="1CBD7D2E"/>
    <w:rsid w:val="1CFF68F4"/>
    <w:rsid w:val="202D7B99"/>
    <w:rsid w:val="20A03A46"/>
    <w:rsid w:val="213B4A7D"/>
    <w:rsid w:val="21A32B83"/>
    <w:rsid w:val="24110F49"/>
    <w:rsid w:val="249D5B37"/>
    <w:rsid w:val="251B7A81"/>
    <w:rsid w:val="27BF16B4"/>
    <w:rsid w:val="28546FC0"/>
    <w:rsid w:val="2A9C69D6"/>
    <w:rsid w:val="2AAC6377"/>
    <w:rsid w:val="2B5F386C"/>
    <w:rsid w:val="2B9C3FF3"/>
    <w:rsid w:val="2C253571"/>
    <w:rsid w:val="2D97542A"/>
    <w:rsid w:val="2FE7105C"/>
    <w:rsid w:val="30DC2CC4"/>
    <w:rsid w:val="32C21411"/>
    <w:rsid w:val="348A4D94"/>
    <w:rsid w:val="35776221"/>
    <w:rsid w:val="373D475A"/>
    <w:rsid w:val="373F3050"/>
    <w:rsid w:val="3BBA5977"/>
    <w:rsid w:val="3DAE236E"/>
    <w:rsid w:val="4128254D"/>
    <w:rsid w:val="429051F9"/>
    <w:rsid w:val="435F300C"/>
    <w:rsid w:val="439671E2"/>
    <w:rsid w:val="43E910BD"/>
    <w:rsid w:val="443A1478"/>
    <w:rsid w:val="452408D9"/>
    <w:rsid w:val="47153A80"/>
    <w:rsid w:val="486C3360"/>
    <w:rsid w:val="49E16301"/>
    <w:rsid w:val="4A4273F5"/>
    <w:rsid w:val="4D7A636B"/>
    <w:rsid w:val="4E2A131B"/>
    <w:rsid w:val="4E8423A4"/>
    <w:rsid w:val="4E8B1238"/>
    <w:rsid w:val="4EC86610"/>
    <w:rsid w:val="4FF4461E"/>
    <w:rsid w:val="501854BA"/>
    <w:rsid w:val="530C591F"/>
    <w:rsid w:val="53147A40"/>
    <w:rsid w:val="54283BBD"/>
    <w:rsid w:val="555E5158"/>
    <w:rsid w:val="556C71B8"/>
    <w:rsid w:val="5574205B"/>
    <w:rsid w:val="563C5B6F"/>
    <w:rsid w:val="58827E72"/>
    <w:rsid w:val="58F1632E"/>
    <w:rsid w:val="59AC1701"/>
    <w:rsid w:val="5A472192"/>
    <w:rsid w:val="5CDC6174"/>
    <w:rsid w:val="5E3C693E"/>
    <w:rsid w:val="5E4C5812"/>
    <w:rsid w:val="5EE27D01"/>
    <w:rsid w:val="5F5F4E5B"/>
    <w:rsid w:val="5FDD7E2A"/>
    <w:rsid w:val="61CA1F99"/>
    <w:rsid w:val="62BB0239"/>
    <w:rsid w:val="62DB76D0"/>
    <w:rsid w:val="631944EA"/>
    <w:rsid w:val="636E7C04"/>
    <w:rsid w:val="639806BA"/>
    <w:rsid w:val="648D1C56"/>
    <w:rsid w:val="665E4AEA"/>
    <w:rsid w:val="69901F0B"/>
    <w:rsid w:val="6A550F5C"/>
    <w:rsid w:val="6C1A1E04"/>
    <w:rsid w:val="6D9D309E"/>
    <w:rsid w:val="6F172A4A"/>
    <w:rsid w:val="709C6698"/>
    <w:rsid w:val="719771E2"/>
    <w:rsid w:val="729E2081"/>
    <w:rsid w:val="72E519EE"/>
    <w:rsid w:val="73FD2592"/>
    <w:rsid w:val="7775298B"/>
    <w:rsid w:val="77F70503"/>
    <w:rsid w:val="79465F3E"/>
    <w:rsid w:val="7A2E40B5"/>
    <w:rsid w:val="7AD94F51"/>
    <w:rsid w:val="7D50469E"/>
    <w:rsid w:val="7DA86739"/>
    <w:rsid w:val="7FA65F67"/>
    <w:rsid w:val="7FEBAC30"/>
    <w:rsid w:val="7FFB1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List"/>
    <w:basedOn w:val="4"/>
    <w:qFormat/>
    <w:uiPriority w:val="0"/>
  </w:style>
  <w:style w:type="character" w:styleId="9">
    <w:name w:val="page number"/>
    <w:basedOn w:val="8"/>
    <w:qFormat/>
    <w:uiPriority w:val="0"/>
  </w:style>
  <w:style w:type="paragraph" w:customStyle="1" w:styleId="10">
    <w:name w:val="Index"/>
    <w:basedOn w:val="1"/>
    <w:qFormat/>
    <w:uiPriority w:val="0"/>
    <w:pPr>
      <w:widowControl w:val="0"/>
      <w:suppressLineNumbers/>
      <w:suppressAutoHyphens/>
    </w:pPr>
  </w:style>
  <w:style w:type="paragraph" w:customStyle="1" w:styleId="11">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character" w:customStyle="1" w:styleId="12">
    <w:name w:val="默认段落字体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H</cp:lastModifiedBy>
  <cp:lastPrinted>2021-12-27T02:28:00Z</cp:lastPrinted>
  <dcterms:modified xsi:type="dcterms:W3CDTF">2023-02-03T10:01:56Z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