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404040"/>
          <w:spacing w:val="0"/>
          <w:sz w:val="24"/>
          <w:szCs w:val="24"/>
          <w:u w:val="none"/>
          <w:shd w:val="clear" w:fill="FFFFFF"/>
        </w:rPr>
      </w:pPr>
    </w:p>
    <w:p>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目录</w:t>
      </w:r>
    </w:p>
    <w:p>
      <w:pPr>
        <w:numPr>
          <w:ilvl w:val="0"/>
          <w:numId w:val="0"/>
        </w:numPr>
        <w:jc w:val="both"/>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 2025年度部门预算情况说明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一、部门情况</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二、收入预算说明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三、支出预算说明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四、部门"三公"经费财政拨款预算说明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五、其他情况说明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 xml:space="preserve">   （一）部门政府采购预算说明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 xml:space="preserve">   （二）政府购买服务预算说明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（三）机关运行经费情况说明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（四）项目支出绩效目标情况说明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（五）重点行政事业性收费情况说明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（六）国有资本经营预算财政拨款情况说明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（七）</w:t>
      </w:r>
      <w:r>
        <w:rPr>
          <w:rFonts w:hint="eastAsia" w:ascii="宋体" w:hAnsi="宋体" w:cs="宋体"/>
          <w:sz w:val="32"/>
          <w:szCs w:val="32"/>
          <w:lang w:val="en-US" w:eastAsia="zh-CN"/>
        </w:rPr>
        <w:t>国有</w:t>
      </w:r>
      <w:r>
        <w:rPr>
          <w:rFonts w:hint="default" w:ascii="宋体" w:hAnsi="宋体" w:cs="宋体"/>
          <w:sz w:val="32"/>
          <w:szCs w:val="32"/>
          <w:lang w:val="en-US" w:eastAsia="zh-CN"/>
        </w:rPr>
        <w:t>资产占有使用情况说明</w:t>
      </w:r>
    </w:p>
    <w:p>
      <w:pPr>
        <w:numPr>
          <w:ilvl w:val="0"/>
          <w:numId w:val="0"/>
        </w:numPr>
        <w:ind w:firstLine="960" w:firstLineChars="300"/>
        <w:rPr>
          <w:rFonts w:hint="default" w:ascii="宋体" w:hAnsi="宋体" w:cs="宋体"/>
          <w:sz w:val="32"/>
          <w:szCs w:val="32"/>
          <w:lang w:val="en-US" w:eastAsia="zh-CN"/>
        </w:rPr>
      </w:pPr>
      <w:r>
        <w:rPr>
          <w:rFonts w:hint="eastAsia" w:ascii="宋体" w:hAnsi="宋体" w:cs="宋体"/>
          <w:sz w:val="32"/>
          <w:szCs w:val="32"/>
          <w:lang w:val="en-US" w:eastAsia="zh-CN"/>
        </w:rPr>
        <w:t>（八）其他事项说明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六、名词解释</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2025年部门预算报表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一、收支总表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二、收入总表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三、支出预算总表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四、项目支出表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五、政府采购预算明细表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六、财政拨款收支预算总表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七、一般公共预算财政拨款支出表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八、一般公共预算财政拨款基本支出表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九、政府性基金预算财政拨款支出表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十、国有资本经营预算财政拨款支出表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十一、财政拨款（含一般公共预算和政府性基金预算）“三公”经费支出表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十二、政府购买服务预算财政拨款明细表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十三、项目支出绩效表</w:t>
      </w:r>
    </w:p>
    <w:p>
      <w:pPr>
        <w:numPr>
          <w:ilvl w:val="0"/>
          <w:numId w:val="0"/>
        </w:numPr>
        <w:ind w:left="525" w:leftChars="0"/>
        <w:rPr>
          <w:rFonts w:hint="default" w:ascii="宋体" w:hAnsi="宋体" w:cs="宋体"/>
          <w:sz w:val="32"/>
          <w:szCs w:val="32"/>
          <w:lang w:val="en-US" w:eastAsia="zh-CN"/>
        </w:rPr>
      </w:pPr>
      <w:r>
        <w:rPr>
          <w:rFonts w:hint="eastAsia" w:ascii="宋体" w:hAnsi="宋体" w:cs="宋体"/>
          <w:sz w:val="32"/>
          <w:szCs w:val="32"/>
          <w:lang w:val="en-US" w:eastAsia="zh-CN"/>
        </w:rPr>
        <w:t>十四、部门整体支出绩效目标申报表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第一部分 2025年度部门预算情况说明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404040"/>
          <w:spacing w:val="0"/>
          <w:sz w:val="24"/>
          <w:szCs w:val="24"/>
          <w:u w:val="none"/>
          <w:shd w:val="clear" w:fill="FFFFFF"/>
        </w:rPr>
      </w:pP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一、部门情况</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（一）部门机构设置、职责</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 北京市丰台区城市管理综合行政执法局（简称区城管执法局）为北京市丰台区城市管理委员会（简称区城市管理委）管理的副处级行政执法机构，以区城管执法局名义执法。</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职责：1、贯彻落实国家及本市有关城市管理方面的法律、法规、规章和政策，依法开展城市管理综合行政执法及相关水行政执法工作，负责重大疑难复杂案件的查处工作，研究提出完善全区城市管理综合行政执法体系的意见、建议和措施。2、负责全区街镇综合行政执法工作的统筹指导和综合协调。3、负责组织全区街镇综合行政执法人员开展各类教育培训工作。4、负责制定全区城市管理综合行政执法工作年度计划、专项治理方案并组织实施。5、建立完善全区综合行政执法工作绩效考评体系，对全区综合行政执法工作进行通报评价。6、承办上级交办的其他任务。</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包含行政单位1个（含行政执法机构1个），共有1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个科室、执法中队，包含综合科、业务指导科、装备财务科、治违办公室、执法一中队、执法二中队、执法三中队、执法四中队、执法五中队、执法六中队、执法七中队、执法八中队、执法九中队。</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（二）人员构成情况</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北京市丰台区城市管理综合行政执法局行政编制72人，实际63人；参公事业编制23人，实际19人；聘用人员0人。离退休人员93人，其中：离休0人，退休93人。</w:t>
      </w:r>
    </w:p>
    <w:p>
      <w:pPr>
        <w:keepNext w:val="0"/>
        <w:keepLines w:val="0"/>
        <w:pageBreakBefore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本预算年度的主要工作任务</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1、以政治建设为要，坚持党建引领，筑牢发展根基。</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2、以建队强队为重，突出教育引导，提升队伍能力。</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3、以主责主业为本，抓好服务保障，优化辖区秩序。</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4、以深化改革为基，强化使命担当，完善管理体系。</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二、收入预算说明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收入预算3740.584618万元，比2024年3116.764472万元增加623.820146万元，上升20.01%。其中：本年财政拨款收入3740.584618万元，比2024年3116.764472万元增加623.820146万元，；本年其他资金收入0万元,与2024年持平；上年结转结余资金0万元,与2024年持平。</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三、支出预算说明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2025年支出预算3740.584618万元，比2024年3116.764472万元增加623.820146万元，上升20.01%。主要原因为：区水务综合执法队转隶合并到城管执法局，人员增加，支出增加。</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（一）基本支出预算3061.619862万元，占总支出预算81.85%，比2024年2514.301792万元增加547.31807万元，增加21.77%。</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项目支出预算678.964756万元，比2024年602.46268万元增加76.502076万元，增加12.70%，增加原因：增加了水务执法的职责，增加水质检测等执法项目经费。部门预算项目主要为：2025年监察员意外伤害保险，2025聘用保安经费，2024聘用保安经费尾款，培训经费，宣传经费，规范化执法队建设，购置执法装备，执法办案工作经费，2025年水质检测费，信息化设备服务费，法律咨询服务。</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四、部门“三公”经费财政拨款预算说明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（一）“三公”经费的单位范围</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北京市丰台区城市管理综合行政执法局因公出国（境）费用、公务接待费、公务用车购置和运行维护费开支单位包括1个所属单位。</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（二）“三公”经费财政拨款情况说明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2025年“三公”经费财政拨款预算0万元，与2024年持平。其中：</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1.因公出国（境）费用。2025年预算数0万元，与2024年持平。</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2.公务接待费。2025年预算数0万元，与2024年持平。</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公务用车购置和运行维护费。2025年预算数0万元，与2024年持平。其中，公务用车购置费2025年预算数0万元，与2024年持平；公务用车运行维护费2025年预算数0万元，其中：公务用车加油0万元，公务用车维修0万元，公务用车保险0万元，其他0万元。与2024年持平。</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五、其他情况说明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（一）部门政府采购预算说明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2025年北京市丰台区城市管理综合行政执法局政府采购预算总额225.024万元。</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（二）政府购买服务预算说明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2025年北京市丰台区城市管理综合行政执法局政府购买服务预算总额233.924万元。</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（三）机关运行经费情况说明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北京市丰台区城市管理综合行政执法局1家行政单位的机关运行经费财政拨款预算98.29281万元。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（四）项目支出绩效目标情况说明 </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2025年，北京市丰台区城市管理综合行政执法局填报绩效目标的预算项目11个，占全部预算项目11个的100%。填报绩效目标的项目支出预算678.964756万元，占本部门全部项目支出预算的100%。（注：不含基本支出）</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（五）重点行政事业性收费情况说明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本部门2025年无重点行政事业性收费。</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（六）国有资本经营预算财政拨款情况说明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本部门2025年无国有资本经营预算财政拨款安排的预算。</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（七）固定资产占有使用情况说明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截止2024年底，本部门（包括各下属单位）固定资产总额716.40万元，其中：车辆7台，65.995400万元；单位价值50万元以上的通用设备0台（套），0万元；单位价值100万元以上的专用设备0台（套），0万元。</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（八）其他事项说明</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六、名词解释</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预算：</w:t>
      </w:r>
      <w:r>
        <w:rPr>
          <w:rFonts w:hint="eastAsia" w:ascii="仿宋_GB2312" w:hAnsi="宋体" w:eastAsia="仿宋_GB2312" w:cs="宋体"/>
          <w:b w:val="0"/>
          <w:bCs w:val="0"/>
          <w:color w:val="000000"/>
          <w:spacing w:val="15"/>
          <w:kern w:val="0"/>
          <w:sz w:val="32"/>
          <w:szCs w:val="32"/>
          <w:lang w:val="en-US" w:eastAsia="zh-CN"/>
        </w:rPr>
        <w:t>指遵循统筹兼顾、勤俭节约、量力而行、讲求绩效和收支平衡的原则编制，经法定程序审核批准的国家年度集中性财政收支计划。政府的全部收入和支出都应当纳入预算，地方各级预算一般不列赤字。</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一般公共预算：</w:t>
      </w:r>
      <w:r>
        <w:rPr>
          <w:rFonts w:hint="eastAsia" w:ascii="仿宋_GB2312" w:hAnsi="宋体" w:eastAsia="仿宋_GB2312" w:cs="宋体"/>
          <w:b w:val="0"/>
          <w:bCs w:val="0"/>
          <w:color w:val="000000"/>
          <w:spacing w:val="15"/>
          <w:kern w:val="0"/>
          <w:sz w:val="32"/>
          <w:szCs w:val="32"/>
          <w:lang w:val="en-US" w:eastAsia="zh-CN"/>
        </w:rPr>
        <w:t>对以税收为主体的财政收入，安排用于保障和改善民生、推动经济社会发展、维护国家安全、维持国家机构正常运转等方面的收支预算。</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结余结转资金：</w:t>
      </w:r>
      <w:r>
        <w:rPr>
          <w:rFonts w:hint="eastAsia" w:ascii="仿宋_GB2312" w:hAnsi="宋体" w:eastAsia="仿宋_GB2312" w:cs="宋体"/>
          <w:b w:val="0"/>
          <w:bCs w:val="0"/>
          <w:color w:val="000000"/>
          <w:spacing w:val="15"/>
          <w:kern w:val="0"/>
          <w:sz w:val="32"/>
          <w:szCs w:val="32"/>
          <w:lang w:val="en-US" w:eastAsia="zh-CN"/>
        </w:rPr>
        <w:t>指当年预算已执行但工作目标未完成，或者因故未执行，下一年度需要按原用途继续使用的资金。</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部门预算:</w:t>
      </w:r>
      <w:r>
        <w:rPr>
          <w:rFonts w:hint="eastAsia" w:ascii="仿宋_GB2312" w:hAnsi="宋体" w:eastAsia="仿宋_GB2312" w:cs="宋体"/>
          <w:b w:val="0"/>
          <w:bCs w:val="0"/>
          <w:color w:val="000000"/>
          <w:spacing w:val="15"/>
          <w:kern w:val="0"/>
          <w:sz w:val="32"/>
          <w:szCs w:val="32"/>
          <w:lang w:val="en-US" w:eastAsia="zh-CN"/>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政府采购:</w:t>
      </w:r>
      <w:r>
        <w:rPr>
          <w:rFonts w:hint="eastAsia" w:ascii="仿宋_GB2312" w:hAnsi="宋体" w:eastAsia="仿宋_GB2312" w:cs="宋体"/>
          <w:b w:val="0"/>
          <w:bCs w:val="0"/>
          <w:color w:val="000000"/>
          <w:spacing w:val="15"/>
          <w:kern w:val="0"/>
          <w:sz w:val="32"/>
          <w:szCs w:val="32"/>
          <w:lang w:val="en-US" w:eastAsia="zh-CN"/>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预算绩效管理：</w:t>
      </w:r>
      <w:r>
        <w:rPr>
          <w:rFonts w:hint="eastAsia" w:ascii="仿宋_GB2312" w:hAnsi="宋体" w:eastAsia="仿宋_GB2312" w:cs="宋体"/>
          <w:b w:val="0"/>
          <w:bCs w:val="0"/>
          <w:color w:val="000000"/>
          <w:spacing w:val="15"/>
          <w:kern w:val="0"/>
          <w:sz w:val="32"/>
          <w:szCs w:val="32"/>
          <w:lang w:val="en-US"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“三公”经费：</w:t>
      </w:r>
      <w:r>
        <w:rPr>
          <w:rFonts w:hint="eastAsia" w:ascii="仿宋_GB2312" w:hAnsi="宋体" w:eastAsia="仿宋_GB2312" w:cs="宋体"/>
          <w:b w:val="0"/>
          <w:bCs w:val="0"/>
          <w:color w:val="000000"/>
          <w:spacing w:val="15"/>
          <w:kern w:val="0"/>
          <w:sz w:val="32"/>
          <w:szCs w:val="32"/>
          <w:lang w:val="en-US" w:eastAsia="zh-CN"/>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政府购买服务：</w:t>
      </w:r>
      <w:r>
        <w:rPr>
          <w:rFonts w:hint="eastAsia" w:ascii="仿宋_GB2312" w:hAnsi="宋体" w:eastAsia="仿宋_GB2312" w:cs="宋体"/>
          <w:b w:val="0"/>
          <w:bCs w:val="0"/>
          <w:color w:val="000000"/>
          <w:spacing w:val="15"/>
          <w:kern w:val="0"/>
          <w:sz w:val="32"/>
          <w:szCs w:val="32"/>
          <w:lang w:val="en-US" w:eastAsia="zh-CN"/>
        </w:rPr>
        <w:t>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机关运行经费：</w:t>
      </w:r>
      <w:r>
        <w:rPr>
          <w:rFonts w:hint="eastAsia" w:ascii="仿宋_GB2312" w:hAnsi="宋体" w:eastAsia="仿宋_GB2312" w:cs="宋体"/>
          <w:b w:val="0"/>
          <w:bCs w:val="0"/>
          <w:color w:val="000000"/>
          <w:spacing w:val="15"/>
          <w:kern w:val="0"/>
          <w:sz w:val="32"/>
          <w:szCs w:val="32"/>
          <w:lang w:val="en-US" w:eastAsia="zh-CN"/>
        </w:rPr>
        <w:t>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项目支出绩效目标：</w:t>
      </w:r>
      <w:r>
        <w:rPr>
          <w:rFonts w:hint="eastAsia" w:ascii="仿宋_GB2312" w:hAnsi="宋体" w:eastAsia="仿宋_GB2312" w:cs="宋体"/>
          <w:b w:val="0"/>
          <w:bCs w:val="0"/>
          <w:color w:val="000000"/>
          <w:spacing w:val="15"/>
          <w:kern w:val="0"/>
          <w:sz w:val="32"/>
          <w:szCs w:val="32"/>
          <w:lang w:val="en-US" w:eastAsia="zh-CN"/>
        </w:rPr>
        <w:t>指区级预算部门或单位依据职责和事业发展要求，设立并通过预算安排的项目支出在一定期限内预期达到的产出和效果。</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部门（单位）整体支出绩效目标：</w:t>
      </w:r>
      <w:r>
        <w:rPr>
          <w:rFonts w:hint="eastAsia" w:ascii="仿宋_GB2312" w:hAnsi="宋体" w:eastAsia="仿宋_GB2312" w:cs="宋体"/>
          <w:b w:val="0"/>
          <w:bCs w:val="0"/>
          <w:color w:val="000000"/>
          <w:spacing w:val="15"/>
          <w:kern w:val="0"/>
          <w:sz w:val="32"/>
          <w:szCs w:val="32"/>
          <w:lang w:val="en-US" w:eastAsia="zh-CN"/>
        </w:rPr>
        <w:t>指区级预算部门或单位按照确定的职责，利用全部部门预算资金在一定期限内预期达到的总体产出和效果。</w:t>
      </w:r>
    </w:p>
    <w:p>
      <w:pPr>
        <w:keepNext w:val="0"/>
        <w:keepLines w:val="0"/>
        <w:pageBreakBefore w:val="0"/>
        <w:numPr>
          <w:ilvl w:val="0"/>
          <w:numId w:val="0"/>
        </w:numPr>
        <w:suppressAutoHyphens/>
        <w:kinsoku/>
        <w:wordWrap/>
        <w:overflowPunct/>
        <w:topLinePunct w:val="0"/>
        <w:autoSpaceDE/>
        <w:autoSpaceDN/>
        <w:bidi w:val="0"/>
        <w:adjustRightInd/>
        <w:snapToGrid/>
        <w:spacing w:line="600" w:lineRule="exact"/>
        <w:ind w:firstLine="703" w:firstLineChars="200"/>
        <w:textAlignment w:val="auto"/>
        <w:rPr>
          <w:rFonts w:hint="eastAsia" w:ascii="仿宋_GB2312" w:hAnsi="宋体" w:eastAsia="仿宋_GB2312" w:cs="宋体"/>
          <w:b w:val="0"/>
          <w:bCs w:val="0"/>
          <w:color w:val="000000"/>
          <w:spacing w:val="15"/>
          <w:kern w:val="0"/>
          <w:sz w:val="32"/>
          <w:szCs w:val="32"/>
          <w:lang w:val="en-US" w:eastAsia="zh-CN"/>
        </w:rPr>
      </w:pPr>
      <w:r>
        <w:rPr>
          <w:rFonts w:hint="eastAsia" w:ascii="仿宋_GB2312" w:hAnsi="宋体" w:eastAsia="仿宋_GB2312" w:cs="宋体"/>
          <w:b/>
          <w:bCs/>
          <w:color w:val="000000"/>
          <w:spacing w:val="15"/>
          <w:kern w:val="0"/>
          <w:sz w:val="32"/>
          <w:szCs w:val="32"/>
          <w:lang w:val="en-US" w:eastAsia="zh-CN"/>
        </w:rPr>
        <w:t>行政事业性收费:</w:t>
      </w:r>
      <w:r>
        <w:rPr>
          <w:rFonts w:hint="eastAsia" w:ascii="仿宋_GB2312" w:hAnsi="宋体" w:eastAsia="仿宋_GB2312" w:cs="宋体"/>
          <w:b w:val="0"/>
          <w:bCs w:val="0"/>
          <w:color w:val="000000"/>
          <w:spacing w:val="15"/>
          <w:kern w:val="0"/>
          <w:sz w:val="32"/>
          <w:szCs w:val="32"/>
          <w:lang w:val="en-US" w:eastAsia="zh-CN"/>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rPr>
        <w:t> </w:t>
      </w:r>
    </w:p>
    <w:p>
      <w:pPr>
        <w:keepNext w:val="0"/>
        <w:keepLines w:val="0"/>
        <w:pageBreakBefore w:val="0"/>
        <w:widowControl/>
        <w:numPr>
          <w:ilvl w:val="0"/>
          <w:numId w:val="2"/>
        </w:numPr>
        <w:kinsoku/>
        <w:wordWrap/>
        <w:overflowPunct/>
        <w:topLinePunct w:val="0"/>
        <w:autoSpaceDE/>
        <w:autoSpaceDN/>
        <w:bidi w:val="0"/>
        <w:adjustRightInd w:val="0"/>
        <w:snapToGrid/>
        <w:spacing w:line="600" w:lineRule="exact"/>
        <w:ind w:firstLine="940" w:firstLineChars="200"/>
        <w:jc w:val="left"/>
        <w:textAlignment w:val="auto"/>
        <w:rPr>
          <w:rFonts w:hint="eastAsia" w:ascii="方正小标宋简体" w:hAnsi="方正小标宋简体" w:eastAsia="方正小标宋简体" w:cs="方正小标宋简体"/>
          <w:color w:val="000000"/>
          <w:spacing w:val="15"/>
          <w:kern w:val="0"/>
          <w:sz w:val="44"/>
          <w:szCs w:val="44"/>
          <w:lang w:val="en-US" w:eastAsia="zh-CN"/>
        </w:rPr>
      </w:pPr>
      <w:r>
        <w:rPr>
          <w:rFonts w:hint="eastAsia" w:ascii="方正小标宋简体" w:hAnsi="方正小标宋简体" w:eastAsia="方正小标宋简体" w:cs="方正小标宋简体"/>
          <w:color w:val="000000"/>
          <w:spacing w:val="15"/>
          <w:kern w:val="0"/>
          <w:sz w:val="44"/>
          <w:szCs w:val="44"/>
          <w:lang w:val="en-US" w:eastAsia="zh-CN"/>
        </w:rPr>
        <w:t>2025年部门预算报表</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jc w:val="left"/>
        <w:textAlignment w:val="auto"/>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 xml:space="preserve">    附件：</w:t>
      </w:r>
      <w:bookmarkStart w:id="0" w:name="_GoBack"/>
      <w:r>
        <w:rPr>
          <w:rFonts w:hint="eastAsia" w:ascii="仿宋_GB2312" w:hAnsi="宋体" w:eastAsia="仿宋_GB2312" w:cs="宋体"/>
          <w:color w:val="000000"/>
          <w:spacing w:val="15"/>
          <w:kern w:val="0"/>
          <w:sz w:val="32"/>
          <w:szCs w:val="32"/>
          <w:lang w:val="en-US" w:eastAsia="zh-CN"/>
        </w:rPr>
        <w:t>北京市丰台区城市管理综合行政执法局2025年部门预算报表</w:t>
      </w:r>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84D4"/>
    <w:multiLevelType w:val="singleLevel"/>
    <w:tmpl w:val="072184D4"/>
    <w:lvl w:ilvl="0" w:tentative="0">
      <w:start w:val="2"/>
      <w:numFmt w:val="chineseCounting"/>
      <w:suff w:val="space"/>
      <w:lvlText w:val="第%1部分"/>
      <w:lvlJc w:val="left"/>
      <w:rPr>
        <w:rFonts w:hint="eastAsia"/>
      </w:rPr>
    </w:lvl>
  </w:abstractNum>
  <w:abstractNum w:abstractNumId="1">
    <w:nsid w:val="1A385EE1"/>
    <w:multiLevelType w:val="singleLevel"/>
    <w:tmpl w:val="1A385EE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46F01"/>
    <w:rsid w:val="045C5985"/>
    <w:rsid w:val="0C4055C9"/>
    <w:rsid w:val="148C1B7E"/>
    <w:rsid w:val="248B089C"/>
    <w:rsid w:val="27E2664D"/>
    <w:rsid w:val="3DE23938"/>
    <w:rsid w:val="46914924"/>
    <w:rsid w:val="55EF3ADA"/>
    <w:rsid w:val="57D46F01"/>
    <w:rsid w:val="5FDF4AF3"/>
    <w:rsid w:val="FFF3B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2025-01-22T13:20:00Z</dcterms:created>
  <dc:creator>L</dc:creator>
  <cp:lastModifiedBy>Administrator</cp:lastModifiedBy>
  <dcterms:modified xsi:type="dcterms:W3CDTF">2025-02-11T06:53:33Z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591047E3BF264B3F869043CFBEC781AC</vt:lpwstr>
  </property>
</Properties>
</file>