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60" w:lineRule="exact"/>
        <w:rPr>
          <w:rFonts w:ascii="黑体" w:hAnsi="黑体" w:eastAsia="黑体" w:cs="仿宋_GB2312"/>
          <w:szCs w:val="32"/>
        </w:rPr>
      </w:pPr>
      <w:r>
        <w:rPr>
          <w:rFonts w:ascii="黑体" w:hAnsi="黑体" w:eastAsia="黑体" w:cs="仿宋_GB2312"/>
          <w:szCs w:val="32"/>
        </w:rPr>
        <w:t>附件3</w:t>
      </w:r>
    </w:p>
    <w:tbl>
      <w:tblPr>
        <w:tblStyle w:val="2"/>
        <w:tblW w:w="0" w:type="auto"/>
        <w:tblInd w:w="-13" w:type="dxa"/>
        <w:tblLayout w:type="fixed"/>
        <w:tblCellMar>
          <w:top w:w="15" w:type="dxa"/>
          <w:left w:w="15" w:type="dxa"/>
          <w:bottom w:w="15" w:type="dxa"/>
          <w:right w:w="15" w:type="dxa"/>
        </w:tblCellMar>
      </w:tblPr>
      <w:tblGrid>
        <w:gridCol w:w="567"/>
        <w:gridCol w:w="2503"/>
        <w:gridCol w:w="1098"/>
        <w:gridCol w:w="4317"/>
        <w:gridCol w:w="871"/>
      </w:tblGrid>
      <w:tr>
        <w:tblPrEx>
          <w:tblCellMar>
            <w:top w:w="15" w:type="dxa"/>
            <w:left w:w="15" w:type="dxa"/>
            <w:bottom w:w="15" w:type="dxa"/>
            <w:right w:w="15" w:type="dxa"/>
          </w:tblCellMar>
        </w:tblPrEx>
        <w:trPr>
          <w:trHeight w:val="705" w:hRule="atLeast"/>
        </w:trPr>
        <w:tc>
          <w:tcPr>
            <w:tcW w:w="9356" w:type="dxa"/>
            <w:gridSpan w:val="5"/>
            <w:tcBorders>
              <w:bottom w:val="single" w:color="000000" w:sz="4" w:space="0"/>
            </w:tcBorders>
            <w:noWrap w:val="0"/>
            <w:vAlign w:val="center"/>
          </w:tcPr>
          <w:p>
            <w:pPr>
              <w:adjustRightInd w:val="0"/>
              <w:snapToGrid w:val="0"/>
              <w:spacing w:line="540" w:lineRule="exact"/>
              <w:jc w:val="center"/>
              <w:textAlignment w:val="center"/>
              <w:rPr>
                <w:rFonts w:hAnsi="宋体"/>
                <w:b/>
                <w:bCs/>
                <w:color w:val="000000"/>
                <w:sz w:val="24"/>
                <w:szCs w:val="24"/>
              </w:rPr>
            </w:pPr>
            <w:r>
              <w:rPr>
                <w:rFonts w:hint="eastAsia" w:ascii="方正小标宋简体" w:hAnsi="方正小标宋简体" w:eastAsia="方正小标宋简体" w:cs="方正小标宋简体"/>
                <w:sz w:val="44"/>
                <w:szCs w:val="44"/>
              </w:rPr>
              <w:t>社区养老服务驿站养老服务清单</w:t>
            </w:r>
          </w:p>
        </w:tc>
      </w:tr>
      <w:tr>
        <w:tblPrEx>
          <w:tblCellMar>
            <w:top w:w="15" w:type="dxa"/>
            <w:left w:w="15" w:type="dxa"/>
            <w:bottom w:w="15" w:type="dxa"/>
            <w:right w:w="15" w:type="dxa"/>
          </w:tblCellMar>
        </w:tblPrEx>
        <w:trPr>
          <w:trHeight w:val="548"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黑体" w:hAnsi="黑体" w:eastAsia="黑体" w:cs="黑体"/>
                <w:color w:val="000000"/>
                <w:sz w:val="24"/>
                <w:szCs w:val="24"/>
              </w:rPr>
            </w:pPr>
            <w:r>
              <w:rPr>
                <w:rFonts w:hint="eastAsia" w:ascii="黑体" w:hAnsi="黑体" w:eastAsia="黑体" w:cs="黑体"/>
                <w:color w:val="000000"/>
                <w:sz w:val="24"/>
                <w:szCs w:val="24"/>
              </w:rPr>
              <w:t>类型</w:t>
            </w:r>
          </w:p>
        </w:tc>
        <w:tc>
          <w:tcPr>
            <w:tcW w:w="250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服务对象</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服务</w:t>
            </w:r>
          </w:p>
          <w:p>
            <w:pPr>
              <w:spacing w:line="28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项目</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服务标准</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CellMar>
            <w:top w:w="15" w:type="dxa"/>
            <w:left w:w="15" w:type="dxa"/>
            <w:bottom w:w="15" w:type="dxa"/>
            <w:right w:w="15" w:type="dxa"/>
          </w:tblCellMar>
        </w:tblPrEx>
        <w:trPr>
          <w:trHeight w:val="1231" w:hRule="atLeast"/>
        </w:trPr>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Ansi="宋体"/>
                <w:color w:val="000000"/>
                <w:sz w:val="24"/>
                <w:szCs w:val="24"/>
              </w:rPr>
            </w:pPr>
            <w:r>
              <w:rPr>
                <w:rFonts w:hint="eastAsia" w:hAnsi="宋体" w:cs="仿宋_GB2312"/>
                <w:color w:val="000000"/>
                <w:sz w:val="24"/>
                <w:szCs w:val="24"/>
              </w:rPr>
              <w:t>基本养老服务清单</w:t>
            </w:r>
          </w:p>
        </w:tc>
        <w:tc>
          <w:tcPr>
            <w:tcW w:w="2503" w:type="dxa"/>
            <w:vMerge w:val="restart"/>
            <w:tcBorders>
              <w:top w:val="single" w:color="000000" w:sz="4" w:space="0"/>
              <w:left w:val="single" w:color="000000" w:sz="4" w:space="0"/>
              <w:right w:val="single" w:color="000000" w:sz="4" w:space="0"/>
            </w:tcBorders>
            <w:noWrap w:val="0"/>
            <w:vAlign w:val="center"/>
          </w:tcPr>
          <w:p>
            <w:pPr>
              <w:spacing w:line="280" w:lineRule="exact"/>
              <w:textAlignment w:val="center"/>
              <w:rPr>
                <w:rFonts w:hint="eastAsia" w:hAnsi="仿宋_GB2312" w:cs="仿宋_GB2312"/>
                <w:b/>
                <w:color w:val="000000"/>
                <w:sz w:val="24"/>
                <w:szCs w:val="24"/>
              </w:rPr>
            </w:pPr>
            <w:r>
              <w:rPr>
                <w:rStyle w:val="4"/>
                <w:rFonts w:hint="default" w:ascii="仿宋_GB2312" w:hAnsi="仿宋_GB2312" w:eastAsia="仿宋_GB2312" w:cs="仿宋_GB2312"/>
                <w:b w:val="0"/>
                <w:sz w:val="24"/>
                <w:szCs w:val="24"/>
              </w:rPr>
              <w:t>城乡特困家庭老年人；低保低收入家庭失能、失智、高龄老年人；计划生育特殊困难家庭老年人；其他家庭重度失能老年人、失智老年人、重度残疾老年人。</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仿宋_GB2312" w:cs="仿宋_GB2312"/>
                <w:color w:val="000000"/>
                <w:sz w:val="24"/>
                <w:szCs w:val="24"/>
              </w:rPr>
            </w:pPr>
            <w:r>
              <w:rPr>
                <w:rFonts w:hint="eastAsia" w:hAnsi="仿宋_GB2312" w:cs="仿宋_GB2312"/>
                <w:color w:val="000000"/>
                <w:sz w:val="24"/>
                <w:szCs w:val="24"/>
              </w:rPr>
              <w:t>巡视探访服务</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 xml:space="preserve">提供关怀访视、生活陪伴、心理咨询、不良情绪干预、精神慰藉服务和服务需求调查服务。每周入户探访1次(每次入户探访原则不少于20分钟)。 </w:t>
            </w:r>
          </w:p>
        </w:tc>
        <w:tc>
          <w:tcPr>
            <w:tcW w:w="871" w:type="dxa"/>
            <w:vMerge w:val="restart"/>
            <w:tcBorders>
              <w:top w:val="single" w:color="000000" w:sz="4" w:space="0"/>
              <w:left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政府购买服务，老年人不付费</w:t>
            </w:r>
          </w:p>
          <w:p>
            <w:pPr>
              <w:spacing w:line="280" w:lineRule="exact"/>
              <w:textAlignment w:val="center"/>
              <w:rPr>
                <w:rFonts w:hint="eastAsia" w:hAnsi="仿宋_GB2312" w:cs="仿宋_GB2312"/>
                <w:color w:val="000000"/>
                <w:sz w:val="24"/>
                <w:szCs w:val="24"/>
              </w:rPr>
            </w:pPr>
          </w:p>
        </w:tc>
      </w:tr>
      <w:tr>
        <w:tblPrEx>
          <w:tblCellMar>
            <w:top w:w="15" w:type="dxa"/>
            <w:left w:w="15" w:type="dxa"/>
            <w:bottom w:w="15" w:type="dxa"/>
            <w:right w:w="15" w:type="dxa"/>
          </w:tblCellMar>
        </w:tblPrEx>
        <w:trPr>
          <w:trHeight w:val="771"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continue"/>
            <w:tcBorders>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仿宋_GB2312" w:cs="仿宋_GB2312"/>
                <w:color w:val="000000"/>
                <w:sz w:val="24"/>
                <w:szCs w:val="24"/>
              </w:rPr>
            </w:pPr>
            <w:r>
              <w:rPr>
                <w:rFonts w:hint="eastAsia" w:hAnsi="仿宋_GB2312" w:cs="仿宋_GB2312"/>
                <w:color w:val="000000"/>
                <w:sz w:val="24"/>
                <w:szCs w:val="24"/>
              </w:rPr>
              <w:t>个人清洁服务</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每月安排免费理发1次。</w:t>
            </w:r>
          </w:p>
        </w:tc>
        <w:tc>
          <w:tcPr>
            <w:tcW w:w="871" w:type="dxa"/>
            <w:vMerge w:val="continue"/>
            <w:tcBorders>
              <w:left w:val="single" w:color="000000" w:sz="4" w:space="0"/>
              <w:right w:val="single" w:color="000000" w:sz="4" w:space="0"/>
            </w:tcBorders>
            <w:noWrap w:val="0"/>
            <w:vAlign w:val="center"/>
          </w:tcPr>
          <w:p>
            <w:pPr>
              <w:spacing w:line="280" w:lineRule="exact"/>
              <w:rPr>
                <w:rFonts w:hint="eastAsia" w:hAnsi="仿宋_GB2312" w:cs="仿宋_GB2312"/>
                <w:color w:val="000000"/>
                <w:sz w:val="24"/>
                <w:szCs w:val="24"/>
              </w:rPr>
            </w:pPr>
          </w:p>
        </w:tc>
      </w:tr>
      <w:tr>
        <w:tblPrEx>
          <w:tblCellMar>
            <w:top w:w="15" w:type="dxa"/>
            <w:left w:w="15" w:type="dxa"/>
            <w:bottom w:w="15" w:type="dxa"/>
            <w:right w:w="15" w:type="dxa"/>
          </w:tblCellMar>
        </w:tblPrEx>
        <w:trPr>
          <w:trHeight w:val="720"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b/>
                <w:color w:val="000000"/>
                <w:sz w:val="24"/>
                <w:szCs w:val="24"/>
              </w:rPr>
            </w:pPr>
            <w:r>
              <w:rPr>
                <w:rStyle w:val="4"/>
                <w:rFonts w:hint="default" w:ascii="仿宋_GB2312" w:hAnsi="仿宋_GB2312" w:eastAsia="仿宋_GB2312" w:cs="仿宋_GB2312"/>
                <w:b w:val="0"/>
                <w:sz w:val="24"/>
                <w:szCs w:val="24"/>
              </w:rPr>
              <w:t>城乡特困家庭老年人；低保低收入家庭失能、失智、高龄老年人；计划生育特殊困难家庭老年人；其他家庭失能老年人、失智老年人、重度残疾老年人。</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仿宋_GB2312" w:cs="仿宋_GB2312"/>
                <w:color w:val="000000"/>
                <w:sz w:val="24"/>
                <w:szCs w:val="24"/>
              </w:rPr>
            </w:pPr>
            <w:r>
              <w:rPr>
                <w:rFonts w:hint="eastAsia" w:hAnsi="仿宋_GB2312" w:cs="仿宋_GB2312"/>
                <w:color w:val="000000"/>
                <w:sz w:val="24"/>
                <w:szCs w:val="24"/>
              </w:rPr>
              <w:t>养老顾问服务</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提供养老服务政策咨询服务、代缴咨询、供需对接服务，实现基本养老服务对象养老服务困难和需求及时响应。</w:t>
            </w:r>
          </w:p>
        </w:tc>
        <w:tc>
          <w:tcPr>
            <w:tcW w:w="871" w:type="dxa"/>
            <w:vMerge w:val="continue"/>
            <w:tcBorders>
              <w:left w:val="single" w:color="000000" w:sz="4" w:space="0"/>
              <w:right w:val="single" w:color="000000" w:sz="4" w:space="0"/>
            </w:tcBorders>
            <w:noWrap w:val="0"/>
            <w:vAlign w:val="center"/>
          </w:tcPr>
          <w:p>
            <w:pPr>
              <w:spacing w:line="280" w:lineRule="exact"/>
              <w:rPr>
                <w:rFonts w:hint="eastAsia" w:hAnsi="仿宋_GB2312" w:cs="仿宋_GB2312"/>
                <w:color w:val="000000"/>
                <w:sz w:val="24"/>
                <w:szCs w:val="24"/>
              </w:rPr>
            </w:pPr>
          </w:p>
        </w:tc>
      </w:tr>
      <w:tr>
        <w:tblPrEx>
          <w:tblCellMar>
            <w:top w:w="15" w:type="dxa"/>
            <w:left w:w="15" w:type="dxa"/>
            <w:bottom w:w="15" w:type="dxa"/>
            <w:right w:w="15" w:type="dxa"/>
          </w:tblCellMar>
        </w:tblPrEx>
        <w:trPr>
          <w:trHeight w:val="1220"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仿宋_GB2312" w:cs="仿宋_GB2312"/>
                <w:color w:val="000000"/>
                <w:sz w:val="24"/>
                <w:szCs w:val="24"/>
              </w:rPr>
            </w:pPr>
            <w:r>
              <w:rPr>
                <w:rFonts w:hint="eastAsia" w:hAnsi="仿宋_GB2312" w:cs="仿宋_GB2312"/>
                <w:color w:val="000000"/>
                <w:sz w:val="24"/>
                <w:szCs w:val="24"/>
              </w:rPr>
              <w:t>呼叫服务</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 xml:space="preserve">对老年人紧急情况下的应急呼叫及通过智能设备获取的老年人异常情况第一时间响应；可为行动不便、家中确实无人取餐的基本养老对象家庭提供免费代为取餐服务。 </w:t>
            </w:r>
          </w:p>
        </w:tc>
        <w:tc>
          <w:tcPr>
            <w:tcW w:w="871" w:type="dxa"/>
            <w:vMerge w:val="continue"/>
            <w:tcBorders>
              <w:left w:val="single" w:color="000000" w:sz="4" w:space="0"/>
              <w:right w:val="single" w:color="000000" w:sz="4" w:space="0"/>
            </w:tcBorders>
            <w:noWrap w:val="0"/>
            <w:vAlign w:val="center"/>
          </w:tcPr>
          <w:p>
            <w:pPr>
              <w:spacing w:line="280" w:lineRule="exact"/>
              <w:rPr>
                <w:rFonts w:hint="eastAsia" w:hAnsi="仿宋_GB2312" w:cs="仿宋_GB2312"/>
                <w:color w:val="000000"/>
                <w:sz w:val="24"/>
                <w:szCs w:val="24"/>
              </w:rPr>
            </w:pPr>
          </w:p>
        </w:tc>
      </w:tr>
      <w:tr>
        <w:tblPrEx>
          <w:tblCellMar>
            <w:top w:w="15" w:type="dxa"/>
            <w:left w:w="15" w:type="dxa"/>
            <w:bottom w:w="15" w:type="dxa"/>
            <w:right w:w="15" w:type="dxa"/>
          </w:tblCellMar>
        </w:tblPrEx>
        <w:trPr>
          <w:trHeight w:val="775"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Style w:val="4"/>
                <w:rFonts w:hint="default" w:ascii="仿宋_GB2312" w:hAnsi="仿宋_GB2312" w:eastAsia="仿宋_GB2312" w:cs="仿宋_GB2312"/>
                <w:b w:val="0"/>
                <w:sz w:val="24"/>
                <w:szCs w:val="24"/>
              </w:rPr>
              <w:t>所有60周岁以上老年人。</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宋体" w:cs="仿宋_GB2312"/>
                <w:color w:val="000000"/>
                <w:sz w:val="24"/>
                <w:szCs w:val="24"/>
              </w:rPr>
            </w:pPr>
            <w:r>
              <w:rPr>
                <w:rFonts w:hint="eastAsia" w:hAnsi="宋体" w:cs="仿宋_GB2312"/>
                <w:color w:val="000000"/>
                <w:sz w:val="24"/>
                <w:szCs w:val="24"/>
              </w:rPr>
              <w:t>健康监测</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宋体" w:cs="仿宋_GB2312"/>
                <w:color w:val="000000"/>
                <w:sz w:val="24"/>
                <w:szCs w:val="24"/>
              </w:rPr>
            </w:pPr>
            <w:r>
              <w:rPr>
                <w:rFonts w:hint="eastAsia" w:hAnsi="宋体" w:cs="仿宋_GB2312"/>
                <w:color w:val="000000"/>
                <w:sz w:val="24"/>
                <w:szCs w:val="24"/>
              </w:rPr>
              <w:t xml:space="preserve">在驿站对外公示的营业期间内，根据老年人及其陪同人员要求，协助老年人开展测量心率、血压、血糖、体温等自查。   </w:t>
            </w:r>
          </w:p>
        </w:tc>
        <w:tc>
          <w:tcPr>
            <w:tcW w:w="871" w:type="dxa"/>
            <w:vMerge w:val="continue"/>
            <w:tcBorders>
              <w:left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p>
        </w:tc>
      </w:tr>
      <w:tr>
        <w:tblPrEx>
          <w:tblCellMar>
            <w:top w:w="15" w:type="dxa"/>
            <w:left w:w="15" w:type="dxa"/>
            <w:bottom w:w="15" w:type="dxa"/>
            <w:right w:w="15" w:type="dxa"/>
          </w:tblCellMar>
        </w:tblPrEx>
        <w:trPr>
          <w:trHeight w:val="347"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Ansi="宋体"/>
                <w:color w:val="000000"/>
                <w:sz w:val="24"/>
                <w:szCs w:val="24"/>
              </w:rPr>
            </w:pP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宋体" w:cs="仿宋_GB2312"/>
                <w:color w:val="000000"/>
                <w:sz w:val="24"/>
                <w:szCs w:val="24"/>
              </w:rPr>
            </w:pPr>
            <w:r>
              <w:rPr>
                <w:rFonts w:hint="eastAsia" w:hAnsi="宋体" w:cs="仿宋_GB2312"/>
                <w:color w:val="000000"/>
                <w:sz w:val="24"/>
                <w:szCs w:val="24"/>
              </w:rPr>
              <w:t>方便服务</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宋体" w:cs="仿宋_GB2312"/>
                <w:color w:val="000000"/>
                <w:sz w:val="24"/>
                <w:szCs w:val="24"/>
              </w:rPr>
            </w:pPr>
            <w:r>
              <w:rPr>
                <w:rFonts w:hint="eastAsia" w:hAnsi="宋体" w:cs="仿宋_GB2312"/>
                <w:color w:val="000000"/>
                <w:sz w:val="24"/>
                <w:szCs w:val="24"/>
              </w:rPr>
              <w:t>提供“喝口水、歇歇脚、解内急”等服务。</w:t>
            </w:r>
          </w:p>
        </w:tc>
        <w:tc>
          <w:tcPr>
            <w:tcW w:w="871" w:type="dxa"/>
            <w:vMerge w:val="continue"/>
            <w:tcBorders>
              <w:left w:val="single" w:color="000000" w:sz="4" w:space="0"/>
              <w:right w:val="single" w:color="000000" w:sz="4" w:space="0"/>
            </w:tcBorders>
            <w:noWrap w:val="0"/>
            <w:vAlign w:val="center"/>
          </w:tcPr>
          <w:p>
            <w:pPr>
              <w:spacing w:line="280" w:lineRule="exact"/>
              <w:rPr>
                <w:rFonts w:hAnsi="宋体"/>
                <w:color w:val="000000"/>
                <w:sz w:val="24"/>
                <w:szCs w:val="24"/>
              </w:rPr>
            </w:pPr>
          </w:p>
        </w:tc>
      </w:tr>
      <w:tr>
        <w:tblPrEx>
          <w:tblCellMar>
            <w:top w:w="15" w:type="dxa"/>
            <w:left w:w="15" w:type="dxa"/>
            <w:bottom w:w="15" w:type="dxa"/>
            <w:right w:w="15" w:type="dxa"/>
          </w:tblCellMar>
        </w:tblPrEx>
        <w:trPr>
          <w:trHeight w:val="520"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Ansi="宋体"/>
                <w:color w:val="000000"/>
                <w:sz w:val="24"/>
                <w:szCs w:val="24"/>
              </w:rPr>
            </w:pP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宋体" w:cs="仿宋_GB2312"/>
                <w:color w:val="000000"/>
                <w:sz w:val="24"/>
                <w:szCs w:val="24"/>
              </w:rPr>
            </w:pPr>
            <w:r>
              <w:rPr>
                <w:rFonts w:hint="eastAsia" w:hAnsi="宋体" w:cs="仿宋_GB2312"/>
                <w:color w:val="000000"/>
                <w:sz w:val="24"/>
                <w:szCs w:val="24"/>
              </w:rPr>
              <w:t>解难服务</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宋体" w:cs="仿宋_GB2312"/>
                <w:color w:val="000000"/>
                <w:sz w:val="24"/>
                <w:szCs w:val="24"/>
              </w:rPr>
            </w:pPr>
            <w:r>
              <w:rPr>
                <w:rFonts w:hint="eastAsia" w:hAnsi="宋体" w:cs="仿宋_GB2312"/>
                <w:color w:val="000000"/>
                <w:sz w:val="24"/>
                <w:szCs w:val="24"/>
              </w:rPr>
              <w:t>提供恶劣天气临时避险、应急雨具借用、问路指引和走失临时联络服务。</w:t>
            </w:r>
          </w:p>
        </w:tc>
        <w:tc>
          <w:tcPr>
            <w:tcW w:w="871" w:type="dxa"/>
            <w:vMerge w:val="continue"/>
            <w:tcBorders>
              <w:left w:val="single" w:color="000000" w:sz="4" w:space="0"/>
              <w:right w:val="single" w:color="000000" w:sz="4" w:space="0"/>
            </w:tcBorders>
            <w:noWrap w:val="0"/>
            <w:vAlign w:val="center"/>
          </w:tcPr>
          <w:p>
            <w:pPr>
              <w:spacing w:line="280" w:lineRule="exact"/>
              <w:rPr>
                <w:rFonts w:hAnsi="宋体"/>
                <w:color w:val="000000"/>
                <w:sz w:val="24"/>
                <w:szCs w:val="24"/>
              </w:rPr>
            </w:pPr>
          </w:p>
        </w:tc>
      </w:tr>
      <w:tr>
        <w:tblPrEx>
          <w:tblCellMar>
            <w:top w:w="15" w:type="dxa"/>
            <w:left w:w="15" w:type="dxa"/>
            <w:bottom w:w="15" w:type="dxa"/>
            <w:right w:w="15" w:type="dxa"/>
          </w:tblCellMar>
        </w:tblPrEx>
        <w:trPr>
          <w:trHeight w:val="505"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Ansi="宋体"/>
                <w:color w:val="000000"/>
                <w:sz w:val="24"/>
                <w:szCs w:val="24"/>
              </w:rPr>
            </w:pP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宋体" w:cs="仿宋_GB2312"/>
                <w:color w:val="000000"/>
                <w:sz w:val="24"/>
                <w:szCs w:val="24"/>
              </w:rPr>
            </w:pPr>
            <w:r>
              <w:rPr>
                <w:rFonts w:hint="eastAsia" w:hAnsi="宋体" w:cs="仿宋_GB2312"/>
                <w:color w:val="000000"/>
                <w:sz w:val="24"/>
                <w:szCs w:val="24"/>
              </w:rPr>
              <w:t>文化娱乐</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宋体" w:cs="仿宋_GB2312"/>
                <w:color w:val="000000"/>
                <w:sz w:val="24"/>
                <w:szCs w:val="24"/>
              </w:rPr>
            </w:pPr>
            <w:r>
              <w:rPr>
                <w:rFonts w:hint="eastAsia" w:hAnsi="宋体" w:cs="仿宋_GB2312"/>
                <w:color w:val="000000"/>
                <w:sz w:val="24"/>
                <w:szCs w:val="24"/>
              </w:rPr>
              <w:t>提供读书看报、棋牌娱乐、健康教育、智能技术应用培训。</w:t>
            </w:r>
          </w:p>
        </w:tc>
        <w:tc>
          <w:tcPr>
            <w:tcW w:w="871" w:type="dxa"/>
            <w:vMerge w:val="continue"/>
            <w:tcBorders>
              <w:left w:val="single" w:color="000000" w:sz="4" w:space="0"/>
              <w:right w:val="single" w:color="000000" w:sz="4" w:space="0"/>
            </w:tcBorders>
            <w:noWrap w:val="0"/>
            <w:vAlign w:val="center"/>
          </w:tcPr>
          <w:p>
            <w:pPr>
              <w:spacing w:line="280" w:lineRule="exact"/>
              <w:rPr>
                <w:rFonts w:hAnsi="宋体"/>
                <w:color w:val="000000"/>
                <w:sz w:val="24"/>
                <w:szCs w:val="24"/>
              </w:rPr>
            </w:pPr>
          </w:p>
        </w:tc>
      </w:tr>
      <w:tr>
        <w:tblPrEx>
          <w:tblCellMar>
            <w:top w:w="15" w:type="dxa"/>
            <w:left w:w="15" w:type="dxa"/>
            <w:bottom w:w="15" w:type="dxa"/>
            <w:right w:w="15" w:type="dxa"/>
          </w:tblCellMar>
        </w:tblPrEx>
        <w:trPr>
          <w:trHeight w:val="470"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Ansi="宋体"/>
                <w:color w:val="000000"/>
                <w:sz w:val="24"/>
                <w:szCs w:val="24"/>
              </w:rPr>
            </w:pP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宋体" w:cs="仿宋_GB2312"/>
                <w:color w:val="000000"/>
                <w:sz w:val="24"/>
                <w:szCs w:val="24"/>
              </w:rPr>
            </w:pPr>
            <w:r>
              <w:rPr>
                <w:rFonts w:hint="eastAsia" w:hAnsi="宋体" w:cs="仿宋_GB2312"/>
                <w:color w:val="000000"/>
                <w:sz w:val="24"/>
                <w:szCs w:val="24"/>
              </w:rPr>
              <w:t>助急服务</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宋体" w:cs="仿宋_GB2312"/>
                <w:color w:val="000000"/>
                <w:sz w:val="24"/>
                <w:szCs w:val="24"/>
              </w:rPr>
            </w:pPr>
            <w:r>
              <w:rPr>
                <w:rFonts w:hint="eastAsia" w:hAnsi="宋体" w:cs="仿宋_GB2312"/>
                <w:color w:val="000000"/>
                <w:sz w:val="24"/>
                <w:szCs w:val="24"/>
              </w:rPr>
              <w:t xml:space="preserve">提供应急上网、应急充电、应急电话服务。 </w:t>
            </w:r>
          </w:p>
        </w:tc>
        <w:tc>
          <w:tcPr>
            <w:tcW w:w="871" w:type="dxa"/>
            <w:vMerge w:val="continue"/>
            <w:tcBorders>
              <w:left w:val="single" w:color="000000" w:sz="4" w:space="0"/>
              <w:bottom w:val="single" w:color="000000" w:sz="4" w:space="0"/>
              <w:right w:val="single" w:color="000000" w:sz="4" w:space="0"/>
            </w:tcBorders>
            <w:noWrap w:val="0"/>
            <w:vAlign w:val="center"/>
          </w:tcPr>
          <w:p>
            <w:pPr>
              <w:spacing w:line="280" w:lineRule="exact"/>
              <w:rPr>
                <w:rFonts w:hint="eastAsia" w:hAnsi="仿宋_GB2312" w:cs="仿宋_GB2312"/>
                <w:color w:val="000000"/>
                <w:sz w:val="24"/>
                <w:szCs w:val="24"/>
              </w:rPr>
            </w:pPr>
          </w:p>
        </w:tc>
      </w:tr>
      <w:tr>
        <w:tblPrEx>
          <w:tblCellMar>
            <w:top w:w="15" w:type="dxa"/>
            <w:left w:w="15" w:type="dxa"/>
            <w:bottom w:w="15" w:type="dxa"/>
            <w:right w:w="15" w:type="dxa"/>
          </w:tblCellMar>
        </w:tblPrEx>
        <w:trPr>
          <w:trHeight w:val="355" w:hRule="atLeast"/>
        </w:trPr>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Ansi="宋体"/>
                <w:color w:val="000000"/>
                <w:sz w:val="24"/>
                <w:szCs w:val="24"/>
              </w:rPr>
            </w:pPr>
            <w:r>
              <w:rPr>
                <w:rFonts w:hAnsi="宋体" w:cs="仿宋_GB2312"/>
                <w:color w:val="000000"/>
                <w:sz w:val="24"/>
                <w:szCs w:val="24"/>
              </w:rPr>
              <w:t>普惠</w:t>
            </w:r>
            <w:r>
              <w:rPr>
                <w:rFonts w:hint="eastAsia" w:hAnsi="宋体" w:cs="仿宋_GB2312"/>
                <w:color w:val="000000"/>
                <w:sz w:val="24"/>
                <w:szCs w:val="24"/>
              </w:rPr>
              <w:t>型养老服务清单</w:t>
            </w:r>
          </w:p>
        </w:tc>
        <w:tc>
          <w:tcPr>
            <w:tcW w:w="250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Symbol" w:hAnsi="Symbol" w:cs="Symbol"/>
                <w:b/>
                <w:color w:val="000000"/>
                <w:sz w:val="24"/>
                <w:szCs w:val="24"/>
              </w:rPr>
            </w:pPr>
            <w:r>
              <w:rPr>
                <w:rStyle w:val="4"/>
                <w:rFonts w:hint="default" w:ascii="仿宋_GB2312" w:hAnsi="仿宋_GB2312" w:eastAsia="仿宋_GB2312" w:cs="仿宋_GB2312"/>
                <w:b w:val="0"/>
                <w:sz w:val="24"/>
                <w:szCs w:val="24"/>
              </w:rPr>
              <w:t>城乡特困家庭老年人；低保低收入家庭失能、失智、高龄老年人；计划生育特殊困难家庭老年人；其他家庭失能老年人、失智老年人、重度残疾老年人。</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仿宋_GB2312" w:cs="仿宋_GB2312"/>
                <w:color w:val="000000"/>
                <w:sz w:val="24"/>
                <w:szCs w:val="24"/>
              </w:rPr>
            </w:pPr>
            <w:r>
              <w:rPr>
                <w:rFonts w:hint="eastAsia" w:hAnsi="仿宋_GB2312" w:cs="仿宋_GB2312"/>
                <w:color w:val="000000"/>
                <w:sz w:val="24"/>
                <w:szCs w:val="24"/>
              </w:rPr>
              <w:t>助餐</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提供上门助餐、集中助餐，代为取餐服务。</w:t>
            </w:r>
          </w:p>
        </w:tc>
        <w:tc>
          <w:tcPr>
            <w:tcW w:w="87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老年人支付部分费用，驿站运营商低偿服务</w:t>
            </w:r>
          </w:p>
        </w:tc>
      </w:tr>
      <w:tr>
        <w:tblPrEx>
          <w:tblCellMar>
            <w:top w:w="15" w:type="dxa"/>
            <w:left w:w="15" w:type="dxa"/>
            <w:bottom w:w="15" w:type="dxa"/>
            <w:right w:w="15" w:type="dxa"/>
          </w:tblCellMar>
        </w:tblPrEx>
        <w:trPr>
          <w:trHeight w:val="295"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Symbol" w:hAnsi="Symbol" w:cs="Symbol"/>
                <w:color w:val="000000"/>
                <w:sz w:val="24"/>
                <w:szCs w:val="24"/>
              </w:rPr>
            </w:pP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仿宋_GB2312" w:cs="仿宋_GB2312"/>
                <w:color w:val="000000"/>
                <w:sz w:val="24"/>
                <w:szCs w:val="24"/>
              </w:rPr>
            </w:pPr>
            <w:r>
              <w:rPr>
                <w:rFonts w:hint="eastAsia" w:hAnsi="仿宋_GB2312" w:cs="仿宋_GB2312"/>
                <w:color w:val="000000"/>
                <w:sz w:val="24"/>
                <w:szCs w:val="24"/>
              </w:rPr>
              <w:t>助浴</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提供助浴、擦浴服务。</w:t>
            </w:r>
          </w:p>
        </w:tc>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hAnsi="仿宋_GB2312" w:cs="仿宋_GB2312"/>
                <w:color w:val="000000"/>
                <w:sz w:val="24"/>
                <w:szCs w:val="24"/>
              </w:rPr>
            </w:pPr>
          </w:p>
        </w:tc>
      </w:tr>
      <w:tr>
        <w:tblPrEx>
          <w:tblCellMar>
            <w:top w:w="15" w:type="dxa"/>
            <w:left w:w="15" w:type="dxa"/>
            <w:bottom w:w="15" w:type="dxa"/>
            <w:right w:w="15" w:type="dxa"/>
          </w:tblCellMar>
        </w:tblPrEx>
        <w:trPr>
          <w:trHeight w:val="655"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continue"/>
            <w:tcBorders>
              <w:top w:val="single" w:color="000000" w:sz="4" w:space="0"/>
              <w:left w:val="single" w:color="000000" w:sz="4" w:space="0"/>
              <w:right w:val="single" w:color="000000" w:sz="4" w:space="0"/>
            </w:tcBorders>
            <w:noWrap w:val="0"/>
            <w:vAlign w:val="center"/>
          </w:tcPr>
          <w:p>
            <w:pPr>
              <w:spacing w:line="280" w:lineRule="exact"/>
              <w:textAlignment w:val="center"/>
              <w:rPr>
                <w:rFonts w:ascii="Symbol" w:hAnsi="Symbol" w:cs="Symbol"/>
                <w:color w:val="000000"/>
                <w:sz w:val="24"/>
                <w:szCs w:val="24"/>
              </w:rPr>
            </w:pP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仿宋_GB2312" w:cs="仿宋_GB2312"/>
                <w:color w:val="000000"/>
                <w:sz w:val="24"/>
                <w:szCs w:val="24"/>
              </w:rPr>
            </w:pPr>
            <w:bookmarkStart w:id="0" w:name="_GoBack"/>
            <w:bookmarkEnd w:id="0"/>
            <w:r>
              <w:rPr>
                <w:rFonts w:hint="eastAsia" w:hAnsi="仿宋_GB2312" w:cs="仿宋_GB2312"/>
                <w:color w:val="000000"/>
                <w:sz w:val="24"/>
                <w:szCs w:val="24"/>
              </w:rPr>
              <w:t>助洁</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提供室内清洁、晨间护理、晚间护理、协助如厕、清洁排泄物、洗衣、理发、剪甲、扦脚服务。</w:t>
            </w:r>
          </w:p>
        </w:tc>
        <w:tc>
          <w:tcPr>
            <w:tcW w:w="871" w:type="dxa"/>
            <w:vMerge w:val="continue"/>
            <w:tcBorders>
              <w:top w:val="single" w:color="000000" w:sz="4" w:space="0"/>
              <w:left w:val="single" w:color="000000" w:sz="4" w:space="0"/>
              <w:right w:val="single" w:color="000000" w:sz="4" w:space="0"/>
            </w:tcBorders>
            <w:noWrap w:val="0"/>
            <w:vAlign w:val="center"/>
          </w:tcPr>
          <w:p>
            <w:pPr>
              <w:spacing w:line="280" w:lineRule="exact"/>
              <w:rPr>
                <w:rFonts w:hint="eastAsia" w:hAnsi="仿宋_GB2312" w:cs="仿宋_GB2312"/>
                <w:color w:val="000000"/>
                <w:sz w:val="24"/>
                <w:szCs w:val="24"/>
              </w:rPr>
            </w:pPr>
          </w:p>
        </w:tc>
      </w:tr>
      <w:tr>
        <w:tblPrEx>
          <w:tblCellMar>
            <w:top w:w="15" w:type="dxa"/>
            <w:left w:w="15" w:type="dxa"/>
            <w:bottom w:w="15" w:type="dxa"/>
            <w:right w:w="15" w:type="dxa"/>
          </w:tblCellMar>
        </w:tblPrEx>
        <w:trPr>
          <w:trHeight w:val="305"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Ansi="宋体"/>
                <w:color w:val="000000"/>
                <w:sz w:val="24"/>
                <w:szCs w:val="24"/>
              </w:rPr>
            </w:pPr>
          </w:p>
        </w:tc>
        <w:tc>
          <w:tcPr>
            <w:tcW w:w="25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Symbol" w:hAnsi="Symbol" w:cs="Symbol"/>
                <w:color w:val="000000"/>
                <w:sz w:val="24"/>
                <w:szCs w:val="24"/>
              </w:rPr>
            </w:pP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hAnsi="仿宋_GB2312" w:cs="仿宋_GB2312"/>
                <w:color w:val="000000"/>
                <w:sz w:val="24"/>
                <w:szCs w:val="24"/>
              </w:rPr>
            </w:pPr>
            <w:r>
              <w:rPr>
                <w:rFonts w:hint="eastAsia" w:hAnsi="仿宋_GB2312" w:cs="仿宋_GB2312"/>
                <w:color w:val="000000"/>
                <w:sz w:val="24"/>
                <w:szCs w:val="24"/>
              </w:rPr>
              <w:t>助医</w:t>
            </w:r>
          </w:p>
        </w:tc>
        <w:tc>
          <w:tcPr>
            <w:tcW w:w="431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提供就医陪诊、健康教育、养老辅具租赁、血压、心率、体温辅助监测。</w:t>
            </w:r>
          </w:p>
        </w:tc>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hAnsi="仿宋_GB2312" w:cs="仿宋_GB2312"/>
                <w:color w:val="000000"/>
                <w:sz w:val="24"/>
                <w:szCs w:val="24"/>
              </w:rPr>
            </w:pPr>
          </w:p>
        </w:tc>
      </w:tr>
      <w:tr>
        <w:tblPrEx>
          <w:tblCellMar>
            <w:top w:w="15" w:type="dxa"/>
            <w:left w:w="15" w:type="dxa"/>
            <w:bottom w:w="15" w:type="dxa"/>
            <w:right w:w="15" w:type="dxa"/>
          </w:tblCellMar>
        </w:tblPrEx>
        <w:trPr>
          <w:trHeight w:val="111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Ansi="宋体"/>
                <w:color w:val="000000"/>
                <w:sz w:val="24"/>
                <w:szCs w:val="24"/>
              </w:rPr>
            </w:pPr>
            <w:r>
              <w:rPr>
                <w:rFonts w:hint="eastAsia" w:hAnsi="宋体" w:cs="仿宋_GB2312"/>
                <w:color w:val="000000"/>
                <w:sz w:val="24"/>
                <w:szCs w:val="24"/>
              </w:rPr>
              <w:t>市场服务清单</w:t>
            </w:r>
          </w:p>
        </w:tc>
        <w:tc>
          <w:tcPr>
            <w:tcW w:w="250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Ansi="宋体"/>
                <w:color w:val="000000"/>
                <w:sz w:val="24"/>
                <w:szCs w:val="24"/>
              </w:rPr>
            </w:pPr>
            <w:r>
              <w:rPr>
                <w:rFonts w:hint="eastAsia" w:hAnsi="宋体" w:cs="仿宋_GB2312"/>
                <w:color w:val="000000"/>
                <w:sz w:val="24"/>
                <w:szCs w:val="24"/>
              </w:rPr>
              <w:t>所有</w:t>
            </w:r>
            <w:r>
              <w:rPr>
                <w:rFonts w:hAnsi="宋体" w:cs="仿宋_GB2312"/>
                <w:color w:val="000000"/>
                <w:sz w:val="24"/>
                <w:szCs w:val="24"/>
              </w:rPr>
              <w:t>60</w:t>
            </w:r>
            <w:r>
              <w:rPr>
                <w:rFonts w:hint="eastAsia" w:hAnsi="宋体" w:cs="仿宋_GB2312"/>
                <w:color w:val="000000"/>
                <w:sz w:val="24"/>
                <w:szCs w:val="24"/>
              </w:rPr>
              <w:t>周岁以上的老年人。</w:t>
            </w:r>
          </w:p>
        </w:tc>
        <w:tc>
          <w:tcPr>
            <w:tcW w:w="541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驿站在不违反《北京市社区养老服务驿站管理办法（试行）》中明确规定的“十个严禁”服务行为的前提下，可明码标价为老年人提供市场化的养老服务。</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hint="eastAsia" w:hAnsi="仿宋_GB2312" w:cs="仿宋_GB2312"/>
                <w:color w:val="000000"/>
                <w:sz w:val="24"/>
                <w:szCs w:val="24"/>
              </w:rPr>
            </w:pPr>
            <w:r>
              <w:rPr>
                <w:rFonts w:hint="eastAsia" w:hAnsi="仿宋_GB2312" w:cs="仿宋_GB2312"/>
                <w:color w:val="000000"/>
                <w:sz w:val="24"/>
                <w:szCs w:val="24"/>
              </w:rPr>
              <w:t>报区民政局备案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CC3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2023-01-13T09:29:01Z</dcterms:created>
  <dc:creator>Administrator</dc:creator>
  <cp:lastModifiedBy>If火焰</cp:lastModifiedBy>
  <dcterms:modified xsi:type="dcterms:W3CDTF">2023-01-13T09:29:34Z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