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丰台区生态环境局2019年</w:t>
      </w:r>
      <w:r>
        <w:rPr>
          <w:rFonts w:ascii="方正小标宋简体" w:hAnsi="微软雅黑" w:eastAsia="方正小标宋简体"/>
          <w:color w:val="333333"/>
          <w:sz w:val="44"/>
          <w:szCs w:val="44"/>
        </w:rPr>
        <w:t>10</w:t>
      </w:r>
      <w:r>
        <w:rPr>
          <w:rFonts w:hint="eastAsia" w:ascii="方正小标宋简体" w:hAnsi="微软雅黑" w:eastAsia="方正小标宋简体"/>
          <w:color w:val="333333"/>
          <w:sz w:val="44"/>
          <w:szCs w:val="44"/>
        </w:rPr>
        <w:t>月固定污染源和建设项目随机抽查工作开展情况</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根据国家和本市相关要求，丰台区生态环境局在污染源日常监管领域建立了随机抽查制度。现将有关情况公开如下：</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一、随机抽查事项清单</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1.抽查事项。固定污染源和建设项目单位环保法律法规执行情况。</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2.抽查依据。《中华人民共和国环境保护法》、《建设项目环境保护管理条例》、《建设项目竣工环境保护验收管理办法》等有关环保法律法规。</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3.抽查对象。固定污染源和建设项目。</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4.抽查基数。重点污染源抽查基数为本辖区重点排污单位数量；一般污染源抽查基数为本辖区未列入重点污染源的其他排污单位数量；特殊监管对象抽查基数为上一年度被丰台区环境保护局作出行政处罚、行政强制、行政命令等处理处罚的排污单位数量。建设项目抽查基数为在本辖区内已取得市生态环境局或区生态环境局环境影响评价审批手续且未办理建设项目竣工环保验收手续的所有建设项目（涉密项目除外）。</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5.抽查比例。重点污染源和重点建设项目每月抽查总数的9%；一般污染源和一般建设项目按照每月1：3的比例（环境监察执法人员数量：被抽查单位数量）确定；特殊污染源每月抽查总数的5%。　</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6.抽查周期。按月抽查。</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7.抽查方式。按主体、对象随机。</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8.抽查主体。丰台区生态环境局环境监察支队。</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二、不适合随机抽查事项清单</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无不适合随机抽查事项清单。</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三、随机抽查事项检查内容</w:t>
      </w:r>
    </w:p>
    <w:tbl>
      <w:tblPr>
        <w:tblStyle w:val="3"/>
        <w:tblW w:w="73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1"/>
        <w:gridCol w:w="48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检查内容</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排污单位环境影响评价审批、验收、排污许可证等环境管理制度落实情况抽查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《中华人民共和国环境保护法》、《建设项目环境保护管理条例》、《建设项目竣工环境保护验收管理办法》等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排污单位环保治理设施建设及运行情况抽查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w:t>
            </w:r>
            <w:bookmarkStart w:id="0" w:name="_GoBack"/>
            <w:bookmarkEnd w:id="0"/>
            <w:r>
              <w:rPr>
                <w:rFonts w:hint="eastAsia" w:ascii="仿宋_GB2312" w:hAnsi="微软雅黑" w:eastAsia="仿宋_GB2312" w:cs="宋体"/>
                <w:color w:val="333333"/>
                <w:kern w:val="0"/>
                <w:sz w:val="32"/>
                <w:szCs w:val="32"/>
                <w:lang w:eastAsia="zh-CN"/>
              </w:rPr>
              <w:t>《中华人民共和国环境噪声污染防治法》</w:t>
            </w:r>
            <w:r>
              <w:rPr>
                <w:rFonts w:hint="eastAsia" w:ascii="仿宋_GB2312" w:hAnsi="微软雅黑" w:eastAsia="仿宋_GB2312" w:cs="宋体"/>
                <w:color w:val="333333"/>
                <w:kern w:val="0"/>
                <w:sz w:val="32"/>
                <w:szCs w:val="32"/>
              </w:rPr>
              <w:t>、《中华人民共和国固体废物污染环境防治法》、《中华人民共和国放射性污染防治法》、《污染源自动监控管理办法》等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排污单位污染物排放情况抽查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w:t>
            </w:r>
            <w:r>
              <w:rPr>
                <w:rFonts w:hint="eastAsia" w:ascii="仿宋_GB2312" w:hAnsi="微软雅黑" w:eastAsia="仿宋_GB2312" w:cs="宋体"/>
                <w:color w:val="333333"/>
                <w:kern w:val="0"/>
                <w:sz w:val="32"/>
                <w:szCs w:val="32"/>
                <w:lang w:eastAsia="zh-CN"/>
              </w:rPr>
              <w:t>《中华人民共和国环境噪声污染防治法》</w:t>
            </w:r>
            <w:r>
              <w:rPr>
                <w:rFonts w:hint="eastAsia" w:ascii="仿宋_GB2312" w:hAnsi="微软雅黑" w:eastAsia="仿宋_GB2312" w:cs="宋体"/>
                <w:color w:val="333333"/>
                <w:kern w:val="0"/>
                <w:sz w:val="32"/>
                <w:szCs w:val="32"/>
              </w:rPr>
              <w:t>、《中华人民共和国固体废物污染环境防治法》、《中华人民共和国放射性污染防治法》、《污染源自动监控管理办法》等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排污单位排污申报及缴纳情况抽查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《中华人民共和国环境保护法》、《排污费征收使用管理条例》等</w:t>
            </w:r>
          </w:p>
        </w:tc>
      </w:tr>
    </w:tbl>
    <w:p>
      <w:pPr>
        <w:widowControl/>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2019年</w:t>
      </w:r>
      <w:r>
        <w:rPr>
          <w:rFonts w:ascii="仿宋_GB2312" w:hAnsi="微软雅黑" w:eastAsia="仿宋_GB2312" w:cs="宋体"/>
          <w:color w:val="333333"/>
          <w:kern w:val="0"/>
          <w:sz w:val="32"/>
          <w:szCs w:val="32"/>
        </w:rPr>
        <w:t>10</w:t>
      </w:r>
      <w:r>
        <w:rPr>
          <w:rFonts w:hint="eastAsia" w:ascii="仿宋_GB2312" w:hAnsi="微软雅黑" w:eastAsia="仿宋_GB2312" w:cs="宋体"/>
          <w:color w:val="333333"/>
          <w:kern w:val="0"/>
          <w:sz w:val="32"/>
          <w:szCs w:val="32"/>
        </w:rPr>
        <w:t>月，</w:t>
      </w:r>
      <w:r>
        <w:rPr>
          <w:rFonts w:hint="eastAsia" w:ascii="仿宋_GB2312" w:eastAsia="仿宋_GB2312"/>
          <w:sz w:val="32"/>
          <w:szCs w:val="32"/>
        </w:rPr>
        <w:t>丰台区生态环境局</w:t>
      </w:r>
      <w:r>
        <w:rPr>
          <w:rFonts w:hint="eastAsia" w:ascii="仿宋_GB2312" w:hAnsi="微软雅黑" w:eastAsia="仿宋_GB2312" w:cs="宋体"/>
          <w:color w:val="333333"/>
          <w:kern w:val="0"/>
          <w:sz w:val="32"/>
          <w:szCs w:val="32"/>
        </w:rPr>
        <w:t>共</w:t>
      </w:r>
      <w:r>
        <w:rPr>
          <w:rFonts w:ascii="仿宋_GB2312" w:hAnsi="微软雅黑" w:eastAsia="仿宋_GB2312" w:cs="宋体"/>
          <w:color w:val="333333"/>
          <w:kern w:val="0"/>
          <w:sz w:val="32"/>
          <w:szCs w:val="32"/>
        </w:rPr>
        <w:t>37</w:t>
      </w:r>
      <w:r>
        <w:rPr>
          <w:rFonts w:hint="eastAsia" w:ascii="仿宋_GB2312" w:hAnsi="微软雅黑" w:eastAsia="仿宋_GB2312" w:cs="宋体"/>
          <w:color w:val="333333"/>
          <w:kern w:val="0"/>
          <w:sz w:val="32"/>
          <w:szCs w:val="32"/>
        </w:rPr>
        <w:t>人参加双随机抽查工作，开展随机抽查</w:t>
      </w:r>
      <w:r>
        <w:rPr>
          <w:rFonts w:ascii="仿宋_GB2312" w:hAnsi="微软雅黑" w:eastAsia="仿宋_GB2312" w:cs="宋体"/>
          <w:color w:val="333333"/>
          <w:kern w:val="0"/>
          <w:sz w:val="32"/>
          <w:szCs w:val="32"/>
        </w:rPr>
        <w:t>100</w:t>
      </w:r>
      <w:r>
        <w:rPr>
          <w:rFonts w:hint="eastAsia" w:ascii="仿宋_GB2312" w:hAnsi="微软雅黑" w:eastAsia="仿宋_GB2312" w:cs="宋体"/>
          <w:color w:val="333333"/>
          <w:kern w:val="0"/>
          <w:sz w:val="32"/>
          <w:szCs w:val="32"/>
        </w:rPr>
        <w:t>家，被抽查单位具体情况见下表：</w:t>
      </w:r>
    </w:p>
    <w:p>
      <w:pPr>
        <w:widowControl/>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2019年</w:t>
      </w:r>
      <w:r>
        <w:rPr>
          <w:rFonts w:ascii="仿宋_GB2312" w:hAnsi="微软雅黑" w:eastAsia="仿宋_GB2312" w:cs="宋体"/>
          <w:color w:val="333333"/>
          <w:kern w:val="0"/>
          <w:sz w:val="32"/>
          <w:szCs w:val="32"/>
        </w:rPr>
        <w:t>10</w:t>
      </w:r>
      <w:r>
        <w:rPr>
          <w:rFonts w:hint="eastAsia" w:ascii="仿宋_GB2312" w:hAnsi="微软雅黑" w:eastAsia="仿宋_GB2312" w:cs="宋体"/>
          <w:color w:val="333333"/>
          <w:kern w:val="0"/>
          <w:sz w:val="32"/>
          <w:szCs w:val="32"/>
        </w:rPr>
        <w:t>月</w:t>
      </w:r>
      <w:r>
        <w:rPr>
          <w:rFonts w:hint="eastAsia" w:ascii="仿宋_GB2312" w:eastAsia="仿宋_GB2312"/>
          <w:sz w:val="32"/>
          <w:szCs w:val="32"/>
        </w:rPr>
        <w:t>丰台区生态环境局</w:t>
      </w:r>
      <w:r>
        <w:rPr>
          <w:rFonts w:hint="eastAsia" w:ascii="仿宋_GB2312" w:hAnsi="微软雅黑" w:eastAsia="仿宋_GB2312" w:cs="宋体"/>
          <w:color w:val="333333"/>
          <w:kern w:val="0"/>
          <w:sz w:val="32"/>
          <w:szCs w:val="32"/>
        </w:rPr>
        <w:t>随机抽查信息统计表</w:t>
      </w:r>
    </w:p>
    <w:tbl>
      <w:tblPr>
        <w:tblStyle w:val="3"/>
        <w:tblpPr w:leftFromText="180" w:rightFromText="180" w:vertAnchor="text" w:horzAnchor="page" w:tblpX="1944" w:tblpY="158"/>
        <w:tblOverlap w:val="never"/>
        <w:tblW w:w="7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79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color w:val="000000"/>
                <w:sz w:val="32"/>
                <w:szCs w:val="32"/>
              </w:rPr>
            </w:pPr>
            <w:r>
              <w:rPr>
                <w:rFonts w:eastAsia="仿宋_GB2312"/>
                <w:color w:val="000000"/>
                <w:sz w:val="32"/>
                <w:szCs w:val="32"/>
              </w:rPr>
              <w:t>序号</w:t>
            </w:r>
          </w:p>
        </w:tc>
        <w:tc>
          <w:tcPr>
            <w:tcW w:w="5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color w:val="000000"/>
                <w:sz w:val="32"/>
                <w:szCs w:val="32"/>
              </w:rPr>
            </w:pPr>
            <w:r>
              <w:rPr>
                <w:rFonts w:eastAsia="仿宋_GB2312"/>
                <w:color w:val="000000"/>
                <w:kern w:val="0"/>
                <w:sz w:val="32"/>
                <w:szCs w:val="32"/>
              </w:rPr>
              <w:t>单位名称</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color w:val="000000"/>
                <w:sz w:val="32"/>
                <w:szCs w:val="32"/>
              </w:rPr>
            </w:pPr>
            <w:r>
              <w:rPr>
                <w:rFonts w:eastAsia="仿宋_GB2312"/>
                <w:color w:val="000000"/>
                <w:sz w:val="32"/>
                <w:szCs w:val="32"/>
              </w:rPr>
              <w:t>所在区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长辛店旧村改造项目（一期）</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北京市丰台区丰台街道东大街社区卫生服务站建设项目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丰台区角门路18号混合公建项目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北京马哈山餐饮管理有限公司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北京军枫食品销售中心</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北京教育学院丰台附属实验学校（高中部）建设工程项目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冶金自动化研究设计院</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北京城乡中昊建设有限责任公司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北京市丰台区水务局</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丰台区长辛店镇张家坟村棚户区改造安置房项目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北京市时代美业科技有限责任公司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呷哺呷哺餐饮管理有限公司北京第二百三十二分店</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北京丰科博远科技有限公司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北京市丰台区卢沟桥乡城乡一体化周庄子村旧村改造（一期）ZZZ-L05等地块R2二类居住用地、F81绿隔产业用地、A2文化设施用地、A33基础教育用地项目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北京市丰台区小井康体健身中心项目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北京新发地批发市场升级改造项目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北京华国汇混凝土有限公司（餐饮）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卢沟桥－吴家村污水系统应急调水工程（取水－岳各庄污水提升泵站）</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北京中油公交石油销售有限公司纪家庙加油站改造工程</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丰台区梅市口路二期（长兴路～长青路）道路工程</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北京克拉玛依雪莲宾馆</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北京首华物业管理有限公司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北京公共交通控股（集团）有限公司方庄加油站改造工程</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丰台区羊坊村回迁房及配套公建工程</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北京永华燕芸生物科技有限公司实验室项目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北京优车堂汽车销售有限公司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路桥大厦项目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北京金自天成液压技术有限责任公司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北京英普特汽车服务有限公司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北京市丰台区城乡一体化卢沟桥乡西局村旧村改造项目二期XJ-03-1、XJ-08地块二类居住、商业金融用地项目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丰台区聚焦攻坚水环境治理新建卢沟桥村等13条污水管道工程、新宫南二街雨水管道工程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北京必胜客比萨饼有限公司大成路餐厅</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北京市水务局“丽泽”业务综合楼</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农校锅炉房油改气项目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丰台区分钟寺新村土地一级开发</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北京靛厂圣泉水厂</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北京市郑王坟再生水厂工程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北京京渝谐和餐饮服务有限公司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北京石榴园东北三宝居餐厅</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长城金融工程项目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北京邦泰宾馆</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北京子健泓佳商贸有限公司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北京草桥燃气联合循环热电厂二期工程烟囱高度变更项目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李窑扩2#变及第三电源工程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航天万源实业有限公司北京五泉纯净水厂</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北京市热力集团有限责任公司“清煤降氮”改造工程（丰台区）</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北京吴裕隆酒店有限公司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南中轴路公建带三号地块土地一级开发</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北京世百达工贸有限公司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中国铁物大厦</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北京鑫双正汽车维修服务中心</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丰台区河西部分农村污水管线建设工程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北京市祥润通投资管理公司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中铁十四局集团隧道工程有限公司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北京智鸿雅合贸易发展有限公司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丰台区西局综合楼</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六里桥大厦</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丰台区聚焦攻坚水环境治理沙子口合流干线改造工程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北京市丰台区南马连道路（万丰路～西三环路）市政配套工程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北京城建混凝土有限公司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北京彰德酒店有限公司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北京中兆富汽车销售有限公司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北京京桥热电有限责任公司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北京万家聚品餐饮服务中心</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北京必胜客披萨饼有限公司青塔餐厅</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北京丽泽金融商务区北区道路莲花河路项目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北京宝发成成都小吃店</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北京宇洋餐饮管理有限公司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北京中联康丰物业管理服务有限公司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70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北京玉美家园建材市场有限公司</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71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北京口腔医院迁建工程</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72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丰台区纪家庙三定三限安置房项目</w:t>
            </w:r>
          </w:p>
        </w:tc>
        <w:tc>
          <w:tcPr>
            <w:tcW w:w="1213" w:type="dxa"/>
            <w:vAlign w:val="center"/>
          </w:tcPr>
          <w:p>
            <w:pPr>
              <w:widowControl/>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北京熊乐金曦天秤座娱乐有限公司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大瓦窑物资储运中心建设项目</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丰台河西再生水厂二期工程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北京市丰台区凉水河流域（小龙河）河道截污管线工程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中铁建工集团有限公司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鲁家山供水保障工程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北京上汽首创上海大众汽车维修有限公司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北京芳飞汽车服务有限公司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丰台区花乡榆树庄村回迁房及配套工程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北京北方车辆集团有限公司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北京市丰台区小屯西路棚户区改造项目</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北京京连众益建筑材料有限公司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首都医科大学附属北京佑安医院（北京市性病艾滋病临床诊疗中心）</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北京百味卤餐饮管理有限公司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岳各庄居住东区1号地1#、2#、8#楼项目</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大众汽车服务中心（北京）有限公司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丰台区科技园区东区三期1516-51号地块商业金融用地项目</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北京益丰天顺汽配经营部</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北京彩虹人家餐饮有限公司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北京长久世捷汽车销售有限公司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丰台区范家庄路（区界~马家堡西路）道路工程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东铁营三定三限定向安置房项目</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北京海兰众悦餐饮管理有限公司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道丰科技商务园总部综合楼</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北京客运专线基础设施维修基地二期工程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北京北方松阳机械技术有限公司</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北京瑞泽鸿汽车维修中心丰台分部</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100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lang w:val="en-US" w:eastAsia="zh-CN"/>
              </w:rPr>
              <w:t>京开高速公路辅路高压天然气管线工程</w:t>
            </w:r>
          </w:p>
        </w:tc>
        <w:tc>
          <w:tcPr>
            <w:tcW w:w="1213" w:type="dxa"/>
            <w:vAlign w:val="center"/>
          </w:tcPr>
          <w:p>
            <w:pPr>
              <w:widowControl/>
              <w:jc w:val="center"/>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丰台区</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wZTdkN2E0ZmJhNzVlOTRkMTg1ZTA5NTUzYWQyNTQifQ=="/>
  </w:docVars>
  <w:rsids>
    <w:rsidRoot w:val="00A40673"/>
    <w:rsid w:val="002B2832"/>
    <w:rsid w:val="00447714"/>
    <w:rsid w:val="00A40673"/>
    <w:rsid w:val="00DF7F14"/>
    <w:rsid w:val="00E5490C"/>
    <w:rsid w:val="01CE193F"/>
    <w:rsid w:val="04844B9C"/>
    <w:rsid w:val="05115A1C"/>
    <w:rsid w:val="0918633D"/>
    <w:rsid w:val="0A841AFB"/>
    <w:rsid w:val="0D4F2B86"/>
    <w:rsid w:val="0FE43B51"/>
    <w:rsid w:val="12273FA8"/>
    <w:rsid w:val="15721847"/>
    <w:rsid w:val="15BD5BC2"/>
    <w:rsid w:val="18E95407"/>
    <w:rsid w:val="1EE95A3E"/>
    <w:rsid w:val="274B2482"/>
    <w:rsid w:val="2A3B7854"/>
    <w:rsid w:val="2C0B529F"/>
    <w:rsid w:val="2C810A90"/>
    <w:rsid w:val="2EE45AC6"/>
    <w:rsid w:val="2F58131A"/>
    <w:rsid w:val="323A626F"/>
    <w:rsid w:val="331905FE"/>
    <w:rsid w:val="338E40FB"/>
    <w:rsid w:val="34214641"/>
    <w:rsid w:val="384B1ABF"/>
    <w:rsid w:val="393B3546"/>
    <w:rsid w:val="4C9C1DD0"/>
    <w:rsid w:val="506F0B2D"/>
    <w:rsid w:val="54F614E6"/>
    <w:rsid w:val="5A427F72"/>
    <w:rsid w:val="5B2231D8"/>
    <w:rsid w:val="5CA30728"/>
    <w:rsid w:val="61C06C94"/>
    <w:rsid w:val="695D2AC1"/>
    <w:rsid w:val="696F7B40"/>
    <w:rsid w:val="72FA4E1E"/>
    <w:rsid w:val="7A1F3E19"/>
    <w:rsid w:val="7ADC711D"/>
    <w:rsid w:val="7E3B662B"/>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character" w:customStyle="1" w:styleId="5">
    <w:name w:val="font11"/>
    <w:basedOn w:val="4"/>
    <w:qFormat/>
    <w:uiPriority w:val="0"/>
    <w:rPr>
      <w:rFonts w:hint="eastAsia" w:ascii="宋体" w:hAnsi="宋体" w:eastAsia="宋体" w:cs="宋体"/>
      <w:color w:val="FF0000"/>
      <w:sz w:val="24"/>
      <w:szCs w:val="24"/>
      <w:u w:val="none"/>
    </w:rPr>
  </w:style>
  <w:style w:type="character" w:customStyle="1" w:styleId="6">
    <w:name w:val="font01"/>
    <w:basedOn w:val="4"/>
    <w:qFormat/>
    <w:uiPriority w:val="0"/>
    <w:rPr>
      <w:rFonts w:hint="default" w:ascii="Dialog" w:hAnsi="Dialog" w:eastAsia="Dialog" w:cs="Dialog"/>
      <w:color w:val="FF0000"/>
      <w:sz w:val="24"/>
      <w:szCs w:val="24"/>
      <w:u w:val="none"/>
    </w:rPr>
  </w:style>
  <w:style w:type="character" w:customStyle="1" w:styleId="7">
    <w:name w:val="font21"/>
    <w:basedOn w:val="4"/>
    <w:qFormat/>
    <w:uiPriority w:val="0"/>
    <w:rPr>
      <w:rFonts w:hint="default" w:ascii="Dialog" w:hAnsi="Dialog" w:eastAsia="Dialog" w:cs="Dialog"/>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3039</Words>
  <Characters>3190</Characters>
  <Lines>12</Lines>
  <Paragraphs>3</Paragraphs>
  <TotalTime>0</TotalTime>
  <ScaleCrop>false</ScaleCrop>
  <LinksUpToDate>false</LinksUpToDate>
  <CharactersWithSpaces>3195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lancer</cp:lastModifiedBy>
  <cp:lastPrinted>2019-04-09T02:50:00Z</cp:lastPrinted>
  <dcterms:modified xsi:type="dcterms:W3CDTF">2023-05-05T07:45:11Z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F10A6D21A2B7434DA2455AF41068DDB8_12</vt:lpwstr>
  </property>
</Properties>
</file>