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微软雅黑" w:eastAsia="方正小标宋简体"/>
          <w:color w:val="333333"/>
          <w:sz w:val="44"/>
          <w:szCs w:val="44"/>
        </w:rPr>
      </w:pPr>
      <w:r>
        <w:rPr>
          <w:rFonts w:hint="eastAsia" w:ascii="方正小标宋简体" w:hAnsi="微软雅黑" w:eastAsia="方正小标宋简体"/>
          <w:color w:val="333333"/>
          <w:sz w:val="44"/>
          <w:szCs w:val="44"/>
        </w:rPr>
        <w:t>丰台区</w:t>
      </w:r>
      <w:r>
        <w:rPr>
          <w:rFonts w:hint="eastAsia" w:ascii="方正小标宋简体" w:hAnsi="微软雅黑" w:eastAsia="方正小标宋简体"/>
          <w:color w:val="333333"/>
          <w:sz w:val="44"/>
          <w:szCs w:val="44"/>
          <w:lang w:eastAsia="zh-CN"/>
        </w:rPr>
        <w:t>生态环境</w:t>
      </w:r>
      <w:r>
        <w:rPr>
          <w:rFonts w:hint="eastAsia" w:ascii="方正小标宋简体" w:hAnsi="微软雅黑" w:eastAsia="方正小标宋简体"/>
          <w:color w:val="333333"/>
          <w:sz w:val="44"/>
          <w:szCs w:val="44"/>
        </w:rPr>
        <w:t>局20</w:t>
      </w:r>
      <w:r>
        <w:rPr>
          <w:rFonts w:hint="eastAsia" w:ascii="方正小标宋简体" w:hAnsi="微软雅黑" w:eastAsia="方正小标宋简体"/>
          <w:color w:val="333333"/>
          <w:sz w:val="44"/>
          <w:szCs w:val="44"/>
          <w:lang w:val="en-US" w:eastAsia="zh-CN"/>
        </w:rPr>
        <w:t>20</w:t>
      </w:r>
      <w:r>
        <w:rPr>
          <w:rFonts w:hint="eastAsia" w:ascii="方正小标宋简体" w:hAnsi="微软雅黑" w:eastAsia="方正小标宋简体"/>
          <w:color w:val="333333"/>
          <w:sz w:val="44"/>
          <w:szCs w:val="44"/>
        </w:rPr>
        <w:t>年</w:t>
      </w:r>
      <w:r>
        <w:rPr>
          <w:rFonts w:hint="eastAsia" w:ascii="方正小标宋简体" w:hAnsi="微软雅黑" w:eastAsia="方正小标宋简体"/>
          <w:color w:val="333333"/>
          <w:sz w:val="44"/>
          <w:szCs w:val="44"/>
          <w:lang w:val="en-US" w:eastAsia="zh-CN"/>
        </w:rPr>
        <w:t>12</w:t>
      </w:r>
      <w:r>
        <w:rPr>
          <w:rFonts w:hint="eastAsia" w:ascii="方正小标宋简体" w:hAnsi="微软雅黑" w:eastAsia="方正小标宋简体"/>
          <w:color w:val="333333"/>
          <w:sz w:val="44"/>
          <w:szCs w:val="44"/>
        </w:rPr>
        <w:t>月污染源随机抽查工作开展情况</w:t>
      </w:r>
    </w:p>
    <w:p>
      <w:pPr>
        <w:pStyle w:val="2"/>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根据国家和本市相关要求，</w:t>
      </w:r>
      <w:r>
        <w:rPr>
          <w:rFonts w:hint="eastAsia" w:ascii="仿宋_GB2312" w:eastAsia="仿宋_GB2312"/>
          <w:sz w:val="32"/>
          <w:szCs w:val="32"/>
          <w:lang w:eastAsia="zh-CN"/>
        </w:rPr>
        <w:t>丰台区生态环境</w:t>
      </w:r>
      <w:r>
        <w:rPr>
          <w:rFonts w:hint="eastAsia" w:ascii="仿宋_GB2312" w:eastAsia="仿宋_GB2312"/>
          <w:sz w:val="32"/>
          <w:szCs w:val="32"/>
        </w:rPr>
        <w:t>局在污染源日常监管领域建立了随机抽查制度。现将</w:t>
      </w:r>
      <w:r>
        <w:rPr>
          <w:rFonts w:hint="eastAsia" w:ascii="仿宋_GB2312" w:eastAsia="仿宋_GB2312"/>
          <w:sz w:val="32"/>
          <w:szCs w:val="32"/>
          <w:lang w:eastAsia="zh-CN"/>
        </w:rPr>
        <w:t>我区</w:t>
      </w:r>
      <w:r>
        <w:rPr>
          <w:rFonts w:hint="eastAsia" w:ascii="仿宋_GB2312" w:eastAsia="仿宋_GB2312"/>
          <w:sz w:val="32"/>
          <w:szCs w:val="32"/>
        </w:rPr>
        <w:t>有关情况公开如下：</w:t>
      </w:r>
    </w:p>
    <w:p>
      <w:pPr>
        <w:pStyle w:val="2"/>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一、随机抽查事项清单</w:t>
      </w:r>
    </w:p>
    <w:tbl>
      <w:tblPr>
        <w:tblStyle w:val="4"/>
        <w:tblW w:w="9610" w:type="dxa"/>
        <w:tblInd w:w="-3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0"/>
        <w:gridCol w:w="1000"/>
        <w:gridCol w:w="1020"/>
        <w:gridCol w:w="1020"/>
        <w:gridCol w:w="1060"/>
        <w:gridCol w:w="1090"/>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gridSpan w:val="2"/>
            <w:vAlign w:val="center"/>
          </w:tcPr>
          <w:p>
            <w:pPr>
              <w:pStyle w:val="2"/>
              <w:spacing w:line="560" w:lineRule="exact"/>
              <w:jc w:val="center"/>
              <w:rPr>
                <w:rFonts w:hint="eastAsia" w:ascii="仿宋_GB2312" w:eastAsia="仿宋_GB2312"/>
                <w:b/>
                <w:bCs/>
                <w:sz w:val="20"/>
                <w:szCs w:val="20"/>
                <w:vertAlign w:val="baseline"/>
                <w:lang w:eastAsia="zh-CN"/>
              </w:rPr>
            </w:pPr>
            <w:r>
              <w:rPr>
                <w:rFonts w:hint="eastAsia" w:ascii="仿宋_GB2312" w:eastAsia="仿宋_GB2312"/>
                <w:b/>
                <w:bCs/>
                <w:sz w:val="20"/>
                <w:szCs w:val="20"/>
                <w:vertAlign w:val="baseline"/>
                <w:lang w:eastAsia="zh-CN"/>
              </w:rPr>
              <w:t>抽查项目</w:t>
            </w:r>
          </w:p>
        </w:tc>
        <w:tc>
          <w:tcPr>
            <w:tcW w:w="1020" w:type="dxa"/>
            <w:vMerge w:val="restart"/>
            <w:vAlign w:val="center"/>
          </w:tcPr>
          <w:p>
            <w:pPr>
              <w:pStyle w:val="2"/>
              <w:spacing w:line="560" w:lineRule="exact"/>
              <w:jc w:val="center"/>
              <w:rPr>
                <w:rFonts w:hint="eastAsia" w:ascii="仿宋_GB2312" w:eastAsia="仿宋_GB2312"/>
                <w:b/>
                <w:bCs/>
                <w:sz w:val="20"/>
                <w:szCs w:val="20"/>
                <w:vertAlign w:val="baseline"/>
                <w:lang w:eastAsia="zh-CN"/>
              </w:rPr>
            </w:pPr>
            <w:r>
              <w:rPr>
                <w:rFonts w:hint="eastAsia" w:ascii="仿宋_GB2312" w:eastAsia="仿宋_GB2312"/>
                <w:b/>
                <w:bCs/>
                <w:sz w:val="20"/>
                <w:szCs w:val="20"/>
                <w:vertAlign w:val="baseline"/>
                <w:lang w:eastAsia="zh-CN"/>
              </w:rPr>
              <w:t>检查对象</w:t>
            </w:r>
          </w:p>
        </w:tc>
        <w:tc>
          <w:tcPr>
            <w:tcW w:w="1020" w:type="dxa"/>
            <w:vMerge w:val="restart"/>
            <w:vAlign w:val="center"/>
          </w:tcPr>
          <w:p>
            <w:pPr>
              <w:pStyle w:val="2"/>
              <w:spacing w:line="560" w:lineRule="exact"/>
              <w:jc w:val="center"/>
              <w:rPr>
                <w:rFonts w:hint="eastAsia" w:ascii="仿宋_GB2312" w:eastAsia="仿宋_GB2312"/>
                <w:b/>
                <w:bCs/>
                <w:sz w:val="20"/>
                <w:szCs w:val="20"/>
                <w:vertAlign w:val="baseline"/>
                <w:lang w:eastAsia="zh-CN"/>
              </w:rPr>
            </w:pPr>
            <w:r>
              <w:rPr>
                <w:rFonts w:hint="eastAsia" w:ascii="仿宋_GB2312" w:eastAsia="仿宋_GB2312"/>
                <w:b/>
                <w:bCs/>
                <w:sz w:val="20"/>
                <w:szCs w:val="20"/>
                <w:vertAlign w:val="baseline"/>
                <w:lang w:eastAsia="zh-CN"/>
              </w:rPr>
              <w:t>事项类别</w:t>
            </w:r>
          </w:p>
        </w:tc>
        <w:tc>
          <w:tcPr>
            <w:tcW w:w="1060" w:type="dxa"/>
            <w:vMerge w:val="restart"/>
            <w:vAlign w:val="center"/>
          </w:tcPr>
          <w:p>
            <w:pPr>
              <w:pStyle w:val="2"/>
              <w:spacing w:line="560" w:lineRule="exact"/>
              <w:jc w:val="center"/>
              <w:rPr>
                <w:rFonts w:hint="eastAsia" w:ascii="仿宋_GB2312" w:eastAsia="仿宋_GB2312"/>
                <w:b/>
                <w:bCs/>
                <w:sz w:val="20"/>
                <w:szCs w:val="20"/>
                <w:vertAlign w:val="baseline"/>
                <w:lang w:eastAsia="zh-CN"/>
              </w:rPr>
            </w:pPr>
            <w:r>
              <w:rPr>
                <w:rFonts w:hint="eastAsia" w:ascii="仿宋_GB2312" w:eastAsia="仿宋_GB2312"/>
                <w:b/>
                <w:bCs/>
                <w:sz w:val="20"/>
                <w:szCs w:val="20"/>
                <w:vertAlign w:val="baseline"/>
                <w:lang w:eastAsia="zh-CN"/>
              </w:rPr>
              <w:t>检查方式</w:t>
            </w:r>
          </w:p>
        </w:tc>
        <w:tc>
          <w:tcPr>
            <w:tcW w:w="1090" w:type="dxa"/>
            <w:vMerge w:val="restart"/>
            <w:vAlign w:val="center"/>
          </w:tcPr>
          <w:p>
            <w:pPr>
              <w:pStyle w:val="2"/>
              <w:spacing w:line="560" w:lineRule="exact"/>
              <w:jc w:val="center"/>
              <w:rPr>
                <w:rFonts w:hint="eastAsia" w:ascii="仿宋_GB2312" w:eastAsia="仿宋_GB2312"/>
                <w:b/>
                <w:bCs/>
                <w:sz w:val="20"/>
                <w:szCs w:val="20"/>
                <w:vertAlign w:val="baseline"/>
                <w:lang w:eastAsia="zh-CN"/>
              </w:rPr>
            </w:pPr>
            <w:r>
              <w:rPr>
                <w:rFonts w:hint="eastAsia" w:ascii="仿宋_GB2312" w:eastAsia="仿宋_GB2312"/>
                <w:b/>
                <w:bCs/>
                <w:sz w:val="20"/>
                <w:szCs w:val="20"/>
                <w:vertAlign w:val="baseline"/>
                <w:lang w:eastAsia="zh-CN"/>
              </w:rPr>
              <w:t>检查主体</w:t>
            </w:r>
          </w:p>
        </w:tc>
        <w:tc>
          <w:tcPr>
            <w:tcW w:w="3410" w:type="dxa"/>
            <w:vMerge w:val="restart"/>
            <w:vAlign w:val="center"/>
          </w:tcPr>
          <w:p>
            <w:pPr>
              <w:pStyle w:val="2"/>
              <w:spacing w:line="560" w:lineRule="exact"/>
              <w:jc w:val="center"/>
              <w:rPr>
                <w:rFonts w:hint="eastAsia" w:ascii="仿宋_GB2312" w:eastAsia="仿宋_GB2312"/>
                <w:b/>
                <w:bCs/>
                <w:sz w:val="20"/>
                <w:szCs w:val="20"/>
                <w:vertAlign w:val="baseline"/>
                <w:lang w:eastAsia="zh-CN"/>
              </w:rPr>
            </w:pPr>
            <w:r>
              <w:rPr>
                <w:rFonts w:hint="eastAsia" w:ascii="仿宋_GB2312" w:eastAsia="仿宋_GB2312"/>
                <w:b/>
                <w:bCs/>
                <w:sz w:val="20"/>
                <w:szCs w:val="20"/>
                <w:vertAlign w:val="baseline"/>
                <w:lang w:eastAsia="zh-CN"/>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vAlign w:val="center"/>
          </w:tcPr>
          <w:p>
            <w:pPr>
              <w:pStyle w:val="2"/>
              <w:spacing w:line="560" w:lineRule="exact"/>
              <w:jc w:val="center"/>
              <w:rPr>
                <w:rFonts w:hint="eastAsia" w:ascii="仿宋_GB2312" w:eastAsia="仿宋_GB2312"/>
                <w:b/>
                <w:bCs/>
                <w:sz w:val="18"/>
                <w:szCs w:val="18"/>
                <w:vertAlign w:val="baseline"/>
                <w:lang w:eastAsia="zh-CN"/>
              </w:rPr>
            </w:pPr>
            <w:r>
              <w:rPr>
                <w:rFonts w:hint="eastAsia" w:ascii="仿宋_GB2312" w:eastAsia="仿宋_GB2312"/>
                <w:b/>
                <w:bCs/>
                <w:sz w:val="18"/>
                <w:szCs w:val="18"/>
                <w:vertAlign w:val="baseline"/>
                <w:lang w:eastAsia="zh-CN"/>
              </w:rPr>
              <w:t>抽查类别</w:t>
            </w:r>
          </w:p>
        </w:tc>
        <w:tc>
          <w:tcPr>
            <w:tcW w:w="1000" w:type="dxa"/>
            <w:vAlign w:val="center"/>
          </w:tcPr>
          <w:p>
            <w:pPr>
              <w:pStyle w:val="2"/>
              <w:spacing w:line="560" w:lineRule="exact"/>
              <w:jc w:val="center"/>
              <w:rPr>
                <w:rFonts w:hint="eastAsia" w:ascii="仿宋_GB2312" w:eastAsia="仿宋_GB2312"/>
                <w:b/>
                <w:bCs/>
                <w:sz w:val="18"/>
                <w:szCs w:val="18"/>
                <w:vertAlign w:val="baseline"/>
                <w:lang w:eastAsia="zh-CN"/>
              </w:rPr>
            </w:pPr>
            <w:r>
              <w:rPr>
                <w:rFonts w:hint="eastAsia" w:ascii="仿宋_GB2312" w:eastAsia="仿宋_GB2312"/>
                <w:b/>
                <w:bCs/>
                <w:sz w:val="18"/>
                <w:szCs w:val="18"/>
                <w:vertAlign w:val="baseline"/>
                <w:lang w:eastAsia="zh-CN"/>
              </w:rPr>
              <w:t>抽查事项</w:t>
            </w:r>
          </w:p>
        </w:tc>
        <w:tc>
          <w:tcPr>
            <w:tcW w:w="1020" w:type="dxa"/>
            <w:vMerge w:val="continue"/>
            <w:vAlign w:val="center"/>
          </w:tcPr>
          <w:p>
            <w:pPr>
              <w:pStyle w:val="2"/>
              <w:spacing w:line="560" w:lineRule="exact"/>
              <w:jc w:val="center"/>
              <w:rPr>
                <w:rFonts w:hint="eastAsia" w:ascii="仿宋_GB2312" w:eastAsia="仿宋_GB2312"/>
                <w:sz w:val="18"/>
                <w:szCs w:val="18"/>
                <w:vertAlign w:val="baseline"/>
              </w:rPr>
            </w:pPr>
          </w:p>
        </w:tc>
        <w:tc>
          <w:tcPr>
            <w:tcW w:w="1020" w:type="dxa"/>
            <w:vMerge w:val="continue"/>
            <w:vAlign w:val="center"/>
          </w:tcPr>
          <w:p>
            <w:pPr>
              <w:pStyle w:val="2"/>
              <w:spacing w:line="560" w:lineRule="exact"/>
              <w:jc w:val="center"/>
              <w:rPr>
                <w:rFonts w:hint="eastAsia" w:ascii="仿宋_GB2312" w:eastAsia="仿宋_GB2312"/>
                <w:sz w:val="18"/>
                <w:szCs w:val="18"/>
                <w:vertAlign w:val="baseline"/>
              </w:rPr>
            </w:pPr>
          </w:p>
        </w:tc>
        <w:tc>
          <w:tcPr>
            <w:tcW w:w="1060" w:type="dxa"/>
            <w:vMerge w:val="continue"/>
            <w:vAlign w:val="center"/>
          </w:tcPr>
          <w:p>
            <w:pPr>
              <w:pStyle w:val="2"/>
              <w:spacing w:line="560" w:lineRule="exact"/>
              <w:jc w:val="center"/>
              <w:rPr>
                <w:rFonts w:hint="eastAsia" w:ascii="仿宋_GB2312" w:eastAsia="仿宋_GB2312"/>
                <w:sz w:val="18"/>
                <w:szCs w:val="18"/>
                <w:vertAlign w:val="baseline"/>
              </w:rPr>
            </w:pPr>
          </w:p>
        </w:tc>
        <w:tc>
          <w:tcPr>
            <w:tcW w:w="1090" w:type="dxa"/>
            <w:vMerge w:val="continue"/>
            <w:vAlign w:val="center"/>
          </w:tcPr>
          <w:p>
            <w:pPr>
              <w:pStyle w:val="2"/>
              <w:spacing w:line="560" w:lineRule="exact"/>
              <w:jc w:val="center"/>
              <w:rPr>
                <w:rFonts w:hint="eastAsia" w:ascii="仿宋_GB2312" w:eastAsia="仿宋_GB2312"/>
                <w:sz w:val="18"/>
                <w:szCs w:val="18"/>
                <w:vertAlign w:val="baseline"/>
              </w:rPr>
            </w:pPr>
          </w:p>
        </w:tc>
        <w:tc>
          <w:tcPr>
            <w:tcW w:w="3410" w:type="dxa"/>
            <w:vMerge w:val="continue"/>
            <w:vAlign w:val="center"/>
          </w:tcPr>
          <w:p>
            <w:pPr>
              <w:pStyle w:val="2"/>
              <w:spacing w:line="560" w:lineRule="exact"/>
              <w:jc w:val="center"/>
              <w:rPr>
                <w:rFonts w:hint="eastAsia" w:ascii="仿宋_GB2312" w:eastAsia="仿宋_GB2312"/>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vMerge w:val="restart"/>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污染源日常监管领域污染源和建设项目单位环保法律法规执行情况抽查</w:t>
            </w:r>
          </w:p>
        </w:tc>
        <w:tc>
          <w:tcPr>
            <w:tcW w:w="100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排污单位环境影响评价审批、验收、排污许可证等环境管理制度落实情况抽查</w:t>
            </w:r>
          </w:p>
        </w:tc>
        <w:tc>
          <w:tcPr>
            <w:tcW w:w="102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企业事业单位和其他生产经营者</w:t>
            </w:r>
          </w:p>
        </w:tc>
        <w:tc>
          <w:tcPr>
            <w:tcW w:w="102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一般检查事项</w:t>
            </w:r>
          </w:p>
        </w:tc>
        <w:tc>
          <w:tcPr>
            <w:tcW w:w="106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现场检查</w:t>
            </w:r>
          </w:p>
        </w:tc>
        <w:tc>
          <w:tcPr>
            <w:tcW w:w="109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丰台区生态环境局</w:t>
            </w:r>
          </w:p>
        </w:tc>
        <w:tc>
          <w:tcPr>
            <w:tcW w:w="341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《中华人民共和国保护法》、《建设项目环境保护管理条例》、《建设项目竣工环境保护验收暂行办法》、《排污许可管理办法（试行）》等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vMerge w:val="continue"/>
            <w:vAlign w:val="center"/>
          </w:tcPr>
          <w:p>
            <w:pPr>
              <w:pStyle w:val="2"/>
              <w:spacing w:line="560" w:lineRule="exact"/>
              <w:jc w:val="center"/>
              <w:rPr>
                <w:rFonts w:hint="eastAsia" w:ascii="仿宋_GB2312" w:eastAsia="仿宋_GB2312"/>
                <w:sz w:val="18"/>
                <w:szCs w:val="18"/>
                <w:vertAlign w:val="baseline"/>
              </w:rPr>
            </w:pPr>
          </w:p>
        </w:tc>
        <w:tc>
          <w:tcPr>
            <w:tcW w:w="100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排污单位环保治理设施建设及运行情况抽查</w:t>
            </w:r>
          </w:p>
        </w:tc>
        <w:tc>
          <w:tcPr>
            <w:tcW w:w="102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企业事业单位和其他生产经营者</w:t>
            </w:r>
          </w:p>
        </w:tc>
        <w:tc>
          <w:tcPr>
            <w:tcW w:w="102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rPr>
            </w:pPr>
            <w:r>
              <w:rPr>
                <w:rFonts w:hint="eastAsia" w:ascii="仿宋_GB2312" w:eastAsia="仿宋_GB2312"/>
                <w:sz w:val="18"/>
                <w:szCs w:val="18"/>
                <w:vertAlign w:val="baseline"/>
                <w:lang w:eastAsia="zh-CN"/>
              </w:rPr>
              <w:t>一般检查事项</w:t>
            </w:r>
          </w:p>
        </w:tc>
        <w:tc>
          <w:tcPr>
            <w:tcW w:w="106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rPr>
            </w:pPr>
            <w:r>
              <w:rPr>
                <w:rFonts w:hint="eastAsia" w:ascii="仿宋_GB2312" w:eastAsia="仿宋_GB2312"/>
                <w:sz w:val="18"/>
                <w:szCs w:val="18"/>
                <w:vertAlign w:val="baseline"/>
                <w:lang w:eastAsia="zh-CN"/>
              </w:rPr>
              <w:t>现场检查</w:t>
            </w:r>
          </w:p>
        </w:tc>
        <w:tc>
          <w:tcPr>
            <w:tcW w:w="109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rPr>
            </w:pPr>
            <w:r>
              <w:rPr>
                <w:rFonts w:hint="eastAsia" w:ascii="仿宋_GB2312" w:eastAsia="仿宋_GB2312"/>
                <w:sz w:val="18"/>
                <w:szCs w:val="18"/>
                <w:vertAlign w:val="baseline"/>
                <w:lang w:eastAsia="zh-CN"/>
              </w:rPr>
              <w:t>丰台区生态环境局</w:t>
            </w:r>
          </w:p>
        </w:tc>
        <w:tc>
          <w:tcPr>
            <w:tcW w:w="3410" w:type="dxa"/>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仿宋_GB2312" w:hAnsi="微软雅黑" w:eastAsia="仿宋_GB2312" w:cs="宋体"/>
                <w:color w:val="333333"/>
                <w:kern w:val="0"/>
                <w:sz w:val="18"/>
                <w:szCs w:val="18"/>
                <w:lang w:val="en-US" w:eastAsia="zh-CN" w:bidi="ar-SA"/>
              </w:rPr>
            </w:pPr>
            <w:r>
              <w:rPr>
                <w:rFonts w:hint="eastAsia" w:ascii="仿宋_GB2312" w:hAnsi="微软雅黑" w:eastAsia="仿宋_GB2312" w:cs="宋体"/>
                <w:color w:val="333333"/>
                <w:kern w:val="0"/>
                <w:sz w:val="18"/>
                <w:szCs w:val="18"/>
              </w:rPr>
              <w:t>《中华人民共和国环境保护法》、《中华人民共和国大气污染防治法》、《中华人民共和国水污染防治法》、《中华人民共和国环境噪声</w:t>
            </w:r>
            <w:r>
              <w:rPr>
                <w:rFonts w:hint="eastAsia" w:ascii="仿宋_GB2312" w:hAnsi="微软雅黑" w:eastAsia="仿宋_GB2312" w:cs="宋体"/>
                <w:color w:val="333333"/>
                <w:kern w:val="0"/>
                <w:sz w:val="18"/>
                <w:szCs w:val="18"/>
                <w:lang w:eastAsia="zh-CN"/>
              </w:rPr>
              <w:t>污染</w:t>
            </w:r>
            <w:r>
              <w:rPr>
                <w:rFonts w:hint="eastAsia" w:ascii="仿宋_GB2312" w:hAnsi="微软雅黑" w:eastAsia="仿宋_GB2312" w:cs="宋体"/>
                <w:color w:val="333333"/>
                <w:kern w:val="0"/>
                <w:sz w:val="18"/>
                <w:szCs w:val="18"/>
              </w:rPr>
              <w:t>防治法》、《中华人民共和国固体废物污染环境防治法》、《中华人民共和国放射性污染防治法》、《污染源自动监控管理办法》等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vMerge w:val="continue"/>
            <w:vAlign w:val="center"/>
          </w:tcPr>
          <w:p>
            <w:pPr>
              <w:pStyle w:val="2"/>
              <w:spacing w:line="560" w:lineRule="exact"/>
              <w:jc w:val="center"/>
              <w:rPr>
                <w:rFonts w:hint="eastAsia" w:ascii="仿宋_GB2312" w:eastAsia="仿宋_GB2312"/>
                <w:sz w:val="18"/>
                <w:szCs w:val="18"/>
                <w:vertAlign w:val="baseline"/>
              </w:rPr>
            </w:pPr>
          </w:p>
        </w:tc>
        <w:tc>
          <w:tcPr>
            <w:tcW w:w="100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lang w:eastAsia="zh-CN"/>
              </w:rPr>
            </w:pPr>
            <w:r>
              <w:rPr>
                <w:rFonts w:hint="eastAsia" w:ascii="仿宋_GB2312" w:eastAsia="仿宋_GB2312"/>
                <w:sz w:val="18"/>
                <w:szCs w:val="18"/>
                <w:vertAlign w:val="baseline"/>
                <w:lang w:eastAsia="zh-CN"/>
              </w:rPr>
              <w:t>排污单位污染物排放情况抽查</w:t>
            </w:r>
          </w:p>
        </w:tc>
        <w:tc>
          <w:tcPr>
            <w:tcW w:w="102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rPr>
            </w:pPr>
            <w:r>
              <w:rPr>
                <w:rFonts w:hint="eastAsia" w:ascii="仿宋_GB2312" w:eastAsia="仿宋_GB2312"/>
                <w:sz w:val="18"/>
                <w:szCs w:val="18"/>
                <w:vertAlign w:val="baseline"/>
                <w:lang w:eastAsia="zh-CN"/>
              </w:rPr>
              <w:t>企业事业单位和其他生产经营者</w:t>
            </w:r>
          </w:p>
        </w:tc>
        <w:tc>
          <w:tcPr>
            <w:tcW w:w="102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rPr>
            </w:pPr>
            <w:r>
              <w:rPr>
                <w:rFonts w:hint="eastAsia" w:ascii="仿宋_GB2312" w:eastAsia="仿宋_GB2312"/>
                <w:sz w:val="18"/>
                <w:szCs w:val="18"/>
                <w:vertAlign w:val="baseline"/>
                <w:lang w:eastAsia="zh-CN"/>
              </w:rPr>
              <w:t>一般检查事项</w:t>
            </w:r>
          </w:p>
        </w:tc>
        <w:tc>
          <w:tcPr>
            <w:tcW w:w="106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rPr>
            </w:pPr>
            <w:r>
              <w:rPr>
                <w:rFonts w:hint="eastAsia" w:ascii="仿宋_GB2312" w:eastAsia="仿宋_GB2312"/>
                <w:sz w:val="18"/>
                <w:szCs w:val="18"/>
                <w:vertAlign w:val="baseline"/>
                <w:lang w:eastAsia="zh-CN"/>
              </w:rPr>
              <w:t>现场检查</w:t>
            </w:r>
          </w:p>
        </w:tc>
        <w:tc>
          <w:tcPr>
            <w:tcW w:w="109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rPr>
            </w:pPr>
            <w:r>
              <w:rPr>
                <w:rFonts w:hint="eastAsia" w:ascii="仿宋_GB2312" w:eastAsia="仿宋_GB2312"/>
                <w:sz w:val="18"/>
                <w:szCs w:val="18"/>
                <w:vertAlign w:val="baseline"/>
                <w:lang w:eastAsia="zh-CN"/>
              </w:rPr>
              <w:t>丰台区生态环境局</w:t>
            </w:r>
          </w:p>
        </w:tc>
        <w:tc>
          <w:tcPr>
            <w:tcW w:w="3410" w:type="dxa"/>
            <w:vAlign w:val="center"/>
          </w:tcPr>
          <w:p>
            <w:pPr>
              <w:pStyle w:val="2"/>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eastAsia="仿宋_GB2312"/>
                <w:sz w:val="18"/>
                <w:szCs w:val="18"/>
                <w:vertAlign w:val="baseline"/>
              </w:rPr>
            </w:pPr>
            <w:r>
              <w:rPr>
                <w:rFonts w:hint="eastAsia" w:ascii="仿宋_GB2312" w:hAnsi="微软雅黑" w:eastAsia="仿宋_GB2312" w:cs="宋体"/>
                <w:color w:val="333333"/>
                <w:kern w:val="0"/>
                <w:sz w:val="18"/>
                <w:szCs w:val="18"/>
              </w:rPr>
              <w:t>《中华人民共和国环境保护法》、《中华人民共和国大气污染防治法》、《中华人民共和国水污染防治法》、《中华人民共和国环境噪声</w:t>
            </w:r>
            <w:r>
              <w:rPr>
                <w:rFonts w:hint="eastAsia" w:ascii="仿宋_GB2312" w:eastAsia="仿宋_GB2312" w:cs="宋体"/>
                <w:color w:val="333333"/>
                <w:kern w:val="0"/>
                <w:sz w:val="18"/>
                <w:szCs w:val="18"/>
                <w:lang w:eastAsia="zh-CN"/>
              </w:rPr>
              <w:t>污染</w:t>
            </w:r>
            <w:r>
              <w:rPr>
                <w:rFonts w:hint="eastAsia" w:ascii="仿宋_GB2312" w:hAnsi="微软雅黑" w:eastAsia="仿宋_GB2312" w:cs="宋体"/>
                <w:color w:val="333333"/>
                <w:kern w:val="0"/>
                <w:sz w:val="18"/>
                <w:szCs w:val="18"/>
              </w:rPr>
              <w:t>防治法》、《中华人民共和国固体废物污染环境防治法》、《中华人民共和国放射性污染防治法》、《污染源自动监控管理办法》等</w:t>
            </w:r>
          </w:p>
        </w:tc>
      </w:tr>
    </w:tbl>
    <w:p>
      <w:pPr>
        <w:pStyle w:val="2"/>
        <w:numPr>
          <w:ilvl w:val="0"/>
          <w:numId w:val="1"/>
        </w:numPr>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不适合随机抽查事项清单</w:t>
      </w:r>
    </w:p>
    <w:p>
      <w:pPr>
        <w:pStyle w:val="2"/>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无不适合随机抽查事项清单。</w:t>
      </w:r>
    </w:p>
    <w:p>
      <w:pPr>
        <w:pStyle w:val="2"/>
        <w:numPr>
          <w:ilvl w:val="0"/>
          <w:numId w:val="1"/>
        </w:numPr>
        <w:spacing w:line="560" w:lineRule="exact"/>
        <w:ind w:left="0" w:leftChars="0"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抽查情况</w:t>
      </w:r>
    </w:p>
    <w:p>
      <w:pPr>
        <w:pStyle w:val="2"/>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12月，丰台区生态环境局共39人参加随机抽查工作，完成随机抽查103家次，被抽查单位具体情况见下表：</w:t>
      </w:r>
    </w:p>
    <w:p>
      <w:pPr>
        <w:pStyle w:val="2"/>
        <w:numPr>
          <w:ilvl w:val="0"/>
          <w:numId w:val="0"/>
        </w:numPr>
        <w:spacing w:line="560" w:lineRule="exact"/>
        <w:rPr>
          <w:rFonts w:hint="default" w:ascii="仿宋_GB2312" w:eastAsia="仿宋_GB2312"/>
          <w:sz w:val="32"/>
          <w:szCs w:val="32"/>
          <w:lang w:val="en-US" w:eastAsia="zh-CN"/>
        </w:rPr>
      </w:pPr>
    </w:p>
    <w:p>
      <w:pPr>
        <w:pStyle w:val="2"/>
        <w:spacing w:line="560" w:lineRule="exact"/>
        <w:ind w:firstLine="640" w:firstLineChars="200"/>
        <w:rPr>
          <w:rFonts w:hint="eastAsia" w:ascii="仿宋_GB2312" w:eastAsia="仿宋_GB2312"/>
          <w:sz w:val="32"/>
          <w:szCs w:val="32"/>
        </w:rPr>
      </w:pPr>
    </w:p>
    <w:p>
      <w:pPr>
        <w:widowControl/>
        <w:jc w:val="left"/>
        <w:rPr>
          <w:rFonts w:hint="eastAsia"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Dialog">
    <w:altName w:val="Times New Roman"/>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815C"/>
    <w:multiLevelType w:val="singleLevel"/>
    <w:tmpl w:val="0295815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73"/>
    <w:rsid w:val="00A40673"/>
    <w:rsid w:val="00DF7F14"/>
    <w:rsid w:val="00E5490C"/>
    <w:rsid w:val="01CE193F"/>
    <w:rsid w:val="04844B9C"/>
    <w:rsid w:val="05115A1C"/>
    <w:rsid w:val="052664DB"/>
    <w:rsid w:val="0918633D"/>
    <w:rsid w:val="09C612A6"/>
    <w:rsid w:val="0A841AFB"/>
    <w:rsid w:val="0FE43B51"/>
    <w:rsid w:val="12273FA8"/>
    <w:rsid w:val="13FA2608"/>
    <w:rsid w:val="15721847"/>
    <w:rsid w:val="15BD5BC2"/>
    <w:rsid w:val="18E95407"/>
    <w:rsid w:val="1EE95A3E"/>
    <w:rsid w:val="274B2482"/>
    <w:rsid w:val="2810365C"/>
    <w:rsid w:val="2A3B7854"/>
    <w:rsid w:val="2C0B529F"/>
    <w:rsid w:val="2C810A90"/>
    <w:rsid w:val="2EE45AC6"/>
    <w:rsid w:val="2F58131A"/>
    <w:rsid w:val="3020030F"/>
    <w:rsid w:val="323A626F"/>
    <w:rsid w:val="330729FE"/>
    <w:rsid w:val="331905FE"/>
    <w:rsid w:val="338E40FB"/>
    <w:rsid w:val="34214641"/>
    <w:rsid w:val="348C4922"/>
    <w:rsid w:val="393B3546"/>
    <w:rsid w:val="3F867A10"/>
    <w:rsid w:val="40E56482"/>
    <w:rsid w:val="4C9C1DD0"/>
    <w:rsid w:val="4EC81261"/>
    <w:rsid w:val="506F0B2D"/>
    <w:rsid w:val="54F614E6"/>
    <w:rsid w:val="5B2231D8"/>
    <w:rsid w:val="5CA30728"/>
    <w:rsid w:val="61C06C94"/>
    <w:rsid w:val="695D2AC1"/>
    <w:rsid w:val="696F7B40"/>
    <w:rsid w:val="6EA50B51"/>
    <w:rsid w:val="72FA4E1E"/>
    <w:rsid w:val="732C2D4C"/>
    <w:rsid w:val="76506360"/>
    <w:rsid w:val="7ADC711D"/>
    <w:rsid w:val="7E931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jc w:val="left"/>
    </w:pPr>
    <w:rPr>
      <w:rFonts w:ascii="微软雅黑" w:hAnsi="微软雅黑" w:eastAsia="微软雅黑" w:cs="宋体"/>
      <w:color w:val="333333"/>
      <w:kern w:val="0"/>
      <w:sz w:val="24"/>
      <w:szCs w:val="24"/>
    </w:r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11"/>
    <w:basedOn w:val="5"/>
    <w:qFormat/>
    <w:uiPriority w:val="0"/>
    <w:rPr>
      <w:rFonts w:hint="eastAsia" w:ascii="宋体" w:hAnsi="宋体" w:eastAsia="宋体" w:cs="宋体"/>
      <w:color w:val="FF0000"/>
      <w:sz w:val="24"/>
      <w:szCs w:val="24"/>
      <w:u w:val="none"/>
    </w:rPr>
  </w:style>
  <w:style w:type="character" w:customStyle="1" w:styleId="7">
    <w:name w:val="font01"/>
    <w:basedOn w:val="5"/>
    <w:qFormat/>
    <w:uiPriority w:val="0"/>
    <w:rPr>
      <w:rFonts w:hint="default" w:ascii="Dialog" w:hAnsi="Dialog" w:eastAsia="Dialog" w:cs="Dialog"/>
      <w:color w:val="FF0000"/>
      <w:sz w:val="24"/>
      <w:szCs w:val="24"/>
      <w:u w:val="none"/>
    </w:rPr>
  </w:style>
  <w:style w:type="character" w:customStyle="1" w:styleId="8">
    <w:name w:val="font21"/>
    <w:basedOn w:val="5"/>
    <w:qFormat/>
    <w:uiPriority w:val="0"/>
    <w:rPr>
      <w:rFonts w:hint="default" w:ascii="Dialog" w:hAnsi="Dialog" w:eastAsia="Dialog" w:cs="Dialog"/>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160</Words>
  <Characters>912</Characters>
  <Lines>7</Lines>
  <Paragraphs>2</Paragraphs>
  <TotalTime>12</TotalTime>
  <ScaleCrop>false</ScaleCrop>
  <LinksUpToDate>false</LinksUpToDate>
  <CharactersWithSpaces>1070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2017-12-07T09:18:00Z</dcterms:created>
  <dc:creator>姜祎祎</dc:creator>
  <cp:lastModifiedBy>xiaowei</cp:lastModifiedBy>
  <cp:lastPrinted>2021-01-07T08:40:00Z</cp:lastPrinted>
  <dcterms:modified xsi:type="dcterms:W3CDTF">2023-01-30T07:17:56Z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