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zh-TW" w:eastAsia="zh-TW"/>
        </w:rPr>
      </w:pPr>
      <w:r>
        <w:rPr>
          <w:rFonts w:hint="eastAsia" w:ascii="方正小标宋简体" w:hAnsi="方正小标宋简体" w:eastAsia="方正小标宋简体" w:cs="方正小标宋简体"/>
          <w:sz w:val="44"/>
          <w:szCs w:val="44"/>
          <w:lang w:val="en-US" w:eastAsia="zh-CN"/>
        </w:rPr>
        <w:t>2020年</w:t>
      </w:r>
      <w:r>
        <w:rPr>
          <w:rFonts w:hint="eastAsia" w:ascii="方正小标宋简体" w:hAnsi="方正小标宋简体" w:eastAsia="方正小标宋简体" w:cs="方正小标宋简体"/>
          <w:sz w:val="44"/>
          <w:szCs w:val="44"/>
          <w:lang w:val="zh-TW" w:eastAsia="zh-TW"/>
        </w:rPr>
        <w:t>北京市丰台区政府信息公开</w:t>
      </w:r>
    </w:p>
    <w:p>
      <w:pPr>
        <w:pStyle w:val="15"/>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zh-TW" w:eastAsia="zh-TW"/>
        </w:rPr>
      </w:pPr>
      <w:r>
        <w:rPr>
          <w:rFonts w:hint="eastAsia" w:ascii="方正小标宋简体" w:hAnsi="方正小标宋简体" w:eastAsia="方正小标宋简体" w:cs="方正小标宋简体"/>
          <w:sz w:val="44"/>
          <w:szCs w:val="44"/>
          <w:lang w:val="zh-TW" w:eastAsia="zh-TW"/>
        </w:rPr>
        <w:t>工作年度报告</w:t>
      </w:r>
    </w:p>
    <w:p>
      <w:pPr>
        <w:pStyle w:val="15"/>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zh-TW" w:eastAsia="zh-TW"/>
        </w:rPr>
      </w:pPr>
    </w:p>
    <w:p>
      <w:pPr>
        <w:pStyle w:val="1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hAnsiTheme="minorEastAsia"/>
          <w:sz w:val="32"/>
          <w:szCs w:val="32"/>
          <w:lang w:val="zh-TW"/>
        </w:rPr>
      </w:pPr>
      <w:r>
        <w:rPr>
          <w:rFonts w:hint="eastAsia" w:ascii="仿宋_GB2312" w:hAnsi="仿宋_GB2312" w:eastAsia="仿宋_GB2312" w:cs="仿宋_GB2312"/>
          <w:sz w:val="32"/>
          <w:szCs w:val="32"/>
          <w:lang w:val="zh-TW" w:eastAsia="zh-TW"/>
        </w:rPr>
        <w:t>依据《中华人民共和国政府信息公开条例》</w:t>
      </w:r>
      <w:r>
        <w:rPr>
          <w:rFonts w:hint="eastAsia" w:ascii="仿宋_GB2312" w:hAnsi="仿宋_GB2312" w:eastAsia="仿宋_GB2312" w:cs="仿宋_GB2312"/>
          <w:sz w:val="32"/>
          <w:szCs w:val="32"/>
          <w:lang w:val="zh-TW" w:eastAsia="zh-CN"/>
        </w:rPr>
        <w:t>（以下简称</w:t>
      </w:r>
      <w:r>
        <w:rPr>
          <w:rFonts w:hint="eastAsia" w:ascii="仿宋_GB2312" w:hAnsi="仿宋_GB2312" w:eastAsia="仿宋_GB2312" w:cs="仿宋_GB2312"/>
          <w:color w:val="000000" w:themeColor="text1"/>
          <w:sz w:val="32"/>
          <w:szCs w:val="32"/>
          <w:highlight w:val="none"/>
          <w:lang w:val="zh-TW" w:eastAsia="zh-TW"/>
          <w14:textFill>
            <w14:solidFill>
              <w14:schemeClr w14:val="tx1"/>
            </w14:solidFill>
          </w14:textFill>
        </w:rPr>
        <w:t>《政府信息公开条例</w:t>
      </w:r>
      <w:r>
        <w:rPr>
          <w:rFonts w:hint="eastAsia" w:ascii="仿宋_GB2312" w:hAnsi="仿宋_GB2312" w:eastAsia="仿宋_GB2312" w:cs="仿宋_GB2312"/>
          <w:color w:val="000000" w:themeColor="text1"/>
          <w:sz w:val="32"/>
          <w:szCs w:val="32"/>
          <w:highlight w:val="none"/>
          <w:lang w:val="zh-TW" w:eastAsia="zh-CN"/>
          <w14:textFill>
            <w14:solidFill>
              <w14:schemeClr w14:val="tx1"/>
            </w14:solidFill>
          </w14:textFill>
        </w:rPr>
        <w:t>》</w:t>
      </w: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zh-TW" w:eastAsia="zh-TW"/>
        </w:rPr>
        <w:t>第五十条之规定，</w:t>
      </w:r>
      <w:r>
        <w:rPr>
          <w:rFonts w:hint="eastAsia" w:ascii="仿宋_GB2312" w:eastAsia="仿宋_GB2312" w:cs="仿宋_GB2312" w:hAnsiTheme="minorEastAsia"/>
          <w:sz w:val="32"/>
          <w:szCs w:val="32"/>
          <w:lang w:val="zh-TW"/>
        </w:rPr>
        <w:t>制作本报告。</w:t>
      </w:r>
    </w:p>
    <w:p>
      <w:pPr>
        <w:pStyle w:val="15"/>
        <w:keepNext w:val="0"/>
        <w:keepLines w:val="0"/>
        <w:pageBreakBefore w:val="0"/>
        <w:numPr>
          <w:ilvl w:val="0"/>
          <w:numId w:val="0"/>
        </w:numPr>
        <w:kinsoku/>
        <w:wordWrap/>
        <w:overflowPunct/>
        <w:topLinePunct w:val="0"/>
        <w:autoSpaceDE/>
        <w:autoSpaceDN/>
        <w:bidi w:val="0"/>
        <w:adjustRightInd/>
        <w:snapToGrid/>
        <w:spacing w:line="560" w:lineRule="exact"/>
        <w:ind w:left="720" w:leftChars="0"/>
        <w:textAlignment w:val="auto"/>
        <w:rPr>
          <w:rFonts w:hint="eastAsia" w:ascii="仿宋_GB2312" w:hAnsi="仿宋_GB2312" w:eastAsia="仿宋_GB2312" w:cs="仿宋_GB2312"/>
          <w:sz w:val="32"/>
          <w:szCs w:val="32"/>
          <w:lang w:val="zh-TW" w:eastAsia="zh-TW"/>
        </w:rPr>
      </w:pPr>
      <w:r>
        <w:rPr>
          <w:rFonts w:hint="eastAsia" w:ascii="黑体" w:hAnsi="黑体" w:eastAsia="黑体" w:cs="黑体"/>
          <w:sz w:val="32"/>
          <w:szCs w:val="32"/>
          <w:lang w:val="zh-TW" w:eastAsia="zh-CN"/>
        </w:rPr>
        <w:t>一、</w:t>
      </w:r>
      <w:r>
        <w:rPr>
          <w:rFonts w:ascii="黑体" w:hAnsi="黑体" w:eastAsia="黑体" w:cs="黑体"/>
          <w:sz w:val="32"/>
          <w:szCs w:val="32"/>
          <w:lang w:val="zh-TW" w:eastAsia="zh-TW"/>
        </w:rPr>
        <w:t>总体情况</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zh-TW" w:eastAsia="zh-TW"/>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TW" w:eastAsia="zh-CN"/>
          <w14:textFill>
            <w14:solidFill>
              <w14:schemeClr w14:val="tx1"/>
            </w14:solidFill>
          </w14:textFill>
        </w:rPr>
        <w:t>2020</w:t>
      </w:r>
      <w:r>
        <w:rPr>
          <w:rFonts w:hint="eastAsia" w:ascii="仿宋_GB2312" w:hAnsi="仿宋_GB2312" w:eastAsia="仿宋_GB2312" w:cs="仿宋_GB2312"/>
          <w:color w:val="000000" w:themeColor="text1"/>
          <w:sz w:val="32"/>
          <w:szCs w:val="32"/>
          <w:highlight w:val="none"/>
          <w:lang w:val="zh-TW" w:eastAsia="zh-TW"/>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val="zh-TW" w:eastAsia="zh-CN"/>
          <w14:textFill>
            <w14:solidFill>
              <w14:schemeClr w14:val="tx1"/>
            </w14:solidFill>
          </w14:textFill>
        </w:rPr>
        <w:t>，为</w:t>
      </w:r>
      <w:r>
        <w:rPr>
          <w:rFonts w:hint="eastAsia" w:ascii="仿宋_GB2312" w:hAnsi="仿宋_GB2312" w:eastAsia="仿宋_GB2312" w:cs="仿宋_GB2312"/>
          <w:color w:val="000000" w:themeColor="text1"/>
          <w:sz w:val="32"/>
          <w:szCs w:val="32"/>
          <w14:textFill>
            <w14:solidFill>
              <w14:schemeClr w14:val="tx1"/>
            </w14:solidFill>
          </w14:textFill>
        </w:rPr>
        <w:t>进一步贯彻落实政府信息公开工作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zh-TW" w:eastAsia="zh-CN"/>
          <w14:textFill>
            <w14:solidFill>
              <w14:schemeClr w14:val="tx1"/>
            </w14:solidFill>
          </w14:textFill>
        </w:rPr>
        <w:t>更好提供政府信息公开服务，依据</w:t>
      </w:r>
      <w:r>
        <w:rPr>
          <w:rFonts w:hint="eastAsia" w:ascii="仿宋_GB2312" w:hAnsi="仿宋_GB2312" w:eastAsia="仿宋_GB2312" w:cs="仿宋_GB2312"/>
          <w:color w:val="000000" w:themeColor="text1"/>
          <w:sz w:val="32"/>
          <w:szCs w:val="32"/>
          <w:highlight w:val="none"/>
          <w:lang w:val="zh-TW" w:eastAsia="zh-TW"/>
          <w14:textFill>
            <w14:solidFill>
              <w14:schemeClr w14:val="tx1"/>
            </w14:solidFill>
          </w14:textFill>
        </w:rPr>
        <w:t>《政府信息公开条例</w:t>
      </w:r>
      <w:r>
        <w:rPr>
          <w:rFonts w:hint="eastAsia" w:ascii="仿宋_GB2312" w:hAnsi="仿宋_GB2312" w:eastAsia="仿宋_GB2312" w:cs="仿宋_GB2312"/>
          <w:color w:val="000000" w:themeColor="text1"/>
          <w:sz w:val="32"/>
          <w:szCs w:val="32"/>
          <w:highlight w:val="none"/>
          <w:lang w:val="zh-TW"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zh-TW" w:eastAsia="zh-TW"/>
          <w14:textFill>
            <w14:solidFill>
              <w14:schemeClr w14:val="tx1"/>
            </w14:solidFill>
          </w14:textFill>
        </w:rPr>
        <w:t>《北京市</w:t>
      </w:r>
      <w:r>
        <w:rPr>
          <w:rFonts w:hint="eastAsia" w:ascii="仿宋_GB2312" w:hAnsi="仿宋_GB2312" w:eastAsia="仿宋_GB2312" w:cs="仿宋_GB2312"/>
          <w:color w:val="000000" w:themeColor="text1"/>
          <w:sz w:val="32"/>
          <w:szCs w:val="32"/>
          <w:highlight w:val="none"/>
          <w:lang w:val="zh-TW" w:eastAsia="zh-CN"/>
          <w14:textFill>
            <w14:solidFill>
              <w14:schemeClr w14:val="tx1"/>
            </w14:solidFill>
          </w14:textFill>
        </w:rPr>
        <w:t>2020</w:t>
      </w:r>
      <w:r>
        <w:rPr>
          <w:rFonts w:hint="eastAsia" w:ascii="仿宋_GB2312" w:hAnsi="仿宋_GB2312" w:eastAsia="仿宋_GB2312" w:cs="仿宋_GB2312"/>
          <w:color w:val="000000" w:themeColor="text1"/>
          <w:sz w:val="32"/>
          <w:szCs w:val="32"/>
          <w:highlight w:val="none"/>
          <w:lang w:val="zh-TW" w:eastAsia="zh-TW"/>
          <w14:textFill>
            <w14:solidFill>
              <w14:schemeClr w14:val="tx1"/>
            </w14:solidFill>
          </w14:textFill>
        </w:rPr>
        <w:t>年政务公开工作要点》</w:t>
      </w:r>
      <w:r>
        <w:rPr>
          <w:rFonts w:hint="eastAsia" w:ascii="仿宋_GB2312" w:hAnsi="仿宋_GB2312" w:eastAsia="仿宋_GB2312" w:cs="仿宋_GB2312"/>
          <w:color w:val="000000" w:themeColor="text1"/>
          <w:sz w:val="32"/>
          <w:szCs w:val="32"/>
          <w:highlight w:val="none"/>
          <w:lang w:val="zh-TW" w:eastAsia="zh-CN"/>
          <w14:textFill>
            <w14:solidFill>
              <w14:schemeClr w14:val="tx1"/>
            </w14:solidFill>
          </w14:textFill>
        </w:rPr>
        <w:t>以及市、区有关信息公开工作要求</w:t>
      </w:r>
      <w:r>
        <w:rPr>
          <w:rFonts w:hint="eastAsia" w:ascii="仿宋_GB2312" w:hAnsi="仿宋_GB2312" w:eastAsia="仿宋_GB2312" w:cs="仿宋_GB2312"/>
          <w:color w:val="000000" w:themeColor="text1"/>
          <w:sz w:val="32"/>
          <w:szCs w:val="32"/>
          <w:highlight w:val="none"/>
          <w:lang w:val="zh-TW" w:eastAsia="zh-TW"/>
          <w14:textFill>
            <w14:solidFill>
              <w14:schemeClr w14:val="tx1"/>
            </w14:solidFill>
          </w14:textFill>
        </w:rPr>
        <w:t>，以习近平新时代中国特色社会主义思想为指导，</w:t>
      </w:r>
      <w:r>
        <w:rPr>
          <w:rFonts w:hint="eastAsia" w:ascii="仿宋_GB2312" w:hAnsi="仿宋_GB2312" w:eastAsia="仿宋_GB2312" w:cs="仿宋_GB2312"/>
          <w:color w:val="000000" w:themeColor="text1"/>
          <w:sz w:val="32"/>
          <w:szCs w:val="32"/>
          <w:highlight w:val="none"/>
          <w:lang w:val="zh-TW" w:eastAsia="zh-CN"/>
          <w14:textFill>
            <w14:solidFill>
              <w14:schemeClr w14:val="tx1"/>
            </w14:solidFill>
          </w14:textFill>
        </w:rPr>
        <w:t>认真</w:t>
      </w:r>
      <w:r>
        <w:rPr>
          <w:rFonts w:hint="eastAsia" w:ascii="仿宋_GB2312" w:hAnsi="仿宋_GB2312" w:eastAsia="仿宋_GB2312" w:cs="仿宋_GB2312"/>
          <w:color w:val="000000" w:themeColor="text1"/>
          <w:sz w:val="32"/>
          <w:szCs w:val="32"/>
          <w:highlight w:val="none"/>
          <w:lang w:val="zh-TW" w:eastAsia="zh-TW"/>
          <w14:textFill>
            <w14:solidFill>
              <w14:schemeClr w14:val="tx1"/>
            </w14:solidFill>
          </w14:textFill>
        </w:rPr>
        <w:t>贯彻落实新发展理念</w:t>
      </w:r>
      <w:r>
        <w:rPr>
          <w:rFonts w:hint="eastAsia" w:ascii="仿宋_GB2312" w:hAnsi="仿宋_GB2312" w:eastAsia="仿宋_GB2312" w:cs="仿宋_GB2312"/>
          <w:color w:val="000000" w:themeColor="text1"/>
          <w:sz w:val="32"/>
          <w:szCs w:val="32"/>
          <w:highlight w:val="none"/>
          <w:lang w:val="zh-TW" w:eastAsia="zh-CN"/>
          <w14:textFill>
            <w14:solidFill>
              <w14:schemeClr w14:val="tx1"/>
            </w14:solidFill>
          </w14:textFill>
        </w:rPr>
        <w:t>，坚持以公开透明为基本原则，保障人民群众知情权、参与权和监督权，便于公民、法人或者其他组织依法获取丰台区政府信息。认真做好主动公开、依申请公开、政府信息管理、平台建设、监督保障各项工作，扩大公开范围，健全公开机制</w:t>
      </w:r>
      <w:r>
        <w:rPr>
          <w:rFonts w:hint="eastAsia" w:ascii="仿宋_GB2312" w:hAnsi="仿宋_GB2312" w:eastAsia="仿宋_GB2312" w:cs="仿宋_GB2312"/>
          <w:color w:val="000000" w:themeColor="text1"/>
          <w:sz w:val="32"/>
          <w:szCs w:val="32"/>
          <w:highlight w:val="none"/>
          <w:lang w:val="zh-TW" w:eastAsia="zh-TW"/>
          <w14:textFill>
            <w14:solidFill>
              <w14:schemeClr w14:val="tx1"/>
            </w14:solidFill>
          </w14:textFill>
        </w:rPr>
        <w:t>，</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为建设服务型政府提供保障</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w:t>
      </w:r>
    </w:p>
    <w:p>
      <w:pPr>
        <w:pStyle w:val="15"/>
        <w:keepNext w:val="0"/>
        <w:keepLines w:val="0"/>
        <w:pageBreakBefore w:val="0"/>
        <w:numPr>
          <w:ilvl w:val="0"/>
          <w:numId w:val="0"/>
        </w:numPr>
        <w:kinsoku/>
        <w:wordWrap/>
        <w:overflowPunct/>
        <w:topLinePunct w:val="0"/>
        <w:autoSpaceDE/>
        <w:autoSpaceDN/>
        <w:bidi w:val="0"/>
        <w:adjustRightInd/>
        <w:snapToGrid/>
        <w:spacing w:line="560" w:lineRule="exact"/>
        <w:ind w:left="640" w:leftChars="0"/>
        <w:textAlignment w:val="auto"/>
        <w:rPr>
          <w:rFonts w:ascii="楷体_GB2312" w:hAnsi="楷体_GB2312" w:eastAsia="PMingLiU" w:cs="楷体_GB2312"/>
          <w:sz w:val="32"/>
          <w:szCs w:val="32"/>
          <w:lang w:val="zh-TW" w:eastAsia="zh-TW"/>
        </w:rPr>
      </w:pPr>
      <w:r>
        <w:rPr>
          <w:rFonts w:hint="eastAsia" w:ascii="楷体_GB2312" w:hAnsi="楷体_GB2312" w:eastAsia="楷体_GB2312" w:cs="楷体_GB2312"/>
          <w:sz w:val="32"/>
          <w:szCs w:val="32"/>
          <w:lang w:val="zh-TW" w:eastAsia="zh-CN"/>
        </w:rPr>
        <w:t>（一）</w:t>
      </w:r>
      <w:r>
        <w:rPr>
          <w:rFonts w:ascii="楷体_GB2312" w:hAnsi="楷体_GB2312" w:eastAsia="楷体_GB2312" w:cs="楷体_GB2312"/>
          <w:sz w:val="32"/>
          <w:szCs w:val="32"/>
          <w:lang w:val="zh-TW" w:eastAsia="zh-TW"/>
        </w:rPr>
        <w:t>主动公开情况</w:t>
      </w:r>
    </w:p>
    <w:p>
      <w:pPr>
        <w:pStyle w:val="15"/>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000000" w:themeColor="text1"/>
          <w:kern w:val="2"/>
          <w:sz w:val="32"/>
          <w:szCs w:val="32"/>
          <w:lang w:val="zh-TW"/>
          <w14:textFill>
            <w14:solidFill>
              <w14:schemeClr w14:val="tx1"/>
            </w14:solidFill>
          </w14:textFill>
        </w:rPr>
      </w:pPr>
      <w:r>
        <w:rPr>
          <w:rFonts w:hint="eastAsia" w:ascii="仿宋_GB2312" w:hAnsi="仿宋_GB2312" w:eastAsia="仿宋_GB2312" w:cs="仿宋_GB2312"/>
          <w:b/>
          <w:color w:val="000000" w:themeColor="text1"/>
          <w:sz w:val="32"/>
          <w:szCs w:val="32"/>
          <w:lang w:val="zh-TW" w:eastAsia="zh-TW"/>
          <w14:textFill>
            <w14:solidFill>
              <w14:schemeClr w14:val="tx1"/>
            </w14:solidFill>
          </w14:textFill>
        </w:rPr>
        <w:t>一是</w:t>
      </w:r>
      <w:r>
        <w:rPr>
          <w:rFonts w:hint="eastAsia" w:ascii="仿宋_GB2312" w:hAnsi="仿宋_GB2312" w:eastAsia="仿宋_GB2312" w:cs="仿宋_GB2312"/>
          <w:b w:val="0"/>
          <w:bCs/>
          <w:color w:val="000000" w:themeColor="text1"/>
          <w:sz w:val="32"/>
          <w:szCs w:val="32"/>
          <w:lang w:val="zh-TW" w:eastAsia="zh-CN"/>
          <w14:textFill>
            <w14:solidFill>
              <w14:schemeClr w14:val="tx1"/>
            </w14:solidFill>
          </w14:textFill>
        </w:rPr>
        <w:t>加强</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完善</w:t>
      </w:r>
      <w:r>
        <w:rPr>
          <w:rFonts w:ascii="仿宋_GB2312" w:hAnsi="仿宋_GB2312" w:eastAsia="仿宋_GB2312" w:cs="仿宋_GB2312"/>
          <w:color w:val="000000" w:themeColor="text1"/>
          <w:sz w:val="32"/>
          <w:szCs w:val="32"/>
          <w:lang w:val="zh-TW"/>
          <w14:textFill>
            <w14:solidFill>
              <w14:schemeClr w14:val="tx1"/>
            </w14:solidFill>
          </w14:textFill>
        </w:rPr>
        <w:t>公开</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主</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渠道</w:t>
      </w:r>
      <w:r>
        <w:rPr>
          <w:rFonts w:ascii="仿宋_GB2312" w:hAnsi="仿宋_GB2312" w:eastAsia="仿宋_GB2312" w:cs="仿宋_GB2312"/>
          <w:color w:val="000000" w:themeColor="text1"/>
          <w:sz w:val="32"/>
          <w:szCs w:val="32"/>
          <w:lang w:val="zh-TW"/>
          <w14:textFill>
            <w14:solidFill>
              <w14:schemeClr w14:val="tx1"/>
            </w14:solidFill>
          </w14:textFill>
        </w:rPr>
        <w:t>。</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通过</w:t>
      </w:r>
      <w:r>
        <w:rPr>
          <w:rFonts w:ascii="仿宋_GB2312" w:hAnsi="仿宋_GB2312" w:eastAsia="仿宋_GB2312" w:cs="仿宋_GB2312"/>
          <w:color w:val="000000" w:themeColor="text1"/>
          <w:sz w:val="32"/>
          <w:szCs w:val="32"/>
          <w:lang w:val="zh-TW"/>
          <w14:textFill>
            <w14:solidFill>
              <w14:schemeClr w14:val="tx1"/>
            </w14:solidFill>
          </w14:textFill>
        </w:rPr>
        <w:t>多次召开党组会</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和</w:t>
      </w:r>
      <w:r>
        <w:rPr>
          <w:rFonts w:ascii="仿宋_GB2312" w:hAnsi="仿宋_GB2312" w:eastAsia="仿宋_GB2312" w:cs="仿宋_GB2312"/>
          <w:color w:val="000000" w:themeColor="text1"/>
          <w:sz w:val="32"/>
          <w:szCs w:val="32"/>
          <w:lang w:val="zh-TW"/>
          <w14:textFill>
            <w14:solidFill>
              <w14:schemeClr w14:val="tx1"/>
            </w14:solidFill>
          </w14:textFill>
        </w:rPr>
        <w:t>政府信息公开工作会,</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探索</w:t>
      </w:r>
      <w:r>
        <w:rPr>
          <w:rFonts w:ascii="仿宋_GB2312" w:hAnsi="仿宋_GB2312" w:eastAsia="仿宋_GB2312" w:cs="仿宋_GB2312"/>
          <w:color w:val="000000" w:themeColor="text1"/>
          <w:sz w:val="32"/>
          <w:szCs w:val="32"/>
          <w:lang w:val="zh-TW"/>
          <w14:textFill>
            <w14:solidFill>
              <w14:schemeClr w14:val="tx1"/>
            </w14:solidFill>
          </w14:textFill>
        </w:rPr>
        <w:t>信息公开政策</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新形式、落实</w:t>
      </w:r>
      <w:r>
        <w:rPr>
          <w:rFonts w:ascii="仿宋_GB2312" w:hAnsi="仿宋_GB2312" w:eastAsia="仿宋_GB2312" w:cs="仿宋_GB2312"/>
          <w:color w:val="000000" w:themeColor="text1"/>
          <w:sz w:val="32"/>
          <w:szCs w:val="32"/>
          <w:lang w:val="zh-TW"/>
          <w14:textFill>
            <w14:solidFill>
              <w14:schemeClr w14:val="tx1"/>
            </w14:solidFill>
          </w14:textFill>
        </w:rPr>
        <w:t>有关工作</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新要求</w:t>
      </w:r>
      <w:r>
        <w:rPr>
          <w:rFonts w:ascii="仿宋_GB2312" w:hAnsi="仿宋_GB2312" w:eastAsia="仿宋_GB2312" w:cs="仿宋_GB2312"/>
          <w:color w:val="000000" w:themeColor="text1"/>
          <w:sz w:val="32"/>
          <w:szCs w:val="32"/>
          <w:lang w:val="zh-TW"/>
          <w14:textFill>
            <w14:solidFill>
              <w14:schemeClr w14:val="tx1"/>
            </w14:solidFill>
          </w14:textFill>
        </w:rPr>
        <w:t>,不断健全</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完善各考核指标监督</w:t>
      </w:r>
      <w:r>
        <w:rPr>
          <w:rFonts w:ascii="仿宋_GB2312" w:hAnsi="仿宋_GB2312" w:eastAsia="仿宋_GB2312" w:cs="仿宋_GB2312"/>
          <w:color w:val="000000" w:themeColor="text1"/>
          <w:sz w:val="32"/>
          <w:szCs w:val="32"/>
          <w:lang w:val="zh-TW"/>
          <w14:textFill>
            <w14:solidFill>
              <w14:schemeClr w14:val="tx1"/>
            </w14:solidFill>
          </w14:textFill>
        </w:rPr>
        <w:t>机制,制定</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切实可行</w:t>
      </w:r>
      <w:r>
        <w:rPr>
          <w:rFonts w:ascii="仿宋_GB2312" w:hAnsi="仿宋_GB2312" w:eastAsia="仿宋_GB2312" w:cs="仿宋_GB2312"/>
          <w:color w:val="000000" w:themeColor="text1"/>
          <w:sz w:val="32"/>
          <w:szCs w:val="32"/>
          <w:lang w:val="zh-TW"/>
          <w14:textFill>
            <w14:solidFill>
              <w14:schemeClr w14:val="tx1"/>
            </w14:solidFill>
          </w14:textFill>
        </w:rPr>
        <w:t>实施方案,将信息公开工作落实到</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科室</w:t>
      </w:r>
      <w:r>
        <w:rPr>
          <w:rFonts w:ascii="仿宋_GB2312" w:hAnsi="仿宋_GB2312" w:eastAsia="仿宋_GB2312" w:cs="仿宋_GB2312"/>
          <w:color w:val="000000" w:themeColor="text1"/>
          <w:sz w:val="32"/>
          <w:szCs w:val="32"/>
          <w:lang w:val="zh-TW"/>
          <w14:textFill>
            <w14:solidFill>
              <w14:schemeClr w14:val="tx1"/>
            </w14:solidFill>
          </w14:textFill>
        </w:rPr>
        <w:t>专职工作人员,</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保障</w:t>
      </w:r>
      <w:r>
        <w:rPr>
          <w:rFonts w:ascii="仿宋_GB2312" w:hAnsi="仿宋_GB2312" w:eastAsia="仿宋_GB2312" w:cs="仿宋_GB2312"/>
          <w:color w:val="000000" w:themeColor="text1"/>
          <w:sz w:val="32"/>
          <w:szCs w:val="32"/>
          <w:lang w:val="zh-TW"/>
          <w14:textFill>
            <w14:solidFill>
              <w14:schemeClr w14:val="tx1"/>
            </w14:solidFill>
          </w14:textFill>
        </w:rPr>
        <w:t>政府信息</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公开</w:t>
      </w:r>
      <w:r>
        <w:rPr>
          <w:rFonts w:ascii="仿宋_GB2312" w:hAnsi="仿宋_GB2312" w:eastAsia="仿宋_GB2312" w:cs="仿宋_GB2312"/>
          <w:color w:val="000000" w:themeColor="text1"/>
          <w:sz w:val="32"/>
          <w:szCs w:val="32"/>
          <w:lang w:val="zh-TW"/>
          <w14:textFill>
            <w14:solidFill>
              <w14:schemeClr w14:val="tx1"/>
            </w14:solidFill>
          </w14:textFill>
        </w:rPr>
        <w:t>工作</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有效落地</w:t>
      </w:r>
      <w:r>
        <w:rPr>
          <w:rFonts w:ascii="仿宋_GB2312" w:hAnsi="仿宋_GB2312" w:eastAsia="仿宋_GB2312" w:cs="仿宋_GB2312"/>
          <w:color w:val="000000" w:themeColor="text1"/>
          <w:sz w:val="32"/>
          <w:szCs w:val="32"/>
          <w:lang w:val="zh-TW"/>
          <w14:textFill>
            <w14:solidFill>
              <w14:schemeClr w14:val="tx1"/>
            </w14:solidFill>
          </w14:textFill>
        </w:rPr>
        <w:t>,使政府信息公开工作进展顺利无</w:t>
      </w:r>
      <w:r>
        <w:rPr>
          <w:rFonts w:hint="eastAsia" w:ascii="仿宋_GB2312" w:hAnsi="仿宋_GB2312" w:eastAsia="仿宋_GB2312" w:cs="仿宋_GB2312"/>
          <w:color w:val="000000"/>
          <w:kern w:val="0"/>
          <w:sz w:val="32"/>
          <w:szCs w:val="32"/>
          <w:u w:color="000000"/>
          <w:lang w:val="zh-TW" w:eastAsia="zh-TW" w:bidi="ar-SA"/>
        </w:rPr>
        <w:t>差错</w:t>
      </w:r>
      <w:r>
        <w:rPr>
          <w:rFonts w:hint="eastAsia" w:ascii="仿宋_GB2312" w:hAnsi="仿宋_GB2312" w:eastAsia="仿宋_GB2312" w:cs="仿宋_GB2312"/>
          <w:color w:val="000000"/>
          <w:kern w:val="0"/>
          <w:sz w:val="32"/>
          <w:szCs w:val="32"/>
          <w:u w:color="000000"/>
          <w:lang w:val="zh-TW" w:eastAsia="zh-CN" w:bidi="ar-SA"/>
        </w:rPr>
        <w:t>。2020</w:t>
      </w:r>
      <w:r>
        <w:rPr>
          <w:rFonts w:hint="eastAsia" w:ascii="仿宋_GB2312" w:hAnsi="仿宋_GB2312" w:eastAsia="仿宋_GB2312" w:cs="仿宋_GB2312"/>
          <w:color w:val="000000"/>
          <w:kern w:val="0"/>
          <w:sz w:val="32"/>
          <w:szCs w:val="32"/>
          <w:u w:color="000000"/>
          <w:lang w:val="zh-TW" w:eastAsia="zh-TW" w:bidi="ar-SA"/>
        </w:rPr>
        <w:t>年</w:t>
      </w:r>
      <w:r>
        <w:rPr>
          <w:rFonts w:hint="eastAsia" w:ascii="仿宋_GB2312" w:hAnsi="仿宋_GB2312" w:eastAsia="仿宋_GB2312" w:cs="仿宋_GB2312"/>
          <w:color w:val="000000"/>
          <w:kern w:val="0"/>
          <w:sz w:val="32"/>
          <w:szCs w:val="32"/>
          <w:u w:color="000000"/>
          <w:lang w:val="zh-TW" w:eastAsia="zh-CN" w:bidi="ar-SA"/>
        </w:rPr>
        <w:t>丰台区政府网站主动公开</w:t>
      </w:r>
      <w:r>
        <w:rPr>
          <w:rFonts w:hint="eastAsia" w:ascii="仿宋_GB2312" w:hAnsi="仿宋_GB2312" w:eastAsia="仿宋_GB2312" w:cs="仿宋_GB2312"/>
          <w:color w:val="000000"/>
          <w:kern w:val="0"/>
          <w:sz w:val="32"/>
          <w:szCs w:val="32"/>
          <w:u w:color="000000"/>
          <w:lang w:val="zh-TW" w:eastAsia="zh-TW" w:bidi="ar-SA"/>
        </w:rPr>
        <w:t>信息</w:t>
      </w:r>
      <w:r>
        <w:rPr>
          <w:rFonts w:hint="eastAsia" w:ascii="仿宋_GB2312" w:hAnsi="仿宋_GB2312" w:eastAsia="仿宋_GB2312" w:cs="仿宋_GB2312"/>
          <w:color w:val="000000"/>
          <w:kern w:val="0"/>
          <w:sz w:val="32"/>
          <w:szCs w:val="32"/>
          <w:u w:color="000000"/>
          <w:lang w:val="en-US" w:eastAsia="zh-CN" w:bidi="ar-SA"/>
        </w:rPr>
        <w:t>10,246</w:t>
      </w:r>
      <w:r>
        <w:rPr>
          <w:rFonts w:hint="eastAsia" w:ascii="仿宋_GB2312" w:hAnsi="仿宋_GB2312" w:eastAsia="仿宋_GB2312" w:cs="仿宋_GB2312"/>
          <w:color w:val="000000"/>
          <w:kern w:val="0"/>
          <w:sz w:val="32"/>
          <w:szCs w:val="32"/>
          <w:u w:color="000000"/>
          <w:lang w:val="zh-TW" w:eastAsia="zh-TW" w:bidi="ar-SA"/>
        </w:rPr>
        <w:t>条</w:t>
      </w:r>
      <w:r>
        <w:rPr>
          <w:rFonts w:hint="eastAsia" w:ascii="仿宋_GB2312" w:hAnsi="仿宋_GB2312" w:eastAsia="仿宋_GB2312" w:cs="仿宋_GB2312"/>
          <w:color w:val="000000"/>
          <w:kern w:val="0"/>
          <w:sz w:val="32"/>
          <w:szCs w:val="32"/>
          <w:u w:color="000000"/>
          <w:lang w:val="zh-TW" w:eastAsia="zh-CN" w:bidi="ar-SA"/>
        </w:rPr>
        <w:t>，政务新媒体“北京丰台”微博主动公开信息</w:t>
      </w:r>
      <w:r>
        <w:rPr>
          <w:rFonts w:hint="eastAsia" w:ascii="仿宋_GB2312" w:hAnsi="仿宋_GB2312" w:eastAsia="仿宋_GB2312" w:cs="仿宋_GB2312"/>
          <w:color w:val="000000"/>
          <w:kern w:val="0"/>
          <w:sz w:val="32"/>
          <w:szCs w:val="32"/>
          <w:u w:color="000000"/>
          <w:lang w:val="en-US" w:eastAsia="zh-CN" w:bidi="ar-SA"/>
        </w:rPr>
        <w:t>4,695条，“北京丰台”微信公众号主动公开信息2,500条，</w:t>
      </w:r>
      <w:r>
        <w:rPr>
          <w:rFonts w:hint="eastAsia" w:ascii="仿宋_GB2312" w:hAnsi="仿宋_GB2312" w:eastAsia="仿宋_GB2312" w:cs="仿宋_GB2312"/>
          <w:color w:val="000000"/>
          <w:kern w:val="0"/>
          <w:sz w:val="32"/>
          <w:szCs w:val="32"/>
          <w:u w:color="000000"/>
          <w:lang w:val="zh-TW" w:eastAsia="zh-CN" w:bidi="ar-SA"/>
        </w:rPr>
        <w:t>“北京丰台”客户端主动公开信息4</w:t>
      </w:r>
      <w:r>
        <w:rPr>
          <w:rFonts w:hint="eastAsia" w:ascii="仿宋_GB2312" w:hAnsi="仿宋_GB2312" w:eastAsia="仿宋_GB2312" w:cs="仿宋_GB2312"/>
          <w:color w:val="000000"/>
          <w:kern w:val="0"/>
          <w:sz w:val="32"/>
          <w:szCs w:val="32"/>
          <w:u w:color="000000"/>
          <w:lang w:val="en-US" w:eastAsia="zh-CN" w:bidi="ar-SA"/>
        </w:rPr>
        <w:t>,</w:t>
      </w:r>
      <w:r>
        <w:rPr>
          <w:rFonts w:hint="eastAsia" w:ascii="仿宋_GB2312" w:hAnsi="仿宋_GB2312" w:eastAsia="仿宋_GB2312" w:cs="仿宋_GB2312"/>
          <w:color w:val="000000"/>
          <w:kern w:val="0"/>
          <w:sz w:val="32"/>
          <w:szCs w:val="32"/>
          <w:u w:color="000000"/>
          <w:lang w:val="zh-TW" w:eastAsia="zh-CN" w:bidi="ar-SA"/>
        </w:rPr>
        <w:t>784条，今日头条“北京丰台”公众号主动公开信息446条，快手“丰台发布”公众号发布视频1</w:t>
      </w:r>
      <w:r>
        <w:rPr>
          <w:rFonts w:hint="eastAsia" w:ascii="仿宋_GB2312" w:hAnsi="仿宋_GB2312" w:eastAsia="仿宋_GB2312" w:cs="仿宋_GB2312"/>
          <w:color w:val="000000"/>
          <w:kern w:val="0"/>
          <w:sz w:val="32"/>
          <w:szCs w:val="32"/>
          <w:u w:color="000000"/>
          <w:lang w:val="en-US" w:eastAsia="zh-CN" w:bidi="ar-SA"/>
        </w:rPr>
        <w:t>,</w:t>
      </w:r>
      <w:r>
        <w:rPr>
          <w:rFonts w:hint="eastAsia" w:ascii="仿宋_GB2312" w:hAnsi="仿宋_GB2312" w:eastAsia="仿宋_GB2312" w:cs="仿宋_GB2312"/>
          <w:color w:val="000000"/>
          <w:kern w:val="0"/>
          <w:sz w:val="32"/>
          <w:szCs w:val="32"/>
          <w:u w:color="000000"/>
          <w:lang w:val="zh-TW" w:eastAsia="zh-CN" w:bidi="ar-SA"/>
        </w:rPr>
        <w:t>456个</w:t>
      </w:r>
      <w:r>
        <w:rPr>
          <w:rFonts w:hint="eastAsia" w:ascii="仿宋_GB2312" w:hAnsi="仿宋_GB2312" w:eastAsia="仿宋_GB2312" w:cs="仿宋_GB2312"/>
          <w:color w:val="000000"/>
          <w:kern w:val="0"/>
          <w:sz w:val="32"/>
          <w:szCs w:val="32"/>
          <w:u w:color="000000"/>
          <w:lang w:val="en-US" w:eastAsia="zh-CN" w:bidi="ar-SA"/>
        </w:rPr>
        <w:t>,</w:t>
      </w:r>
      <w:r>
        <w:rPr>
          <w:rFonts w:hint="eastAsia" w:ascii="仿宋_GB2312" w:hAnsi="仿宋_GB2312" w:eastAsia="仿宋_GB2312" w:cs="仿宋_GB2312"/>
          <w:color w:val="000000"/>
          <w:kern w:val="0"/>
          <w:sz w:val="32"/>
          <w:szCs w:val="32"/>
          <w:u w:color="000000"/>
          <w:lang w:val="zh-TW" w:eastAsia="zh-CN" w:bidi="ar-SA"/>
        </w:rPr>
        <w:t>抖音“丰台发布”公众号发布视频1</w:t>
      </w:r>
      <w:r>
        <w:rPr>
          <w:rFonts w:hint="eastAsia" w:ascii="仿宋_GB2312" w:hAnsi="仿宋_GB2312" w:eastAsia="仿宋_GB2312" w:cs="仿宋_GB2312"/>
          <w:color w:val="000000"/>
          <w:kern w:val="0"/>
          <w:sz w:val="32"/>
          <w:szCs w:val="32"/>
          <w:u w:color="000000"/>
          <w:lang w:val="en-US" w:eastAsia="zh-CN" w:bidi="ar-SA"/>
        </w:rPr>
        <w:t>,</w:t>
      </w:r>
      <w:r>
        <w:rPr>
          <w:rFonts w:hint="eastAsia" w:ascii="仿宋_GB2312" w:hAnsi="仿宋_GB2312" w:eastAsia="仿宋_GB2312" w:cs="仿宋_GB2312"/>
          <w:color w:val="000000"/>
          <w:kern w:val="0"/>
          <w:sz w:val="32"/>
          <w:szCs w:val="32"/>
          <w:u w:color="000000"/>
          <w:lang w:val="zh-TW" w:eastAsia="zh-CN" w:bidi="ar-SA"/>
        </w:rPr>
        <w:t>389条</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w:t>
      </w:r>
      <w:r>
        <w:rPr>
          <w:rFonts w:ascii="仿宋_GB2312" w:hAnsi="仿宋_GB2312" w:eastAsia="仿宋_GB2312" w:cs="仿宋_GB2312"/>
          <w:b/>
          <w:color w:val="000000" w:themeColor="text1"/>
          <w:kern w:val="2"/>
          <w:sz w:val="32"/>
          <w:szCs w:val="32"/>
          <w:lang w:val="zh-TW"/>
          <w14:textFill>
            <w14:solidFill>
              <w14:schemeClr w14:val="tx1"/>
            </w14:solidFill>
          </w14:textFill>
        </w:rPr>
        <w:t>二</w:t>
      </w:r>
      <w:r>
        <w:rPr>
          <w:rFonts w:ascii="仿宋_GB2312" w:hAnsi="仿宋_GB2312" w:eastAsia="仿宋_GB2312" w:cs="仿宋_GB2312"/>
          <w:b/>
          <w:color w:val="000000" w:themeColor="text1"/>
          <w:kern w:val="2"/>
          <w:sz w:val="32"/>
          <w:szCs w:val="32"/>
          <w:lang w:val="zh-TW" w:eastAsia="zh-TW"/>
          <w14:textFill>
            <w14:solidFill>
              <w14:schemeClr w14:val="tx1"/>
            </w14:solidFill>
          </w14:textFill>
        </w:rPr>
        <w:t>是</w:t>
      </w:r>
      <w:r>
        <w:rPr>
          <w:rFonts w:hint="eastAsia" w:ascii="仿宋_GB2312" w:eastAsia="仿宋_GB2312"/>
          <w:color w:val="000000" w:themeColor="text1"/>
          <w:sz w:val="32"/>
          <w:szCs w:val="32"/>
          <w:lang w:eastAsia="zh-CN"/>
          <w14:textFill>
            <w14:solidFill>
              <w14:schemeClr w14:val="tx1"/>
            </w14:solidFill>
          </w14:textFill>
        </w:rPr>
        <w:t>强化顶层设计，印发</w:t>
      </w:r>
      <w:r>
        <w:rPr>
          <w:rFonts w:hint="eastAsia" w:ascii="仿宋_GB2312" w:eastAsia="仿宋_GB2312"/>
          <w:color w:val="000000" w:themeColor="text1"/>
          <w:sz w:val="32"/>
          <w:szCs w:val="32"/>
          <w14:textFill>
            <w14:solidFill>
              <w14:schemeClr w14:val="tx1"/>
            </w14:solidFill>
          </w14:textFill>
        </w:rPr>
        <w:t>《丰台区2020年政务公开工作要点》及《全区重点任务分解》，明确新时代政务公开工作的指导思想、基本原则、工作目标和重要路径</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形成</w:t>
      </w:r>
      <w:r>
        <w:rPr>
          <w:rFonts w:ascii="仿宋_GB2312" w:hAnsi="仿宋_GB2312" w:eastAsia="仿宋_GB2312" w:cs="仿宋_GB2312"/>
          <w:color w:val="000000" w:themeColor="text1"/>
          <w:sz w:val="32"/>
          <w:szCs w:val="32"/>
          <w:lang w:val="zh-TW"/>
          <w14:textFill>
            <w14:solidFill>
              <w14:schemeClr w14:val="tx1"/>
            </w14:solidFill>
          </w14:textFill>
        </w:rPr>
        <w:t>信息报送、记录</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、公开、归档</w:t>
      </w:r>
      <w:r>
        <w:rPr>
          <w:rFonts w:ascii="仿宋_GB2312" w:hAnsi="仿宋_GB2312" w:eastAsia="仿宋_GB2312" w:cs="仿宋_GB2312"/>
          <w:color w:val="000000" w:themeColor="text1"/>
          <w:sz w:val="32"/>
          <w:szCs w:val="32"/>
          <w:lang w:val="zh-TW"/>
          <w14:textFill>
            <w14:solidFill>
              <w14:schemeClr w14:val="tx1"/>
            </w14:solidFill>
          </w14:textFill>
        </w:rPr>
        <w:t>的</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长效</w:t>
      </w:r>
      <w:r>
        <w:rPr>
          <w:rFonts w:ascii="仿宋_GB2312" w:hAnsi="仿宋_GB2312" w:eastAsia="仿宋_GB2312" w:cs="仿宋_GB2312"/>
          <w:color w:val="000000" w:themeColor="text1"/>
          <w:sz w:val="32"/>
          <w:szCs w:val="32"/>
          <w:lang w:val="zh-TW"/>
          <w14:textFill>
            <w14:solidFill>
              <w14:schemeClr w14:val="tx1"/>
            </w14:solidFill>
          </w14:textFill>
        </w:rPr>
        <w:t>工作机制</w:t>
      </w:r>
      <w:r>
        <w:rPr>
          <w:rFonts w:ascii="仿宋_GB2312" w:hAnsi="仿宋_GB2312" w:eastAsia="仿宋_GB2312" w:cs="仿宋_GB2312"/>
          <w:color w:val="000000" w:themeColor="text1"/>
          <w:kern w:val="2"/>
          <w:sz w:val="32"/>
          <w:szCs w:val="32"/>
          <w:lang w:val="zh-TW"/>
          <w14:textFill>
            <w14:solidFill>
              <w14:schemeClr w14:val="tx1"/>
            </w14:solidFill>
          </w14:textFill>
        </w:rPr>
        <w:t>。</w:t>
      </w:r>
    </w:p>
    <w:p>
      <w:pPr>
        <w:pStyle w:val="15"/>
        <w:keepNext w:val="0"/>
        <w:keepLines w:val="0"/>
        <w:pageBreakBefore w:val="0"/>
        <w:kinsoku/>
        <w:wordWrap/>
        <w:overflowPunct/>
        <w:topLinePunct w:val="0"/>
        <w:autoSpaceDE/>
        <w:autoSpaceDN/>
        <w:bidi w:val="0"/>
        <w:adjustRightInd/>
        <w:snapToGrid/>
        <w:spacing w:line="560" w:lineRule="exact"/>
        <w:ind w:firstLine="640"/>
        <w:textAlignment w:val="auto"/>
        <w:rPr>
          <w:rFonts w:ascii="楷体_GB2312" w:hAnsi="楷体_GB2312" w:eastAsia="楷体_GB2312" w:cs="楷体_GB2312"/>
          <w:sz w:val="32"/>
          <w:szCs w:val="32"/>
          <w:lang w:val="zh-TW" w:eastAsia="zh-TW"/>
        </w:rPr>
      </w:pPr>
      <w:r>
        <w:rPr>
          <w:rFonts w:ascii="楷体_GB2312" w:hAnsi="楷体_GB2312" w:eastAsia="楷体_GB2312" w:cs="楷体_GB2312"/>
          <w:sz w:val="32"/>
          <w:szCs w:val="32"/>
          <w:lang w:val="zh-TW" w:eastAsia="zh-TW"/>
        </w:rPr>
        <w:t>（二）依申请公开办理情况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lang w:val="zh-TW" w:eastAsia="zh-TW"/>
        </w:rPr>
        <w:t>年</w:t>
      </w:r>
      <w:r>
        <w:rPr>
          <w:rFonts w:hint="eastAsia" w:ascii="仿宋_GB2312" w:hAnsi="仿宋_GB2312" w:eastAsia="仿宋_GB2312" w:cs="仿宋_GB2312"/>
          <w:sz w:val="32"/>
          <w:szCs w:val="32"/>
          <w:lang w:val="zh-TW"/>
        </w:rPr>
        <w:t>，全区</w:t>
      </w:r>
      <w:bookmarkStart w:id="0" w:name="_GoBack"/>
      <w:bookmarkEnd w:id="0"/>
      <w:r>
        <w:rPr>
          <w:rFonts w:hint="eastAsia" w:ascii="仿宋_GB2312" w:hAnsi="仿宋_GB2312" w:eastAsia="仿宋_GB2312" w:cs="仿宋_GB2312"/>
          <w:sz w:val="32"/>
          <w:szCs w:val="32"/>
          <w:lang w:val="zh-TW" w:eastAsia="zh-TW"/>
        </w:rPr>
        <w:t>共收到政府信息公开</w:t>
      </w:r>
      <w:r>
        <w:rPr>
          <w:rFonts w:hint="eastAsia" w:ascii="仿宋_GB2312" w:hAnsi="仿宋_GB2312" w:eastAsia="仿宋_GB2312" w:cs="仿宋_GB2312"/>
          <w:sz w:val="32"/>
          <w:szCs w:val="32"/>
          <w:lang w:val="zh-TW"/>
        </w:rPr>
        <w:t>申请</w:t>
      </w:r>
      <w:r>
        <w:rPr>
          <w:rFonts w:hint="eastAsia" w:ascii="仿宋_GB2312" w:hAnsi="仿宋_GB2312" w:eastAsia="仿宋_GB2312" w:cs="仿宋_GB2312"/>
          <w:sz w:val="32"/>
          <w:szCs w:val="32"/>
          <w:lang w:val="en-US" w:eastAsia="zh-CN"/>
        </w:rPr>
        <w:t>1,092</w:t>
      </w:r>
      <w:r>
        <w:rPr>
          <w:rFonts w:hint="eastAsia" w:ascii="仿宋_GB2312" w:hAnsi="仿宋_GB2312" w:eastAsia="仿宋_GB2312" w:cs="仿宋_GB2312"/>
          <w:sz w:val="32"/>
          <w:szCs w:val="32"/>
          <w:lang w:val="zh-TW" w:eastAsia="zh-TW"/>
        </w:rPr>
        <w:t>件，</w:t>
      </w:r>
      <w:r>
        <w:rPr>
          <w:rFonts w:hint="eastAsia" w:ascii="仿宋_GB2312" w:hAnsi="仿宋_GB2312" w:eastAsia="仿宋_GB2312" w:cs="仿宋_GB2312"/>
          <w:sz w:val="32"/>
          <w:szCs w:val="32"/>
          <w:lang w:val="zh-TW"/>
        </w:rPr>
        <w:t>办结</w:t>
      </w:r>
      <w:r>
        <w:rPr>
          <w:rFonts w:hint="eastAsia" w:ascii="仿宋_GB2312" w:hAnsi="仿宋_GB2312" w:eastAsia="仿宋_GB2312" w:cs="仿宋_GB2312"/>
          <w:sz w:val="32"/>
          <w:szCs w:val="32"/>
          <w:lang w:val="en-US" w:eastAsia="zh-CN"/>
        </w:rPr>
        <w:t>1,005</w:t>
      </w:r>
      <w:r>
        <w:rPr>
          <w:rFonts w:hint="eastAsia" w:ascii="仿宋_GB2312" w:hAnsi="仿宋_GB2312" w:eastAsia="仿宋_GB2312" w:cs="仿宋_GB2312"/>
          <w:sz w:val="32"/>
          <w:szCs w:val="32"/>
          <w:lang w:val="zh-TW" w:eastAsia="zh-TW"/>
        </w:rPr>
        <w:t>件</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lang w:val="zh-TW" w:eastAsia="zh-TW"/>
        </w:rPr>
        <w:t>自</w:t>
      </w:r>
      <w:r>
        <w:rPr>
          <w:rFonts w:hint="eastAsia" w:ascii="仿宋_GB2312" w:hAnsi="仿宋_GB2312" w:eastAsia="仿宋_GB2312" w:cs="仿宋_GB2312"/>
          <w:sz w:val="32"/>
          <w:szCs w:val="32"/>
        </w:rPr>
        <w:t>上年度</w:t>
      </w:r>
      <w:r>
        <w:rPr>
          <w:rFonts w:hint="eastAsia" w:ascii="仿宋_GB2312" w:hAnsi="仿宋_GB2312" w:eastAsia="仿宋_GB2312" w:cs="仿宋_GB2312"/>
          <w:sz w:val="32"/>
          <w:szCs w:val="32"/>
          <w:lang w:val="zh-TW" w:eastAsia="zh-TW"/>
        </w:rPr>
        <w:t>结转</w:t>
      </w:r>
      <w:r>
        <w:rPr>
          <w:rFonts w:hint="eastAsia" w:ascii="仿宋_GB2312" w:hAnsi="仿宋_GB2312" w:eastAsia="仿宋_GB2312" w:cs="仿宋_GB2312"/>
          <w:sz w:val="32"/>
          <w:szCs w:val="32"/>
          <w:lang w:val="en-US" w:eastAsia="zh-CN"/>
        </w:rPr>
        <w:t>136</w:t>
      </w:r>
      <w:r>
        <w:rPr>
          <w:rFonts w:hint="eastAsia" w:ascii="仿宋_GB2312" w:hAnsi="仿宋_GB2312" w:eastAsia="仿宋_GB2312" w:cs="仿宋_GB2312"/>
          <w:sz w:val="32"/>
          <w:szCs w:val="32"/>
          <w:lang w:val="zh-TW" w:eastAsia="zh-TW"/>
        </w:rPr>
        <w:t>件，结转</w:t>
      </w:r>
      <w:r>
        <w:rPr>
          <w:rFonts w:hint="eastAsia" w:ascii="仿宋_GB2312" w:hAnsi="仿宋_GB2312" w:eastAsia="仿宋_GB2312" w:cs="仿宋_GB2312"/>
          <w:sz w:val="32"/>
          <w:szCs w:val="32"/>
          <w:lang w:val="zh-TW"/>
        </w:rPr>
        <w:t>下一年度办理</w:t>
      </w:r>
      <w:r>
        <w:rPr>
          <w:rFonts w:hint="eastAsia" w:ascii="仿宋_GB2312" w:hAnsi="仿宋_GB2312" w:eastAsia="仿宋_GB2312" w:cs="仿宋_GB2312"/>
          <w:sz w:val="32"/>
          <w:szCs w:val="32"/>
          <w:lang w:val="en-US" w:eastAsia="zh-CN"/>
        </w:rPr>
        <w:t>87</w:t>
      </w:r>
      <w:r>
        <w:rPr>
          <w:rFonts w:hint="eastAsia" w:ascii="仿宋_GB2312" w:hAnsi="仿宋_GB2312" w:eastAsia="仿宋_GB2312" w:cs="仿宋_GB2312"/>
          <w:sz w:val="32"/>
          <w:szCs w:val="32"/>
          <w:lang w:val="zh-TW" w:eastAsia="zh-TW"/>
        </w:rPr>
        <w:t>件。</w:t>
      </w:r>
      <w:r>
        <w:rPr>
          <w:rFonts w:hint="eastAsia" w:ascii="仿宋_GB2312" w:hAnsi="仿宋_GB2312" w:eastAsia="仿宋_GB2312" w:cs="仿宋_GB2312"/>
          <w:sz w:val="32"/>
          <w:szCs w:val="32"/>
          <w:lang w:val="zh-TW"/>
        </w:rPr>
        <w:t>从办理结果看：</w:t>
      </w:r>
      <w:r>
        <w:rPr>
          <w:rFonts w:hint="eastAsia" w:ascii="仿宋_GB2312" w:hAnsi="仿宋_GB2312" w:eastAsia="仿宋_GB2312" w:cs="仿宋_GB2312"/>
          <w:sz w:val="32"/>
          <w:szCs w:val="32"/>
          <w:lang w:val="zh-TW" w:eastAsia="zh-TW"/>
        </w:rPr>
        <w:t>予以公开</w:t>
      </w:r>
      <w:r>
        <w:rPr>
          <w:rFonts w:hint="eastAsia" w:ascii="仿宋_GB2312" w:hAnsi="仿宋_GB2312" w:eastAsia="仿宋_GB2312" w:cs="仿宋_GB2312"/>
          <w:sz w:val="32"/>
          <w:szCs w:val="32"/>
          <w:lang w:val="en-US" w:eastAsia="zh-CN"/>
        </w:rPr>
        <w:t>279</w:t>
      </w:r>
      <w:r>
        <w:rPr>
          <w:rFonts w:hint="eastAsia" w:ascii="仿宋_GB2312" w:hAnsi="仿宋_GB2312" w:eastAsia="仿宋_GB2312" w:cs="仿宋_GB2312"/>
          <w:sz w:val="32"/>
          <w:szCs w:val="32"/>
          <w:lang w:val="zh-TW" w:eastAsia="zh-TW"/>
        </w:rPr>
        <w:t>件；部分公开</w:t>
      </w:r>
      <w:r>
        <w:rPr>
          <w:rFonts w:hint="eastAsia" w:ascii="仿宋_GB2312" w:hAnsi="仿宋_GB2312" w:eastAsia="仿宋_GB2312" w:cs="仿宋_GB2312"/>
          <w:sz w:val="32"/>
          <w:szCs w:val="32"/>
        </w:rPr>
        <w:t>35</w:t>
      </w:r>
      <w:r>
        <w:rPr>
          <w:rFonts w:hint="eastAsia" w:ascii="仿宋_GB2312" w:hAnsi="仿宋_GB2312" w:eastAsia="仿宋_GB2312" w:cs="仿宋_GB2312"/>
          <w:sz w:val="32"/>
          <w:szCs w:val="32"/>
          <w:lang w:val="zh-TW" w:eastAsia="zh-TW"/>
        </w:rPr>
        <w:t>件；不予公开</w:t>
      </w:r>
      <w:r>
        <w:rPr>
          <w:rFonts w:hint="eastAsia" w:ascii="仿宋_GB2312" w:hAnsi="仿宋_GB2312" w:eastAsia="仿宋_GB2312" w:cs="仿宋_GB2312"/>
          <w:sz w:val="32"/>
          <w:szCs w:val="32"/>
          <w:lang w:val="en-US" w:eastAsia="zh-CN"/>
        </w:rPr>
        <w:t>59</w:t>
      </w:r>
      <w:r>
        <w:rPr>
          <w:rFonts w:hint="eastAsia" w:ascii="仿宋_GB2312" w:hAnsi="仿宋_GB2312" w:eastAsia="仿宋_GB2312" w:cs="仿宋_GB2312"/>
          <w:sz w:val="32"/>
          <w:szCs w:val="32"/>
          <w:lang w:val="zh-TW" w:eastAsia="zh-TW"/>
        </w:rPr>
        <w:t>件；无法提供</w:t>
      </w:r>
      <w:r>
        <w:rPr>
          <w:rFonts w:hint="eastAsia" w:ascii="仿宋_GB2312" w:hAnsi="仿宋_GB2312" w:eastAsia="仿宋_GB2312" w:cs="仿宋_GB2312"/>
          <w:sz w:val="32"/>
          <w:szCs w:val="32"/>
          <w:lang w:val="en-US" w:eastAsia="zh-CN"/>
        </w:rPr>
        <w:t>525</w:t>
      </w:r>
      <w:r>
        <w:rPr>
          <w:rFonts w:hint="eastAsia" w:ascii="仿宋_GB2312" w:hAnsi="仿宋_GB2312" w:eastAsia="仿宋_GB2312" w:cs="仿宋_GB2312"/>
          <w:sz w:val="32"/>
          <w:szCs w:val="32"/>
          <w:lang w:val="zh-TW" w:eastAsia="zh-TW"/>
        </w:rPr>
        <w:t>件；不予处理</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lang w:val="zh-TW" w:eastAsia="zh-TW"/>
        </w:rPr>
        <w:t>件；其他处理</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lang w:val="zh-TW" w:eastAsia="zh-TW"/>
        </w:rPr>
        <w:t>件。</w:t>
      </w:r>
    </w:p>
    <w:p>
      <w:pPr>
        <w:pStyle w:val="15"/>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shd w:val="clear" w:color="auto" w:fill="auto"/>
          <w:lang w:val="zh-TW" w:eastAsia="zh-TW"/>
        </w:rPr>
      </w:pPr>
      <w:r>
        <w:rPr>
          <w:rFonts w:hint="eastAsia" w:ascii="楷体_GB2312" w:hAnsi="楷体_GB2312" w:eastAsia="楷体_GB2312" w:cs="楷体_GB2312"/>
          <w:sz w:val="32"/>
          <w:szCs w:val="32"/>
          <w:shd w:val="clear" w:color="auto" w:fill="auto"/>
          <w:lang w:val="zh-TW" w:eastAsia="zh-CN"/>
        </w:rPr>
        <w:t>（三）</w:t>
      </w:r>
      <w:r>
        <w:rPr>
          <w:rFonts w:ascii="楷体_GB2312" w:hAnsi="楷体_GB2312" w:eastAsia="楷体_GB2312" w:cs="楷体_GB2312"/>
          <w:sz w:val="32"/>
          <w:szCs w:val="32"/>
          <w:shd w:val="clear" w:color="auto" w:fill="auto"/>
          <w:lang w:val="zh-TW" w:eastAsia="zh-TW"/>
        </w:rPr>
        <w:t>政府信息资源的规范化、标准化管理情况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zh-TW" w:eastAsia="zh-CN"/>
        </w:rPr>
      </w:pPr>
      <w:r>
        <w:rPr>
          <w:rFonts w:hint="eastAsia" w:ascii="仿宋_GB2312" w:hAnsi="仿宋_GB2312" w:eastAsia="仿宋_GB2312" w:cs="仿宋_GB2312"/>
          <w:sz w:val="32"/>
          <w:szCs w:val="32"/>
          <w:lang w:val="zh-TW" w:eastAsia="zh-CN"/>
        </w:rPr>
        <w:t>根据《政府信息公开条例》第二条之规定，政府信息是指行政机关在履行行政管理职能过程中制作或者获取的，以一定形式记录、保存的信息。公开政府信息采取主动公开和依申请公开两种方式。</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zh-TW" w:eastAsia="zh-CN"/>
        </w:rPr>
      </w:pPr>
      <w:r>
        <w:rPr>
          <w:rFonts w:hint="eastAsia" w:ascii="仿宋_GB2312" w:hAnsi="仿宋_GB2312" w:eastAsia="仿宋_GB2312" w:cs="仿宋_GB2312"/>
          <w:sz w:val="32"/>
          <w:szCs w:val="32"/>
          <w:lang w:val="zh-TW" w:eastAsia="zh-CN"/>
        </w:rPr>
        <w:t>主动公开方面。各单位严格按照《政府信息公开条例》要求动态更新主动公开全清单和政府信息公开指南，确保政府信息公开的渠道和内容精确详实，方便公众获取准确的政府信息。区政府网站开通“五公开”相关栏目，各单位按照决策公开、执行公开、管理公开、服务公开、结果公开的要求，公开相应的政府信息供公众了解，方便公众办事。制定政策性文件前通过区政府网站政策性文件意见征集栏目向社会公开征集意见，提高政策制定的科学性。按月公布区政府备案登记的行政规范性文件目录。定期向市级相关部门移送规范性文件。通过区政府网站重要民生实事项目等栏目定期向社会公开政务执行情况。通过政府公告、政府常务会栏目向社会公布区政府及区级各单位政府管理信息。通过政务服务板块公开个人、法人、部门等办事服务信息。通过信用服务板块公开行政许可、行政强制、行政处罚等结果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hAnsi="仿宋_GB2312" w:eastAsia="仿宋_GB2312" w:cs="仿宋_GB2312"/>
          <w:sz w:val="32"/>
          <w:szCs w:val="32"/>
          <w:lang w:val="zh-TW" w:eastAsia="zh-CN"/>
        </w:rPr>
        <w:t>依申请公开方面。</w:t>
      </w:r>
      <w:r>
        <w:rPr>
          <w:rFonts w:hint="eastAsia" w:ascii="仿宋_GB2312" w:eastAsia="仿宋_GB2312"/>
          <w:sz w:val="32"/>
          <w:szCs w:val="32"/>
          <w:lang w:eastAsia="zh-CN"/>
        </w:rPr>
        <w:t>依法依规办理政府信息依申请公开，按月总结当月依申请受理的阶段重点，持续推进政府信息从依申请向主动公开的转化，提升全区政府信息公开工作水平。整理并</w:t>
      </w:r>
      <w:r>
        <w:rPr>
          <w:rFonts w:hint="eastAsia" w:ascii="仿宋_GB2312" w:eastAsia="仿宋_GB2312"/>
          <w:color w:val="auto"/>
          <w:sz w:val="32"/>
          <w:szCs w:val="32"/>
          <w:lang w:eastAsia="zh-CN"/>
        </w:rPr>
        <w:t>向全区各单位</w:t>
      </w:r>
      <w:r>
        <w:rPr>
          <w:rFonts w:hint="eastAsia" w:ascii="仿宋_GB2312" w:eastAsia="仿宋_GB2312"/>
          <w:sz w:val="32"/>
          <w:szCs w:val="32"/>
          <w:lang w:eastAsia="zh-CN"/>
        </w:rPr>
        <w:t>发布依申请公开所涉法规、司法解释、高院审理规定等，以及在</w:t>
      </w:r>
      <w:r>
        <w:rPr>
          <w:rFonts w:hint="eastAsia" w:ascii="仿宋_GB2312" w:hAnsi="仿宋_GB2312" w:eastAsia="仿宋_GB2312" w:cs="仿宋_GB2312"/>
          <w:sz w:val="32"/>
          <w:szCs w:val="32"/>
          <w:lang w:val="zh-TW" w:eastAsia="zh-CN"/>
        </w:rPr>
        <w:t>实际</w:t>
      </w:r>
      <w:r>
        <w:rPr>
          <w:rFonts w:hint="eastAsia" w:ascii="仿宋_GB2312" w:eastAsia="仿宋_GB2312"/>
          <w:sz w:val="32"/>
          <w:szCs w:val="32"/>
          <w:lang w:eastAsia="zh-CN"/>
        </w:rPr>
        <w:t>工作中经常用到的法律及部门规章，法院的判例等，提升各单位依申请办理人员的法律素养，提高依申请办件能力。</w:t>
      </w:r>
    </w:p>
    <w:p>
      <w:pPr>
        <w:pStyle w:val="15"/>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楷体_GB2312" w:hAnsi="楷体_GB2312" w:eastAsia="PMingLiU" w:cs="楷体_GB2312"/>
          <w:sz w:val="32"/>
          <w:szCs w:val="32"/>
          <w:shd w:val="clear" w:color="auto" w:fill="auto"/>
          <w:lang w:val="zh-TW" w:eastAsia="zh-TW"/>
        </w:rPr>
      </w:pPr>
      <w:r>
        <w:rPr>
          <w:rFonts w:ascii="楷体_GB2312" w:hAnsi="楷体_GB2312" w:eastAsia="楷体_GB2312" w:cs="楷体_GB2312"/>
          <w:sz w:val="32"/>
          <w:szCs w:val="32"/>
          <w:shd w:val="clear" w:color="auto" w:fill="auto"/>
          <w:lang w:val="zh-TW" w:eastAsia="zh-TW"/>
        </w:rPr>
        <w:t>（四）政府信息公开平台建设情况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color w:val="000000"/>
          <w:sz w:val="32"/>
          <w:szCs w:val="32"/>
          <w:lang w:val="zh-TW" w:eastAsia="zh-CN"/>
        </w:rPr>
        <w:t>主动公开平台建设情况。</w:t>
      </w:r>
      <w:r>
        <w:rPr>
          <w:rFonts w:hint="eastAsia" w:ascii="仿宋_GB2312" w:hAnsi="仿宋_GB2312" w:eastAsia="仿宋_GB2312" w:cs="仿宋_GB2312"/>
          <w:sz w:val="32"/>
          <w:szCs w:val="32"/>
          <w:lang w:val="zh-TW" w:eastAsia="zh-CN"/>
        </w:rPr>
        <w:t>决策公开方面，区政府网站开通政策性文件意见征集栏目，各单位制定政策前需通过此栏目向社会公开征集意见。执行公开方面，开通重要民生实事项目等栏目，按季度公开各项民生实事项目等进展情况。管理公开方面，开通政府常务会栏目，向社会公开区政府常务会的会议内容。</w:t>
      </w:r>
      <w:r>
        <w:rPr>
          <w:rFonts w:hint="eastAsia" w:ascii="仿宋_GB2312" w:hAnsi="仿宋_GB2312" w:eastAsia="仿宋_GB2312" w:cs="仿宋_GB2312"/>
          <w:sz w:val="32"/>
          <w:szCs w:val="32"/>
          <w:lang w:val="en-US" w:eastAsia="zh-CN"/>
        </w:rPr>
        <w:t>服务公开与结果公开方面，开通中介服务栏目，向社会公开各单位的中介服务机构与具体中介服务事项。</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lang w:val="zh-TW" w:eastAsia="zh-CN"/>
        </w:rPr>
      </w:pPr>
      <w:r>
        <w:rPr>
          <w:rFonts w:hint="eastAsia" w:ascii="仿宋_GB2312" w:hAnsi="仿宋_GB2312" w:eastAsia="仿宋_GB2312" w:cs="仿宋_GB2312"/>
          <w:b w:val="0"/>
          <w:bCs/>
          <w:color w:val="000000"/>
          <w:sz w:val="32"/>
          <w:szCs w:val="32"/>
          <w:lang w:val="zh-TW" w:eastAsia="zh-CN"/>
        </w:rPr>
        <w:t>依申请公开平台建设情况。为</w:t>
      </w:r>
      <w:r>
        <w:rPr>
          <w:rFonts w:hint="eastAsia" w:ascii="仿宋_GB2312" w:hAnsi="仿宋_GB2312" w:eastAsia="仿宋_GB2312" w:cs="仿宋_GB2312"/>
          <w:b w:val="0"/>
          <w:bCs/>
          <w:color w:val="000000"/>
          <w:sz w:val="32"/>
          <w:szCs w:val="32"/>
          <w:lang w:val="zh-TW" w:eastAsia="zh-TW"/>
        </w:rPr>
        <w:t>提高</w:t>
      </w:r>
      <w:r>
        <w:rPr>
          <w:rFonts w:hint="eastAsia" w:ascii="仿宋_GB2312" w:hAnsi="仿宋_GB2312" w:eastAsia="仿宋_GB2312" w:cs="仿宋_GB2312"/>
          <w:b w:val="0"/>
          <w:bCs/>
          <w:color w:val="000000"/>
          <w:sz w:val="32"/>
          <w:szCs w:val="32"/>
          <w:lang w:val="zh-TW" w:eastAsia="zh-CN"/>
        </w:rPr>
        <w:t>全区各单位</w:t>
      </w:r>
      <w:r>
        <w:rPr>
          <w:rFonts w:hint="eastAsia" w:ascii="仿宋_GB2312" w:hAnsi="仿宋_GB2312" w:eastAsia="仿宋_GB2312" w:cs="仿宋_GB2312"/>
          <w:b w:val="0"/>
          <w:bCs/>
          <w:color w:val="000000"/>
          <w:sz w:val="32"/>
          <w:szCs w:val="32"/>
          <w:lang w:val="zh-TW" w:eastAsia="zh-TW"/>
        </w:rPr>
        <w:t>依申请</w:t>
      </w:r>
      <w:r>
        <w:rPr>
          <w:rFonts w:hint="eastAsia" w:ascii="仿宋_GB2312" w:hAnsi="仿宋_GB2312" w:eastAsia="仿宋_GB2312" w:cs="仿宋_GB2312"/>
          <w:b w:val="0"/>
          <w:bCs/>
          <w:color w:val="000000"/>
          <w:sz w:val="32"/>
          <w:szCs w:val="32"/>
          <w:lang w:val="zh-TW" w:eastAsia="zh-CN"/>
        </w:rPr>
        <w:t>公开</w:t>
      </w:r>
      <w:r>
        <w:rPr>
          <w:rFonts w:hint="eastAsia" w:ascii="仿宋_GB2312" w:hAnsi="仿宋_GB2312" w:eastAsia="仿宋_GB2312" w:cs="仿宋_GB2312"/>
          <w:b w:val="0"/>
          <w:bCs/>
          <w:color w:val="000000"/>
          <w:sz w:val="32"/>
          <w:szCs w:val="32"/>
          <w:lang w:val="zh-TW" w:eastAsia="zh-TW"/>
        </w:rPr>
        <w:t>工作效率</w:t>
      </w:r>
      <w:r>
        <w:rPr>
          <w:rFonts w:hint="eastAsia" w:ascii="仿宋_GB2312" w:hAnsi="仿宋_GB2312" w:eastAsia="仿宋_GB2312" w:cs="仿宋_GB2312"/>
          <w:b w:val="0"/>
          <w:bCs/>
          <w:color w:val="000000"/>
          <w:sz w:val="32"/>
          <w:szCs w:val="32"/>
          <w:lang w:val="zh-TW" w:eastAsia="zh-CN"/>
        </w:rPr>
        <w:t>，更好的服务办事群众，区政府正在</w:t>
      </w:r>
      <w:r>
        <w:rPr>
          <w:rFonts w:hint="eastAsia" w:ascii="仿宋_GB2312" w:hAnsi="仿宋_GB2312" w:eastAsia="仿宋_GB2312" w:cs="仿宋_GB2312"/>
          <w:b w:val="0"/>
          <w:bCs/>
          <w:color w:val="000000"/>
          <w:sz w:val="32"/>
          <w:szCs w:val="32"/>
          <w:lang w:val="en-US" w:eastAsia="zh-CN"/>
        </w:rPr>
        <w:t>积极推进建设</w:t>
      </w:r>
      <w:r>
        <w:rPr>
          <w:rFonts w:hint="eastAsia" w:ascii="仿宋_GB2312" w:hAnsi="仿宋_GB2312" w:eastAsia="仿宋_GB2312" w:cs="仿宋_GB2312"/>
          <w:b w:val="0"/>
          <w:bCs/>
          <w:color w:val="000000"/>
          <w:sz w:val="32"/>
          <w:szCs w:val="32"/>
          <w:lang w:val="zh-TW" w:eastAsia="zh-CN"/>
        </w:rPr>
        <w:t>区级依申请公开平台。依托平台可以实现申请内容的精准检索，增强部门联动，方便信息调取，缩短群众获取政府信息的等待时间，减少行政机关的资源浪费，提高全区各单位依申请办件效率；针对不同类型的申请内容，工作人员可以进行专门的学习，提升相应答复的运用技巧；平台公布的各类涉信息公开的法规、司法解释、高院审理规定，以及信息公开案件判例等可以让各单位实现依申请公开自学，提高工作人员的业务能力。</w:t>
      </w:r>
    </w:p>
    <w:p>
      <w:pPr>
        <w:pStyle w:val="1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PMingLiU" w:cs="楷体_GB2312"/>
          <w:sz w:val="32"/>
          <w:szCs w:val="32"/>
          <w:shd w:val="clear" w:color="auto" w:fill="auto"/>
          <w:lang w:val="zh-TW" w:eastAsia="zh-TW"/>
        </w:rPr>
      </w:pPr>
      <w:r>
        <w:rPr>
          <w:rFonts w:ascii="楷体_GB2312" w:hAnsi="楷体_GB2312" w:eastAsia="楷体_GB2312" w:cs="楷体_GB2312"/>
          <w:sz w:val="32"/>
          <w:szCs w:val="32"/>
          <w:shd w:val="clear" w:color="auto" w:fill="auto"/>
          <w:lang w:val="zh-TW" w:eastAsia="zh-TW"/>
        </w:rPr>
        <w:t>（五）政府信息公开监督保障及教育培训情况</w:t>
      </w:r>
    </w:p>
    <w:p>
      <w:pPr>
        <w:pStyle w:val="15"/>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kern w:val="0"/>
          <w:sz w:val="32"/>
          <w:szCs w:val="32"/>
          <w:lang w:val="zh-TW" w:eastAsia="zh-CN"/>
        </w:rPr>
      </w:pPr>
      <w:r>
        <w:rPr>
          <w:rFonts w:hint="eastAsia" w:ascii="仿宋_GB2312" w:hAnsi="仿宋_GB2312" w:eastAsia="仿宋_GB2312" w:cs="仿宋_GB2312"/>
          <w:b/>
          <w:bCs/>
          <w:kern w:val="0"/>
          <w:sz w:val="32"/>
          <w:szCs w:val="32"/>
          <w:lang w:val="zh-TW" w:eastAsia="zh-CN"/>
        </w:rPr>
        <w:t>一是</w:t>
      </w:r>
      <w:r>
        <w:rPr>
          <w:rFonts w:hint="eastAsia" w:ascii="仿宋_GB2312" w:hAnsi="仿宋_GB2312" w:eastAsia="仿宋_GB2312" w:cs="仿宋_GB2312"/>
          <w:kern w:val="0"/>
          <w:sz w:val="32"/>
          <w:szCs w:val="32"/>
          <w:lang w:val="zh-TW" w:eastAsia="zh-CN"/>
        </w:rPr>
        <w:t>加强业务培训。为了</w:t>
      </w:r>
      <w:r>
        <w:rPr>
          <w:rFonts w:hint="eastAsia" w:ascii="仿宋_GB2312" w:hAnsi="仿宋_GB2312" w:eastAsia="仿宋_GB2312" w:cs="仿宋_GB2312"/>
          <w:kern w:val="0"/>
          <w:sz w:val="32"/>
          <w:szCs w:val="32"/>
          <w:lang w:val="zh-TW"/>
        </w:rPr>
        <w:t>提高思想认识</w:t>
      </w:r>
      <w:r>
        <w:rPr>
          <w:rFonts w:hint="eastAsia" w:ascii="仿宋_GB2312" w:hAnsi="仿宋_GB2312" w:eastAsia="仿宋_GB2312" w:cs="仿宋_GB2312"/>
          <w:kern w:val="0"/>
          <w:sz w:val="32"/>
          <w:szCs w:val="32"/>
          <w:lang w:val="zh-TW" w:eastAsia="zh-CN"/>
        </w:rPr>
        <w:t>，增强工作</w:t>
      </w:r>
      <w:r>
        <w:rPr>
          <w:rFonts w:hint="eastAsia" w:ascii="仿宋_GB2312" w:hAnsi="仿宋_GB2312" w:eastAsia="仿宋_GB2312" w:cs="仿宋_GB2312"/>
          <w:kern w:val="0"/>
          <w:sz w:val="32"/>
          <w:szCs w:val="32"/>
          <w:lang w:val="zh-TW"/>
        </w:rPr>
        <w:t>责任感</w:t>
      </w:r>
      <w:r>
        <w:rPr>
          <w:rFonts w:hint="eastAsia" w:ascii="仿宋_GB2312" w:hAnsi="仿宋_GB2312" w:eastAsia="仿宋_GB2312" w:cs="仿宋_GB2312"/>
          <w:kern w:val="0"/>
          <w:sz w:val="32"/>
          <w:szCs w:val="32"/>
          <w:lang w:val="zh-TW" w:eastAsia="zh-CN"/>
        </w:rPr>
        <w:t>，</w:t>
      </w:r>
      <w:r>
        <w:rPr>
          <w:rFonts w:hint="eastAsia" w:ascii="仿宋_GB2312" w:hAnsi="仿宋_GB2312" w:eastAsia="仿宋_GB2312" w:cs="仿宋_GB2312"/>
          <w:kern w:val="0"/>
          <w:sz w:val="32"/>
          <w:szCs w:val="32"/>
          <w:lang w:val="zh-TW"/>
        </w:rPr>
        <w:t>规范</w:t>
      </w:r>
      <w:r>
        <w:rPr>
          <w:rFonts w:hint="eastAsia" w:ascii="仿宋_GB2312" w:hAnsi="仿宋_GB2312" w:eastAsia="仿宋_GB2312" w:cs="仿宋_GB2312"/>
          <w:kern w:val="0"/>
          <w:sz w:val="32"/>
          <w:szCs w:val="32"/>
          <w:lang w:val="zh-TW" w:eastAsia="zh-CN"/>
        </w:rPr>
        <w:t>政府</w:t>
      </w:r>
      <w:r>
        <w:rPr>
          <w:rFonts w:hint="eastAsia" w:ascii="仿宋_GB2312" w:hAnsi="仿宋_GB2312" w:eastAsia="仿宋_GB2312" w:cs="仿宋_GB2312"/>
          <w:kern w:val="0"/>
          <w:sz w:val="32"/>
          <w:szCs w:val="32"/>
          <w:lang w:val="zh-TW"/>
        </w:rPr>
        <w:t>信息</w:t>
      </w:r>
      <w:r>
        <w:rPr>
          <w:rFonts w:hint="eastAsia" w:ascii="仿宋_GB2312" w:hAnsi="仿宋_GB2312" w:eastAsia="仿宋_GB2312" w:cs="仿宋_GB2312"/>
          <w:kern w:val="0"/>
          <w:sz w:val="32"/>
          <w:szCs w:val="32"/>
          <w:lang w:val="zh-TW" w:eastAsia="zh-CN"/>
        </w:rPr>
        <w:t>公开工作，提高政府信息公开</w:t>
      </w:r>
      <w:r>
        <w:rPr>
          <w:rFonts w:hint="eastAsia" w:ascii="仿宋_GB2312" w:hAnsi="仿宋_GB2312" w:eastAsia="仿宋_GB2312" w:cs="仿宋_GB2312"/>
          <w:kern w:val="0"/>
          <w:sz w:val="32"/>
          <w:szCs w:val="32"/>
          <w:lang w:val="zh-TW"/>
        </w:rPr>
        <w:t>工作的</w:t>
      </w:r>
      <w:r>
        <w:rPr>
          <w:rFonts w:hint="eastAsia" w:ascii="仿宋_GB2312" w:hAnsi="仿宋_GB2312" w:eastAsia="仿宋_GB2312" w:cs="仿宋_GB2312"/>
          <w:kern w:val="0"/>
          <w:sz w:val="32"/>
          <w:szCs w:val="32"/>
          <w:lang w:val="zh-TW" w:eastAsia="zh-CN"/>
        </w:rPr>
        <w:t>业务水平，</w:t>
      </w:r>
      <w:r>
        <w:rPr>
          <w:rFonts w:hint="eastAsia" w:ascii="仿宋_GB2312" w:hAnsi="仿宋_GB2312" w:eastAsia="仿宋_GB2312" w:cs="仿宋_GB2312"/>
          <w:kern w:val="0"/>
          <w:sz w:val="32"/>
          <w:szCs w:val="32"/>
          <w:lang w:val="zh-TW"/>
        </w:rPr>
        <w:t>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lang w:val="zh-TW"/>
        </w:rPr>
        <w:t>年全区</w:t>
      </w:r>
      <w:r>
        <w:rPr>
          <w:rFonts w:hint="eastAsia" w:ascii="仿宋_GB2312" w:hAnsi="仿宋_GB2312" w:eastAsia="仿宋_GB2312" w:cs="仿宋_GB2312"/>
          <w:kern w:val="0"/>
          <w:sz w:val="32"/>
          <w:szCs w:val="32"/>
          <w:lang w:val="zh-TW" w:eastAsia="zh-CN"/>
        </w:rPr>
        <w:t>集中</w:t>
      </w:r>
      <w:r>
        <w:rPr>
          <w:rFonts w:ascii="仿宋_GB2312" w:hAnsi="仿宋_GB2312" w:eastAsia="仿宋_GB2312" w:cs="仿宋_GB2312"/>
          <w:kern w:val="0"/>
          <w:sz w:val="32"/>
          <w:szCs w:val="32"/>
          <w:lang w:val="zh-TW"/>
        </w:rPr>
        <w:t>开展两次政府信息公开工作</w:t>
      </w:r>
      <w:r>
        <w:rPr>
          <w:rFonts w:hint="eastAsia" w:ascii="仿宋_GB2312" w:hAnsi="仿宋_GB2312" w:eastAsia="仿宋_GB2312" w:cs="仿宋_GB2312"/>
          <w:kern w:val="0"/>
          <w:sz w:val="32"/>
          <w:szCs w:val="32"/>
          <w:lang w:val="zh-TW"/>
        </w:rPr>
        <w:t>集中</w:t>
      </w:r>
      <w:r>
        <w:rPr>
          <w:rFonts w:ascii="仿宋_GB2312" w:hAnsi="仿宋_GB2312" w:eastAsia="仿宋_GB2312" w:cs="仿宋_GB2312"/>
          <w:kern w:val="0"/>
          <w:sz w:val="32"/>
          <w:szCs w:val="32"/>
          <w:lang w:val="zh-TW"/>
        </w:rPr>
        <w:t>培训</w:t>
      </w:r>
      <w:r>
        <w:rPr>
          <w:rFonts w:hint="eastAsia" w:ascii="仿宋_GB2312" w:hAnsi="仿宋_GB2312" w:eastAsia="仿宋_GB2312" w:cs="仿宋_GB2312"/>
          <w:kern w:val="0"/>
          <w:sz w:val="32"/>
          <w:szCs w:val="32"/>
          <w:lang w:val="zh-TW" w:eastAsia="zh-CN"/>
        </w:rPr>
        <w:t>。培训主要从</w:t>
      </w:r>
      <w:r>
        <w:rPr>
          <w:rFonts w:hint="eastAsia" w:ascii="仿宋_GB2312" w:hAnsi="仿宋_GB2312" w:eastAsia="仿宋_GB2312" w:cs="仿宋_GB2312"/>
          <w:kern w:val="0"/>
          <w:sz w:val="32"/>
          <w:szCs w:val="32"/>
          <w:lang w:val="zh-TW"/>
        </w:rPr>
        <w:t>政府信息公开工作具体要求、法律适用和注意事项，</w:t>
      </w:r>
      <w:r>
        <w:rPr>
          <w:rFonts w:hint="eastAsia" w:ascii="仿宋_GB2312" w:hAnsi="仿宋_GB2312" w:eastAsia="仿宋_GB2312" w:cs="仿宋_GB2312"/>
          <w:kern w:val="0"/>
          <w:sz w:val="32"/>
          <w:szCs w:val="32"/>
          <w:lang w:val="zh-TW" w:eastAsia="zh-CN"/>
        </w:rPr>
        <w:t>并</w:t>
      </w:r>
      <w:r>
        <w:rPr>
          <w:rFonts w:hint="eastAsia" w:ascii="仿宋_GB2312" w:hAnsi="仿宋_GB2312" w:eastAsia="仿宋_GB2312" w:cs="仿宋_GB2312"/>
          <w:kern w:val="0"/>
          <w:sz w:val="32"/>
          <w:szCs w:val="32"/>
          <w:lang w:val="zh-TW"/>
        </w:rPr>
        <w:t>结合具体实践案例，有针对性的分析讲解，</w:t>
      </w:r>
      <w:r>
        <w:rPr>
          <w:rFonts w:hint="eastAsia" w:ascii="仿宋_GB2312" w:hAnsi="仿宋_GB2312" w:eastAsia="仿宋_GB2312" w:cs="仿宋_GB2312"/>
          <w:kern w:val="0"/>
          <w:sz w:val="32"/>
          <w:szCs w:val="32"/>
          <w:lang w:val="zh-TW" w:eastAsia="zh-CN"/>
        </w:rPr>
        <w:t>从</w:t>
      </w:r>
      <w:r>
        <w:rPr>
          <w:rFonts w:hint="eastAsia" w:ascii="仿宋_GB2312" w:hAnsi="仿宋_GB2312" w:eastAsia="仿宋_GB2312" w:cs="仿宋_GB2312"/>
          <w:kern w:val="0"/>
          <w:sz w:val="32"/>
          <w:szCs w:val="32"/>
          <w:lang w:val="zh-TW"/>
        </w:rPr>
        <w:t>理论支持和有效的工作技巧</w:t>
      </w:r>
      <w:r>
        <w:rPr>
          <w:rFonts w:hint="eastAsia" w:ascii="仿宋_GB2312" w:hAnsi="仿宋_GB2312" w:eastAsia="仿宋_GB2312" w:cs="仿宋_GB2312"/>
          <w:kern w:val="0"/>
          <w:sz w:val="32"/>
          <w:szCs w:val="32"/>
          <w:lang w:val="zh-TW" w:eastAsia="zh-CN"/>
        </w:rPr>
        <w:t>方面进行培训。</w:t>
      </w:r>
      <w:r>
        <w:rPr>
          <w:rFonts w:hint="eastAsia" w:ascii="仿宋_GB2312" w:eastAsia="仿宋_GB2312"/>
          <w:sz w:val="32"/>
          <w:szCs w:val="32"/>
          <w:lang w:eastAsia="zh-CN"/>
        </w:rPr>
        <w:t>开展多种形式的经常性培训，通过视频会议、微信群集中答疑等方式，分片分阶段开展依申请公开业务培训，视情开展集中培训，提升全区工作人员政府信息公开专业素质。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eastAsia="zh-CN"/>
        </w:rPr>
      </w:pPr>
      <w:r>
        <w:rPr>
          <w:rFonts w:ascii="仿宋_GB2312" w:hAnsi="仿宋_GB2312" w:eastAsia="仿宋_GB2312" w:cs="仿宋_GB2312"/>
          <w:b/>
          <w:sz w:val="32"/>
          <w:szCs w:val="32"/>
          <w:lang w:val="zh-TW"/>
        </w:rPr>
        <w:t>二是</w:t>
      </w:r>
      <w:r>
        <w:rPr>
          <w:rFonts w:hint="eastAsia" w:ascii="仿宋_GB2312" w:hAnsi="仿宋_GB2312" w:eastAsia="仿宋_GB2312" w:cs="仿宋_GB2312"/>
          <w:b w:val="0"/>
          <w:bCs/>
          <w:sz w:val="32"/>
          <w:szCs w:val="32"/>
          <w:lang w:val="zh-TW" w:eastAsia="zh-CN"/>
        </w:rPr>
        <w:t>强化业务监督</w:t>
      </w:r>
      <w:r>
        <w:rPr>
          <w:rFonts w:ascii="仿宋_GB2312" w:hAnsi="仿宋_GB2312" w:eastAsia="仿宋_GB2312" w:cs="仿宋_GB2312"/>
          <w:sz w:val="32"/>
          <w:szCs w:val="32"/>
          <w:lang w:val="zh-TW"/>
        </w:rPr>
        <w:t>。</w:t>
      </w:r>
      <w:r>
        <w:rPr>
          <w:rFonts w:hint="eastAsia" w:ascii="仿宋_GB2312" w:eastAsia="仿宋_GB2312"/>
          <w:sz w:val="32"/>
          <w:szCs w:val="32"/>
          <w:lang w:eastAsia="zh-CN"/>
        </w:rPr>
        <w:t>加强本区依申请公开工作统筹力度，主动了解各单位依申请公开工作中遇到的困难，每季度完成一轮针对全区各单位依申请公开的主动联系工作，指导解决各单位依申请公开工作中的问题。畅通全区各部门各种申请受理渠道，每季度对各单位信息公开指南中对外公示的电子受理渠道展开全覆盖式检查。</w:t>
      </w:r>
    </w:p>
    <w:p>
      <w:pPr>
        <w:pStyle w:val="1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shd w:val="clear" w:color="auto" w:fill="auto"/>
          <w:lang w:val="zh-TW" w:eastAsia="zh-TW"/>
        </w:rPr>
      </w:pPr>
      <w:r>
        <w:rPr>
          <w:rFonts w:hint="eastAsia" w:ascii="楷体_GB2312" w:hAnsi="宋体" w:eastAsia="楷体_GB2312" w:cs="宋体"/>
          <w:sz w:val="32"/>
          <w:szCs w:val="32"/>
          <w:shd w:val="clear" w:color="auto" w:fill="auto"/>
          <w:lang w:val="zh-TW" w:eastAsia="zh-TW"/>
        </w:rPr>
        <w:t>（六）</w:t>
      </w:r>
      <w:r>
        <w:rPr>
          <w:rFonts w:hint="eastAsia" w:ascii="楷体_GB2312" w:hAnsi="楷体_GB2312" w:eastAsia="楷体_GB2312" w:cs="楷体_GB2312"/>
          <w:sz w:val="32"/>
          <w:szCs w:val="32"/>
          <w:shd w:val="clear" w:color="auto" w:fill="auto"/>
          <w:lang w:val="zh-TW" w:eastAsia="zh-TW"/>
        </w:rPr>
        <w:t>工作考核、社会评议和责任追究结果情况</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sz w:val="32"/>
          <w:szCs w:val="32"/>
        </w:rPr>
      </w:pPr>
      <w:r>
        <w:rPr>
          <w:rFonts w:ascii="仿宋_GB2312" w:hAnsi="仿宋_GB2312" w:eastAsia="仿宋_GB2312" w:cs="仿宋_GB2312"/>
          <w:sz w:val="32"/>
          <w:szCs w:val="32"/>
          <w:lang w:val="zh-TW"/>
        </w:rPr>
        <w:t>每</w:t>
      </w:r>
      <w:r>
        <w:rPr>
          <w:rFonts w:hint="eastAsia" w:ascii="仿宋_GB2312" w:hAnsi="仿宋_GB2312" w:eastAsia="仿宋_GB2312" w:cs="仿宋_GB2312"/>
          <w:sz w:val="32"/>
          <w:szCs w:val="32"/>
          <w:lang w:val="zh-TW"/>
        </w:rPr>
        <w:t>季度</w:t>
      </w:r>
      <w:r>
        <w:rPr>
          <w:rFonts w:ascii="仿宋_GB2312" w:hAnsi="仿宋_GB2312" w:eastAsia="仿宋_GB2312" w:cs="仿宋_GB2312"/>
          <w:sz w:val="32"/>
          <w:szCs w:val="32"/>
          <w:lang w:val="zh-TW"/>
        </w:rPr>
        <w:t>对全</w:t>
      </w:r>
      <w:r>
        <w:rPr>
          <w:rFonts w:hint="eastAsia" w:ascii="仿宋_GB2312" w:hAnsi="仿宋_GB2312" w:eastAsia="仿宋_GB2312" w:cs="仿宋_GB2312"/>
          <w:sz w:val="32"/>
          <w:szCs w:val="32"/>
          <w:lang w:val="zh-TW"/>
        </w:rPr>
        <w:t>区</w:t>
      </w:r>
      <w:r>
        <w:rPr>
          <w:rFonts w:hint="eastAsia" w:ascii="仿宋_GB2312" w:hAnsi="仿宋_GB2312" w:eastAsia="仿宋_GB2312" w:cs="仿宋_GB2312"/>
          <w:sz w:val="32"/>
          <w:szCs w:val="32"/>
          <w:lang w:val="zh-TW" w:eastAsia="zh-CN"/>
        </w:rPr>
        <w:t>各单位政府信息</w:t>
      </w:r>
      <w:r>
        <w:rPr>
          <w:rFonts w:ascii="仿宋_GB2312" w:hAnsi="仿宋_GB2312" w:eastAsia="仿宋_GB2312" w:cs="仿宋_GB2312"/>
          <w:sz w:val="32"/>
          <w:szCs w:val="32"/>
          <w:lang w:val="zh-TW"/>
        </w:rPr>
        <w:t>公开</w:t>
      </w:r>
      <w:r>
        <w:rPr>
          <w:rFonts w:ascii="仿宋_GB2312" w:hAnsi="仿宋_GB2312" w:eastAsia="仿宋_GB2312" w:cs="仿宋_GB2312"/>
          <w:sz w:val="32"/>
          <w:szCs w:val="32"/>
          <w:lang w:val="zh-TW" w:eastAsia="zh-TW"/>
        </w:rPr>
        <w:t>工作进行</w:t>
      </w:r>
      <w:r>
        <w:rPr>
          <w:rFonts w:hint="eastAsia" w:ascii="仿宋_GB2312" w:hAnsi="仿宋_GB2312" w:eastAsia="仿宋_GB2312" w:cs="仿宋_GB2312"/>
          <w:sz w:val="32"/>
          <w:szCs w:val="32"/>
          <w:lang w:val="zh-TW" w:eastAsia="zh-CN"/>
        </w:rPr>
        <w:t>检查，并将政府信息公开工作纳入年底绩效考核。</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年丰台区无责任追究情况。</w:t>
      </w:r>
    </w:p>
    <w:p>
      <w:pPr>
        <w:pStyle w:val="15"/>
        <w:numPr>
          <w:ilvl w:val="0"/>
          <w:numId w:val="0"/>
        </w:numPr>
        <w:spacing w:line="560" w:lineRule="exact"/>
        <w:ind w:firstLine="640" w:firstLineChars="200"/>
        <w:rPr>
          <w:rFonts w:ascii="黑体" w:hAnsi="黑体" w:eastAsia="黑体" w:cs="黑体"/>
          <w:sz w:val="32"/>
          <w:szCs w:val="32"/>
          <w:lang w:val="zh-TW" w:eastAsia="zh-TW"/>
        </w:rPr>
      </w:pPr>
      <w:r>
        <w:rPr>
          <w:rFonts w:hint="eastAsia" w:ascii="黑体" w:hAnsi="黑体" w:eastAsia="黑体" w:cs="黑体"/>
          <w:sz w:val="32"/>
          <w:szCs w:val="32"/>
          <w:lang w:val="zh-TW" w:eastAsia="zh-CN"/>
        </w:rPr>
        <w:t>二、</w:t>
      </w:r>
      <w:r>
        <w:rPr>
          <w:rFonts w:ascii="黑体" w:hAnsi="黑体" w:eastAsia="黑体" w:cs="黑体"/>
          <w:sz w:val="32"/>
          <w:szCs w:val="32"/>
          <w:lang w:val="zh-TW" w:eastAsia="zh-TW"/>
        </w:rPr>
        <w:t>主动公开政府信息情况</w:t>
      </w:r>
    </w:p>
    <w:tbl>
      <w:tblPr>
        <w:tblStyle w:val="12"/>
        <w:tblW w:w="8894"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2122"/>
        <w:gridCol w:w="1357"/>
        <w:gridCol w:w="2021"/>
        <w:gridCol w:w="181"/>
        <w:gridCol w:w="1360"/>
        <w:gridCol w:w="160"/>
        <w:gridCol w:w="169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77" w:hRule="atLeast"/>
          <w:jc w:val="center"/>
        </w:trPr>
        <w:tc>
          <w:tcPr>
            <w:tcW w:w="8894" w:type="dxa"/>
            <w:gridSpan w:val="7"/>
            <w:tcBorders>
              <w:top w:val="single" w:color="000000" w:sz="4" w:space="0"/>
              <w:left w:val="single" w:color="000000" w:sz="4" w:space="0"/>
              <w:bottom w:val="single" w:color="000000" w:sz="4" w:space="0"/>
              <w:right w:val="single" w:color="000000" w:sz="4" w:space="0"/>
            </w:tcBorders>
            <w:shd w:val="clear" w:color="auto" w:fill="95B3D7" w:themeFill="accent1" w:themeFillTint="99"/>
            <w:tcMar>
              <w:top w:w="80" w:type="dxa"/>
              <w:left w:w="80" w:type="dxa"/>
              <w:bottom w:w="80" w:type="dxa"/>
              <w:right w:w="80" w:type="dxa"/>
            </w:tcMar>
            <w:vAlign w:val="center"/>
          </w:tcPr>
          <w:p>
            <w:pPr>
              <w:pStyle w:val="15"/>
              <w:widowControl/>
              <w:spacing w:line="560" w:lineRule="exact"/>
              <w:jc w:val="center"/>
            </w:pPr>
            <w:r>
              <w:rPr>
                <w:rFonts w:ascii="宋体" w:hAnsi="宋体" w:eastAsia="宋体" w:cs="宋体"/>
                <w:kern w:val="0"/>
                <w:sz w:val="21"/>
                <w:szCs w:val="21"/>
                <w:lang w:val="zh-TW" w:eastAsia="zh-TW"/>
              </w:rPr>
              <w:t>第二十条第（一）项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90" w:hRule="atLeast"/>
          <w:jc w:val="center"/>
        </w:trPr>
        <w:tc>
          <w:tcPr>
            <w:tcW w:w="3479" w:type="dxa"/>
            <w:gridSpan w:val="2"/>
            <w:tcBorders>
              <w:top w:val="single" w:color="000000" w:sz="4" w:space="0"/>
              <w:left w:val="single" w:color="000000" w:sz="4" w:space="0"/>
              <w:bottom w:val="single" w:color="000000" w:sz="4" w:space="0"/>
              <w:right w:val="single" w:color="000000" w:sz="4" w:space="0"/>
            </w:tcBorders>
            <w:shd w:val="clear" w:color="auto" w:fill="DCE6F2" w:themeFill="accent1" w:themeFillTint="32"/>
            <w:tcMar>
              <w:top w:w="80" w:type="dxa"/>
              <w:left w:w="80" w:type="dxa"/>
              <w:bottom w:w="80" w:type="dxa"/>
              <w:right w:w="80" w:type="dxa"/>
            </w:tcMar>
            <w:vAlign w:val="center"/>
          </w:tcPr>
          <w:p>
            <w:pPr>
              <w:pStyle w:val="15"/>
              <w:widowControl/>
              <w:spacing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zh-TW" w:eastAsia="zh-TW"/>
              </w:rPr>
              <w:t>信息内容</w:t>
            </w:r>
          </w:p>
        </w:tc>
        <w:tc>
          <w:tcPr>
            <w:tcW w:w="2021"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tcMar>
              <w:top w:w="80" w:type="dxa"/>
              <w:left w:w="80" w:type="dxa"/>
              <w:bottom w:w="80" w:type="dxa"/>
              <w:right w:w="80" w:type="dxa"/>
            </w:tcMar>
            <w:vAlign w:val="center"/>
          </w:tcPr>
          <w:p>
            <w:pPr>
              <w:pStyle w:val="15"/>
              <w:widowControl/>
              <w:spacing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zh-TW" w:eastAsia="zh-TW"/>
              </w:rPr>
              <w:t>本年新制作数量</w:t>
            </w:r>
          </w:p>
        </w:tc>
        <w:tc>
          <w:tcPr>
            <w:tcW w:w="1701" w:type="dxa"/>
            <w:gridSpan w:val="3"/>
            <w:tcBorders>
              <w:top w:val="single" w:color="000000" w:sz="4" w:space="0"/>
              <w:left w:val="single" w:color="000000" w:sz="4" w:space="0"/>
              <w:bottom w:val="single" w:color="000000" w:sz="4" w:space="0"/>
              <w:right w:val="single" w:color="000000" w:sz="4" w:space="0"/>
            </w:tcBorders>
            <w:shd w:val="clear" w:color="auto" w:fill="DBEEF3" w:themeFill="accent5" w:themeFillTint="32"/>
            <w:tcMar>
              <w:top w:w="80" w:type="dxa"/>
              <w:left w:w="80" w:type="dxa"/>
              <w:bottom w:w="80" w:type="dxa"/>
              <w:right w:w="80" w:type="dxa"/>
            </w:tcMar>
            <w:vAlign w:val="center"/>
          </w:tcPr>
          <w:p>
            <w:pPr>
              <w:pStyle w:val="15"/>
              <w:widowControl/>
              <w:spacing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zh-TW" w:eastAsia="zh-TW"/>
              </w:rPr>
              <w:t>本年新公开数量</w:t>
            </w:r>
          </w:p>
        </w:tc>
        <w:tc>
          <w:tcPr>
            <w:tcW w:w="1693"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tcMar>
              <w:top w:w="80" w:type="dxa"/>
              <w:left w:w="80" w:type="dxa"/>
              <w:bottom w:w="80" w:type="dxa"/>
              <w:right w:w="80" w:type="dxa"/>
            </w:tcMar>
            <w:vAlign w:val="center"/>
          </w:tcPr>
          <w:p>
            <w:pPr>
              <w:pStyle w:val="15"/>
              <w:widowControl/>
              <w:spacing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zh-TW" w:eastAsia="zh-TW"/>
              </w:rPr>
              <w:t>对外公开总数量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77" w:hRule="atLeast"/>
          <w:jc w:val="center"/>
        </w:trPr>
        <w:tc>
          <w:tcPr>
            <w:tcW w:w="3479" w:type="dxa"/>
            <w:gridSpan w:val="2"/>
            <w:tcBorders>
              <w:top w:val="single" w:color="000000" w:sz="4" w:space="0"/>
              <w:left w:val="single" w:color="000000" w:sz="4" w:space="0"/>
              <w:bottom w:val="single" w:color="000000" w:sz="4" w:space="0"/>
              <w:right w:val="single" w:color="000000" w:sz="4" w:space="0"/>
            </w:tcBorders>
            <w:shd w:val="clear" w:color="auto" w:fill="DCE6F2" w:themeFill="accent1" w:themeFillTint="32"/>
            <w:tcMar>
              <w:top w:w="80" w:type="dxa"/>
              <w:left w:w="80" w:type="dxa"/>
              <w:bottom w:w="80" w:type="dxa"/>
              <w:right w:w="80" w:type="dxa"/>
            </w:tcMar>
            <w:vAlign w:val="center"/>
          </w:tcPr>
          <w:p>
            <w:pPr>
              <w:pStyle w:val="15"/>
              <w:widowControl/>
              <w:spacing w:line="560" w:lineRule="exact"/>
              <w:jc w:val="center"/>
              <w:rPr>
                <w:sz w:val="21"/>
                <w:szCs w:val="21"/>
              </w:rPr>
            </w:pPr>
            <w:r>
              <w:rPr>
                <w:rFonts w:ascii="宋体" w:hAnsi="宋体" w:eastAsia="宋体" w:cs="宋体"/>
                <w:kern w:val="0"/>
                <w:sz w:val="21"/>
                <w:szCs w:val="21"/>
                <w:lang w:val="zh-TW" w:eastAsia="zh-TW"/>
              </w:rPr>
              <w:t>规章</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5"/>
              <w:widowControl/>
              <w:spacing w:line="5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kern w:val="0"/>
                <w:sz w:val="20"/>
                <w:szCs w:val="20"/>
              </w:rPr>
              <w:t>0</w:t>
            </w:r>
          </w:p>
        </w:tc>
        <w:tc>
          <w:tcPr>
            <w:tcW w:w="1701"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5"/>
              <w:widowControl/>
              <w:spacing w:line="5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kern w:val="0"/>
                <w:sz w:val="20"/>
                <w:szCs w:val="20"/>
              </w:rPr>
              <w:t>0</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5"/>
              <w:widowControl/>
              <w:spacing w:line="5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kern w:val="0"/>
                <w:sz w:val="20"/>
                <w:szCs w:val="20"/>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77" w:hRule="atLeast"/>
          <w:jc w:val="center"/>
        </w:trPr>
        <w:tc>
          <w:tcPr>
            <w:tcW w:w="3479" w:type="dxa"/>
            <w:gridSpan w:val="2"/>
            <w:tcBorders>
              <w:top w:val="single" w:color="000000" w:sz="4" w:space="0"/>
              <w:left w:val="single" w:color="000000" w:sz="4" w:space="0"/>
              <w:bottom w:val="single" w:color="000000" w:sz="4" w:space="0"/>
              <w:right w:val="single" w:color="000000" w:sz="4" w:space="0"/>
            </w:tcBorders>
            <w:shd w:val="clear" w:color="auto" w:fill="DCE6F2" w:themeFill="accent1" w:themeFillTint="32"/>
            <w:tcMar>
              <w:top w:w="80" w:type="dxa"/>
              <w:left w:w="80" w:type="dxa"/>
              <w:bottom w:w="80" w:type="dxa"/>
              <w:right w:w="80" w:type="dxa"/>
            </w:tcMar>
            <w:vAlign w:val="center"/>
          </w:tcPr>
          <w:p>
            <w:pPr>
              <w:pStyle w:val="15"/>
              <w:widowControl/>
              <w:spacing w:line="560" w:lineRule="exact"/>
              <w:jc w:val="center"/>
              <w:rPr>
                <w:sz w:val="21"/>
                <w:szCs w:val="21"/>
              </w:rPr>
            </w:pPr>
            <w:r>
              <w:rPr>
                <w:rFonts w:ascii="宋体" w:hAnsi="宋体" w:eastAsia="宋体" w:cs="宋体"/>
                <w:kern w:val="0"/>
                <w:sz w:val="21"/>
                <w:szCs w:val="21"/>
                <w:lang w:val="zh-TW" w:eastAsia="zh-TW"/>
              </w:rPr>
              <w:t>规范性文件</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5"/>
              <w:widowControl/>
              <w:spacing w:line="560" w:lineRule="exact"/>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kern w:val="0"/>
                <w:sz w:val="20"/>
                <w:szCs w:val="20"/>
                <w:lang w:val="en-US" w:eastAsia="zh-CN"/>
              </w:rPr>
              <w:t>23</w:t>
            </w:r>
          </w:p>
        </w:tc>
        <w:tc>
          <w:tcPr>
            <w:tcW w:w="1701"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5"/>
              <w:widowControl/>
              <w:spacing w:line="560" w:lineRule="exact"/>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kern w:val="0"/>
                <w:sz w:val="20"/>
                <w:szCs w:val="20"/>
                <w:lang w:val="en-US" w:eastAsia="zh-CN"/>
              </w:rPr>
              <w:t>21</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5"/>
              <w:widowControl/>
              <w:spacing w:line="560" w:lineRule="exact"/>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kern w:val="0"/>
                <w:sz w:val="20"/>
                <w:szCs w:val="20"/>
                <w:lang w:val="en-US" w:eastAsia="zh-CN"/>
              </w:rPr>
              <w:t>50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77" w:hRule="atLeast"/>
          <w:jc w:val="center"/>
        </w:trPr>
        <w:tc>
          <w:tcPr>
            <w:tcW w:w="8894" w:type="dxa"/>
            <w:gridSpan w:val="7"/>
            <w:tcBorders>
              <w:top w:val="single" w:color="000000" w:sz="4" w:space="0"/>
              <w:left w:val="single" w:color="000000" w:sz="4" w:space="0"/>
              <w:bottom w:val="single" w:color="000000" w:sz="4" w:space="0"/>
              <w:right w:val="single" w:color="000000" w:sz="4" w:space="0"/>
            </w:tcBorders>
            <w:shd w:val="clear" w:color="auto" w:fill="95B3D7" w:themeFill="accent1" w:themeFillTint="99"/>
            <w:tcMar>
              <w:top w:w="80" w:type="dxa"/>
              <w:left w:w="80" w:type="dxa"/>
              <w:bottom w:w="80" w:type="dxa"/>
              <w:right w:w="80" w:type="dxa"/>
            </w:tcMar>
            <w:vAlign w:val="center"/>
          </w:tcPr>
          <w:p>
            <w:pPr>
              <w:pStyle w:val="15"/>
              <w:widowControl/>
              <w:spacing w:line="560" w:lineRule="exact"/>
              <w:jc w:val="center"/>
            </w:pPr>
            <w:r>
              <w:rPr>
                <w:rFonts w:ascii="宋体" w:hAnsi="宋体" w:eastAsia="宋体" w:cs="宋体"/>
                <w:kern w:val="0"/>
                <w:sz w:val="21"/>
                <w:szCs w:val="21"/>
                <w:lang w:val="zh-TW" w:eastAsia="zh-TW"/>
              </w:rPr>
              <w:t>第二十条第（五）项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77" w:hRule="atLeast"/>
          <w:jc w:val="center"/>
        </w:trPr>
        <w:tc>
          <w:tcPr>
            <w:tcW w:w="3479" w:type="dxa"/>
            <w:gridSpan w:val="2"/>
            <w:tcBorders>
              <w:top w:val="single" w:color="000000" w:sz="4" w:space="0"/>
              <w:left w:val="single" w:color="000000" w:sz="4" w:space="0"/>
              <w:bottom w:val="single" w:color="000000" w:sz="4" w:space="0"/>
              <w:right w:val="single" w:color="000000" w:sz="4" w:space="0"/>
            </w:tcBorders>
            <w:shd w:val="clear" w:color="auto" w:fill="DCE6F2" w:themeFill="accent1" w:themeFillTint="32"/>
            <w:tcMar>
              <w:top w:w="80" w:type="dxa"/>
              <w:left w:w="80" w:type="dxa"/>
              <w:bottom w:w="80" w:type="dxa"/>
              <w:right w:w="80" w:type="dxa"/>
            </w:tcMar>
            <w:vAlign w:val="center"/>
          </w:tcPr>
          <w:p>
            <w:pPr>
              <w:pStyle w:val="15"/>
              <w:widowControl/>
              <w:spacing w:line="560" w:lineRule="exact"/>
              <w:jc w:val="center"/>
              <w:rPr>
                <w:rFonts w:hint="eastAsia" w:ascii="宋体" w:hAnsi="宋体" w:eastAsia="宋体" w:cs="宋体"/>
                <w:sz w:val="21"/>
                <w:szCs w:val="21"/>
              </w:rPr>
            </w:pPr>
            <w:r>
              <w:rPr>
                <w:rFonts w:hint="eastAsia" w:ascii="宋体" w:hAnsi="宋体" w:eastAsia="宋体" w:cs="宋体"/>
                <w:kern w:val="0"/>
                <w:sz w:val="21"/>
                <w:szCs w:val="21"/>
                <w:lang w:val="zh-TW" w:eastAsia="zh-TW"/>
              </w:rPr>
              <w:t>信息内容</w:t>
            </w:r>
          </w:p>
        </w:tc>
        <w:tc>
          <w:tcPr>
            <w:tcW w:w="2202" w:type="dxa"/>
            <w:gridSpan w:val="2"/>
            <w:tcBorders>
              <w:top w:val="single" w:color="000000" w:sz="4" w:space="0"/>
              <w:left w:val="single" w:color="000000" w:sz="4" w:space="0"/>
              <w:bottom w:val="single" w:color="000000" w:sz="4" w:space="0"/>
              <w:right w:val="single" w:color="000000" w:sz="4" w:space="0"/>
            </w:tcBorders>
            <w:shd w:val="clear" w:color="auto" w:fill="DBEEF3" w:themeFill="accent5" w:themeFillTint="32"/>
            <w:tcMar>
              <w:top w:w="80" w:type="dxa"/>
              <w:left w:w="80" w:type="dxa"/>
              <w:bottom w:w="80" w:type="dxa"/>
              <w:right w:w="80" w:type="dxa"/>
            </w:tcMar>
            <w:vAlign w:val="center"/>
          </w:tcPr>
          <w:p>
            <w:pPr>
              <w:pStyle w:val="15"/>
              <w:widowControl/>
              <w:spacing w:line="560" w:lineRule="exact"/>
              <w:jc w:val="center"/>
              <w:rPr>
                <w:rFonts w:hint="eastAsia" w:ascii="宋体" w:hAnsi="宋体" w:eastAsia="宋体" w:cs="宋体"/>
                <w:sz w:val="21"/>
                <w:szCs w:val="21"/>
              </w:rPr>
            </w:pPr>
            <w:r>
              <w:rPr>
                <w:rFonts w:hint="eastAsia" w:ascii="宋体" w:hAnsi="宋体" w:eastAsia="宋体" w:cs="宋体"/>
                <w:kern w:val="0"/>
                <w:sz w:val="21"/>
                <w:szCs w:val="21"/>
                <w:lang w:val="zh-TW" w:eastAsia="zh-TW"/>
              </w:rPr>
              <w:t>上一年项目数量</w:t>
            </w:r>
          </w:p>
        </w:tc>
        <w:tc>
          <w:tcPr>
            <w:tcW w:w="1360"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tcMar>
              <w:top w:w="80" w:type="dxa"/>
              <w:left w:w="80" w:type="dxa"/>
              <w:bottom w:w="80" w:type="dxa"/>
              <w:right w:w="80" w:type="dxa"/>
            </w:tcMar>
            <w:vAlign w:val="center"/>
          </w:tcPr>
          <w:p>
            <w:pPr>
              <w:pStyle w:val="15"/>
              <w:widowControl/>
              <w:spacing w:line="560" w:lineRule="exact"/>
              <w:jc w:val="center"/>
              <w:rPr>
                <w:rFonts w:hint="eastAsia" w:ascii="宋体" w:hAnsi="宋体" w:eastAsia="宋体" w:cs="宋体"/>
                <w:sz w:val="21"/>
                <w:szCs w:val="21"/>
              </w:rPr>
            </w:pPr>
            <w:r>
              <w:rPr>
                <w:rFonts w:hint="eastAsia" w:ascii="宋体" w:hAnsi="宋体" w:eastAsia="宋体" w:cs="宋体"/>
                <w:kern w:val="0"/>
                <w:sz w:val="21"/>
                <w:szCs w:val="21"/>
                <w:lang w:val="zh-TW" w:eastAsia="zh-TW"/>
              </w:rPr>
              <w:t>本年增</w:t>
            </w:r>
            <w:r>
              <w:rPr>
                <w:rFonts w:hint="eastAsia" w:ascii="宋体" w:hAnsi="宋体" w:eastAsia="宋体" w:cs="宋体"/>
                <w:kern w:val="0"/>
                <w:sz w:val="21"/>
                <w:szCs w:val="21"/>
              </w:rPr>
              <w:t>/</w:t>
            </w:r>
            <w:r>
              <w:rPr>
                <w:rFonts w:hint="eastAsia" w:ascii="宋体" w:hAnsi="宋体" w:eastAsia="宋体" w:cs="宋体"/>
                <w:kern w:val="0"/>
                <w:sz w:val="21"/>
                <w:szCs w:val="21"/>
                <w:lang w:val="zh-TW" w:eastAsia="zh-TW"/>
              </w:rPr>
              <w:t>减</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DBEEF3" w:themeFill="accent5" w:themeFillTint="32"/>
            <w:tcMar>
              <w:top w:w="80" w:type="dxa"/>
              <w:left w:w="80" w:type="dxa"/>
              <w:bottom w:w="80" w:type="dxa"/>
              <w:right w:w="80" w:type="dxa"/>
            </w:tcMar>
            <w:vAlign w:val="center"/>
          </w:tcPr>
          <w:p>
            <w:pPr>
              <w:pStyle w:val="15"/>
              <w:widowControl/>
              <w:spacing w:line="560" w:lineRule="exact"/>
              <w:jc w:val="center"/>
              <w:rPr>
                <w:rFonts w:hint="eastAsia" w:ascii="宋体" w:hAnsi="宋体" w:eastAsia="宋体" w:cs="宋体"/>
                <w:sz w:val="21"/>
                <w:szCs w:val="21"/>
              </w:rPr>
            </w:pPr>
            <w:r>
              <w:rPr>
                <w:rFonts w:hint="eastAsia" w:ascii="宋体" w:hAnsi="宋体" w:eastAsia="宋体" w:cs="宋体"/>
                <w:kern w:val="0"/>
                <w:sz w:val="21"/>
                <w:szCs w:val="21"/>
                <w:lang w:val="zh-TW" w:eastAsia="zh-TW"/>
              </w:rPr>
              <w:t>处理决定数量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77" w:hRule="atLeast"/>
          <w:jc w:val="center"/>
        </w:trPr>
        <w:tc>
          <w:tcPr>
            <w:tcW w:w="3479" w:type="dxa"/>
            <w:gridSpan w:val="2"/>
            <w:tcBorders>
              <w:top w:val="single" w:color="000000" w:sz="4" w:space="0"/>
              <w:left w:val="single" w:color="000000" w:sz="4" w:space="0"/>
              <w:bottom w:val="single" w:color="000000" w:sz="4" w:space="0"/>
              <w:right w:val="single" w:color="000000" w:sz="4" w:space="0"/>
            </w:tcBorders>
            <w:shd w:val="clear" w:color="auto" w:fill="DCE6F2" w:themeFill="accent1" w:themeFillTint="32"/>
            <w:tcMar>
              <w:top w:w="80" w:type="dxa"/>
              <w:left w:w="80" w:type="dxa"/>
              <w:bottom w:w="80" w:type="dxa"/>
              <w:right w:w="80" w:type="dxa"/>
            </w:tcMar>
            <w:vAlign w:val="center"/>
          </w:tcPr>
          <w:p>
            <w:pPr>
              <w:pStyle w:val="15"/>
              <w:widowControl/>
              <w:spacing w:line="560" w:lineRule="exact"/>
              <w:jc w:val="center"/>
            </w:pPr>
            <w:r>
              <w:rPr>
                <w:rFonts w:ascii="宋体" w:hAnsi="宋体" w:eastAsia="宋体" w:cs="宋体"/>
                <w:kern w:val="0"/>
                <w:sz w:val="21"/>
                <w:szCs w:val="21"/>
                <w:lang w:val="zh-TW" w:eastAsia="zh-TW"/>
              </w:rPr>
              <w:t>行政许可</w:t>
            </w:r>
          </w:p>
        </w:tc>
        <w:tc>
          <w:tcPr>
            <w:tcW w:w="220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5"/>
              <w:widowControl/>
              <w:spacing w:line="560" w:lineRule="exact"/>
              <w:jc w:val="center"/>
              <w:rPr>
                <w:rFonts w:hint="default" w:ascii="Times New Roman" w:hAnsi="Times New Roman"/>
                <w:kern w:val="0"/>
                <w:sz w:val="20"/>
                <w:szCs w:val="20"/>
                <w:lang w:val="en-US" w:eastAsia="zh-CN"/>
              </w:rPr>
            </w:pPr>
            <w:r>
              <w:rPr>
                <w:rFonts w:hint="default" w:ascii="Times New Roman" w:hAnsi="Times New Roman"/>
                <w:kern w:val="0"/>
                <w:sz w:val="20"/>
                <w:szCs w:val="20"/>
                <w:lang w:val="en-US" w:eastAsia="zh-CN"/>
              </w:rPr>
              <w:t>564</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5"/>
              <w:widowControl/>
              <w:spacing w:line="560" w:lineRule="exact"/>
              <w:jc w:val="center"/>
              <w:rPr>
                <w:rFonts w:hint="default" w:ascii="Times New Roman" w:hAnsi="Times New Roman"/>
                <w:kern w:val="0"/>
                <w:sz w:val="20"/>
                <w:szCs w:val="20"/>
                <w:lang w:val="en-US" w:eastAsia="zh-CN"/>
              </w:rPr>
            </w:pPr>
            <w:r>
              <w:rPr>
                <w:rFonts w:hint="eastAsia" w:ascii="Times New Roman" w:hAnsi="Times New Roman"/>
                <w:kern w:val="0"/>
                <w:sz w:val="20"/>
                <w:szCs w:val="20"/>
                <w:lang w:val="en-US" w:eastAsia="zh-CN"/>
              </w:rPr>
              <w:t>+</w:t>
            </w:r>
            <w:r>
              <w:rPr>
                <w:rFonts w:hint="default" w:ascii="Times New Roman" w:hAnsi="Times New Roman"/>
                <w:kern w:val="0"/>
                <w:sz w:val="20"/>
                <w:szCs w:val="20"/>
                <w:lang w:val="en-US" w:eastAsia="zh-CN"/>
              </w:rPr>
              <w:t>214</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5"/>
              <w:widowControl/>
              <w:spacing w:line="560" w:lineRule="exact"/>
              <w:jc w:val="center"/>
              <w:rPr>
                <w:rFonts w:hint="default" w:ascii="Times New Roman" w:hAnsi="Times New Roman"/>
                <w:kern w:val="0"/>
                <w:sz w:val="20"/>
                <w:szCs w:val="20"/>
                <w:lang w:val="en-US" w:eastAsia="zh-CN"/>
              </w:rPr>
            </w:pPr>
            <w:r>
              <w:rPr>
                <w:rFonts w:hint="default" w:ascii="Times New Roman" w:hAnsi="Times New Roman"/>
                <w:kern w:val="0"/>
                <w:sz w:val="20"/>
                <w:szCs w:val="20"/>
                <w:lang w:val="en-US" w:eastAsia="zh-CN"/>
              </w:rPr>
              <w:t>231</w:t>
            </w:r>
            <w:r>
              <w:rPr>
                <w:rFonts w:hint="eastAsia" w:ascii="Times New Roman" w:hAnsi="Times New Roman"/>
                <w:kern w:val="0"/>
                <w:sz w:val="20"/>
                <w:szCs w:val="20"/>
                <w:lang w:val="en-US" w:eastAsia="zh-CN"/>
              </w:rPr>
              <w:t>,</w:t>
            </w:r>
            <w:r>
              <w:rPr>
                <w:rFonts w:hint="default" w:ascii="Times New Roman" w:hAnsi="Times New Roman"/>
                <w:kern w:val="0"/>
                <w:sz w:val="20"/>
                <w:szCs w:val="20"/>
                <w:lang w:val="en-US" w:eastAsia="zh-CN"/>
              </w:rPr>
              <w:t>467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11" w:hRule="atLeast"/>
          <w:jc w:val="center"/>
        </w:trPr>
        <w:tc>
          <w:tcPr>
            <w:tcW w:w="2122" w:type="dxa"/>
            <w:vMerge w:val="restart"/>
            <w:tcBorders>
              <w:top w:val="single" w:color="000000" w:sz="4" w:space="0"/>
              <w:left w:val="single" w:color="000000" w:sz="4" w:space="0"/>
              <w:bottom w:val="single" w:color="000000" w:sz="4" w:space="0"/>
              <w:right w:val="single" w:color="000000" w:sz="4" w:space="0"/>
            </w:tcBorders>
            <w:shd w:val="clear" w:color="auto" w:fill="DCE6F2" w:themeFill="accent1" w:themeFillTint="32"/>
            <w:tcMar>
              <w:top w:w="80" w:type="dxa"/>
              <w:left w:w="80" w:type="dxa"/>
              <w:bottom w:w="80" w:type="dxa"/>
              <w:right w:w="80" w:type="dxa"/>
            </w:tcMar>
            <w:vAlign w:val="center"/>
          </w:tcPr>
          <w:p>
            <w:pPr>
              <w:pStyle w:val="15"/>
              <w:widowControl/>
              <w:spacing w:line="560" w:lineRule="exact"/>
              <w:jc w:val="center"/>
              <w:rPr>
                <w:rFonts w:ascii="宋体" w:hAnsi="宋体" w:eastAsia="宋体" w:cs="宋体"/>
                <w:kern w:val="0"/>
                <w:sz w:val="21"/>
                <w:szCs w:val="21"/>
                <w:lang w:val="zh-TW" w:eastAsia="zh-TW"/>
              </w:rPr>
            </w:pPr>
            <w:r>
              <w:rPr>
                <w:rFonts w:ascii="宋体" w:hAnsi="宋体" w:eastAsia="宋体" w:cs="宋体"/>
                <w:kern w:val="0"/>
                <w:sz w:val="21"/>
                <w:szCs w:val="21"/>
                <w:lang w:val="zh-TW" w:eastAsia="zh-TW"/>
              </w:rPr>
              <w:t>其他对外管理</w:t>
            </w:r>
          </w:p>
          <w:p>
            <w:pPr>
              <w:pStyle w:val="15"/>
              <w:widowControl/>
              <w:spacing w:line="560" w:lineRule="exact"/>
              <w:jc w:val="center"/>
            </w:pPr>
            <w:r>
              <w:rPr>
                <w:rFonts w:ascii="宋体" w:hAnsi="宋体" w:eastAsia="宋体" w:cs="宋体"/>
                <w:kern w:val="0"/>
                <w:sz w:val="21"/>
                <w:szCs w:val="21"/>
                <w:lang w:val="zh-TW" w:eastAsia="zh-TW"/>
              </w:rPr>
              <w:t>服务事项</w:t>
            </w:r>
          </w:p>
        </w:tc>
        <w:tc>
          <w:tcPr>
            <w:tcW w:w="1357"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tcMar>
              <w:top w:w="80" w:type="dxa"/>
              <w:left w:w="80" w:type="dxa"/>
              <w:bottom w:w="80" w:type="dxa"/>
              <w:right w:w="80" w:type="dxa"/>
            </w:tcMar>
            <w:vAlign w:val="center"/>
          </w:tcPr>
          <w:p>
            <w:pPr>
              <w:pStyle w:val="15"/>
              <w:widowControl/>
              <w:spacing w:line="560" w:lineRule="exact"/>
              <w:jc w:val="center"/>
              <w:rPr>
                <w:sz w:val="21"/>
                <w:szCs w:val="21"/>
              </w:rPr>
            </w:pPr>
            <w:r>
              <w:rPr>
                <w:rFonts w:ascii="宋体" w:hAnsi="宋体" w:eastAsia="宋体" w:cs="宋体"/>
                <w:kern w:val="0"/>
                <w:sz w:val="21"/>
                <w:szCs w:val="21"/>
                <w:lang w:val="zh-TW" w:eastAsia="zh-TW"/>
              </w:rPr>
              <w:t>行政检查</w:t>
            </w:r>
          </w:p>
        </w:tc>
        <w:tc>
          <w:tcPr>
            <w:tcW w:w="220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5"/>
              <w:widowControl/>
              <w:spacing w:line="560" w:lineRule="exact"/>
              <w:jc w:val="center"/>
              <w:rPr>
                <w:rFonts w:hint="default" w:eastAsia="Arial Unicode MS"/>
                <w:lang w:val="en-US" w:eastAsia="zh-CN"/>
              </w:rPr>
            </w:pPr>
            <w:r>
              <w:rPr>
                <w:rFonts w:hint="eastAsia" w:ascii="Times New Roman" w:hAnsi="Times New Roman"/>
                <w:kern w:val="0"/>
                <w:sz w:val="20"/>
                <w:szCs w:val="20"/>
                <w:lang w:val="en-US" w:eastAsia="zh-CN"/>
              </w:rPr>
              <w:t>3,017</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5"/>
              <w:widowControl/>
              <w:spacing w:line="560" w:lineRule="exact"/>
              <w:jc w:val="center"/>
              <w:rPr>
                <w:rFonts w:hint="default" w:eastAsia="Arial Unicode MS"/>
                <w:lang w:val="en-US" w:eastAsia="zh-CN"/>
              </w:rPr>
            </w:pPr>
            <w:r>
              <w:rPr>
                <w:rFonts w:hint="eastAsia" w:ascii="Times New Roman" w:hAnsi="Times New Roman"/>
                <w:kern w:val="0"/>
                <w:sz w:val="20"/>
                <w:szCs w:val="20"/>
                <w:lang w:val="en-US" w:eastAsia="zh-CN"/>
              </w:rPr>
              <w:t>+193</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color="000000"/>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sz w:val="24"/>
                <w:szCs w:val="24"/>
                <w:u w:val="none" w:color="000000"/>
                <w:lang w:val="en-US" w:eastAsia="zh-CN" w:bidi="ar-SA"/>
              </w:rPr>
            </w:pPr>
            <w:r>
              <w:rPr>
                <w:rFonts w:hint="default" w:ascii="Times New Roman" w:hAnsi="Times New Roman" w:eastAsia="宋体" w:cs="Times New Roman"/>
                <w:i w:val="0"/>
                <w:color w:val="000000"/>
                <w:kern w:val="0"/>
                <w:sz w:val="20"/>
                <w:szCs w:val="20"/>
                <w:u w:val="none" w:color="000000"/>
                <w:lang w:val="en-US" w:eastAsia="zh-CN" w:bidi="ar"/>
              </w:rPr>
              <w:t>254</w:t>
            </w:r>
            <w:r>
              <w:rPr>
                <w:rFonts w:hint="eastAsia" w:ascii="Times New Roman" w:hAnsi="Times New Roman" w:eastAsia="宋体" w:cs="Times New Roman"/>
                <w:i w:val="0"/>
                <w:color w:val="000000"/>
                <w:kern w:val="0"/>
                <w:sz w:val="20"/>
                <w:szCs w:val="20"/>
                <w:u w:val="none" w:color="000000"/>
                <w:lang w:val="en-US" w:eastAsia="zh-CN" w:bidi="ar"/>
              </w:rPr>
              <w:t>,</w:t>
            </w:r>
            <w:r>
              <w:rPr>
                <w:rFonts w:hint="default" w:ascii="Times New Roman" w:hAnsi="Times New Roman" w:eastAsia="宋体" w:cs="Times New Roman"/>
                <w:i w:val="0"/>
                <w:color w:val="000000"/>
                <w:kern w:val="0"/>
                <w:sz w:val="20"/>
                <w:szCs w:val="20"/>
                <w:u w:val="none" w:color="000000"/>
                <w:lang w:val="en-US" w:eastAsia="zh-CN" w:bidi="ar"/>
              </w:rPr>
              <w:t>944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84" w:hRule="atLeast"/>
          <w:jc w:val="center"/>
        </w:trPr>
        <w:tc>
          <w:tcPr>
            <w:tcW w:w="2122" w:type="dxa"/>
            <w:vMerge w:val="continue"/>
            <w:tcBorders>
              <w:top w:val="single" w:color="000000" w:sz="4" w:space="0"/>
              <w:left w:val="single" w:color="000000" w:sz="4" w:space="0"/>
              <w:bottom w:val="single" w:color="000000" w:sz="4" w:space="0"/>
              <w:right w:val="single" w:color="000000" w:sz="4" w:space="0"/>
            </w:tcBorders>
            <w:shd w:val="clear" w:color="auto" w:fill="DCE6F2" w:themeFill="accent1" w:themeFillTint="32"/>
          </w:tcPr>
          <w:p>
            <w:pPr>
              <w:spacing w:line="560" w:lineRule="exact"/>
              <w:jc w:val="both"/>
              <w:rPr>
                <w:rFonts w:hint="default"/>
              </w:rPr>
            </w:pPr>
          </w:p>
        </w:tc>
        <w:tc>
          <w:tcPr>
            <w:tcW w:w="1357"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tcMar>
              <w:top w:w="80" w:type="dxa"/>
              <w:left w:w="80" w:type="dxa"/>
              <w:bottom w:w="80" w:type="dxa"/>
              <w:right w:w="80" w:type="dxa"/>
            </w:tcMar>
            <w:vAlign w:val="center"/>
          </w:tcPr>
          <w:p>
            <w:pPr>
              <w:pStyle w:val="15"/>
              <w:widowControl/>
              <w:spacing w:line="560" w:lineRule="exact"/>
              <w:jc w:val="center"/>
              <w:rPr>
                <w:sz w:val="21"/>
                <w:szCs w:val="21"/>
              </w:rPr>
            </w:pPr>
            <w:r>
              <w:rPr>
                <w:rFonts w:ascii="宋体" w:hAnsi="宋体" w:eastAsia="宋体" w:cs="宋体"/>
                <w:kern w:val="0"/>
                <w:sz w:val="21"/>
                <w:szCs w:val="21"/>
                <w:lang w:val="zh-TW" w:eastAsia="zh-TW"/>
              </w:rPr>
              <w:t>行政确认</w:t>
            </w:r>
          </w:p>
        </w:tc>
        <w:tc>
          <w:tcPr>
            <w:tcW w:w="220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5"/>
              <w:widowControl/>
              <w:spacing w:line="560" w:lineRule="exact"/>
              <w:jc w:val="center"/>
              <w:rPr>
                <w:rFonts w:hint="default" w:eastAsia="Arial Unicode MS"/>
                <w:lang w:val="en-US" w:eastAsia="zh-CN"/>
              </w:rPr>
            </w:pPr>
            <w:r>
              <w:rPr>
                <w:rFonts w:hint="eastAsia" w:ascii="Times New Roman" w:hAnsi="Times New Roman"/>
                <w:kern w:val="0"/>
                <w:sz w:val="20"/>
                <w:szCs w:val="20"/>
                <w:lang w:val="en-US" w:eastAsia="zh-CN"/>
              </w:rPr>
              <w:t>97</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5"/>
              <w:widowControl/>
              <w:spacing w:line="560" w:lineRule="exact"/>
              <w:jc w:val="center"/>
              <w:rPr>
                <w:rFonts w:hint="default" w:eastAsia="Arial Unicode MS"/>
                <w:lang w:val="en-US" w:eastAsia="zh-CN"/>
              </w:rPr>
            </w:pPr>
            <w:r>
              <w:rPr>
                <w:rFonts w:hint="eastAsia" w:ascii="Times New Roman" w:hAnsi="Times New Roman"/>
                <w:kern w:val="0"/>
                <w:sz w:val="20"/>
                <w:szCs w:val="20"/>
                <w:lang w:val="en-US" w:eastAsia="zh-CN"/>
              </w:rPr>
              <w:t>+28</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5"/>
              <w:widowControl/>
              <w:spacing w:line="560" w:lineRule="exact"/>
              <w:jc w:val="center"/>
              <w:rPr>
                <w:rFonts w:hint="default" w:eastAsia="Arial Unicode MS"/>
                <w:lang w:val="en-US" w:eastAsia="zh-CN"/>
              </w:rPr>
            </w:pPr>
            <w:r>
              <w:rPr>
                <w:rFonts w:hint="eastAsia" w:ascii="Times New Roman" w:hAnsi="Times New Roman"/>
                <w:kern w:val="0"/>
                <w:sz w:val="20"/>
                <w:szCs w:val="20"/>
                <w:lang w:val="en-US" w:eastAsia="zh-CN"/>
              </w:rPr>
              <w:t>47,762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77" w:hRule="atLeast"/>
          <w:jc w:val="center"/>
        </w:trPr>
        <w:tc>
          <w:tcPr>
            <w:tcW w:w="8894" w:type="dxa"/>
            <w:gridSpan w:val="7"/>
            <w:tcBorders>
              <w:top w:val="single" w:color="000000" w:sz="4" w:space="0"/>
              <w:left w:val="single" w:color="000000" w:sz="4" w:space="0"/>
              <w:bottom w:val="single" w:color="000000" w:sz="4" w:space="0"/>
              <w:right w:val="single" w:color="000000" w:sz="4" w:space="0"/>
            </w:tcBorders>
            <w:shd w:val="clear" w:color="auto" w:fill="95B3D7" w:themeFill="accent1" w:themeFillTint="99"/>
            <w:tcMar>
              <w:top w:w="80" w:type="dxa"/>
              <w:left w:w="80" w:type="dxa"/>
              <w:bottom w:w="80" w:type="dxa"/>
              <w:right w:w="80" w:type="dxa"/>
            </w:tcMar>
            <w:vAlign w:val="center"/>
          </w:tcPr>
          <w:p>
            <w:pPr>
              <w:pStyle w:val="15"/>
              <w:widowControl/>
              <w:spacing w:line="560" w:lineRule="exact"/>
              <w:jc w:val="center"/>
            </w:pPr>
            <w:r>
              <w:rPr>
                <w:rFonts w:ascii="宋体" w:hAnsi="宋体" w:eastAsia="宋体" w:cs="宋体"/>
                <w:kern w:val="0"/>
                <w:sz w:val="21"/>
                <w:szCs w:val="21"/>
                <w:lang w:val="zh-TW" w:eastAsia="zh-TW"/>
              </w:rPr>
              <w:t>第二十条第（六）项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77" w:hRule="atLeast"/>
          <w:jc w:val="center"/>
        </w:trPr>
        <w:tc>
          <w:tcPr>
            <w:tcW w:w="3479" w:type="dxa"/>
            <w:gridSpan w:val="2"/>
            <w:tcBorders>
              <w:top w:val="single" w:color="000000" w:sz="4" w:space="0"/>
              <w:left w:val="single" w:color="000000" w:sz="4" w:space="0"/>
              <w:bottom w:val="single" w:color="000000" w:sz="4" w:space="0"/>
              <w:right w:val="single" w:color="000000" w:sz="4" w:space="0"/>
            </w:tcBorders>
            <w:shd w:val="clear" w:color="auto" w:fill="DCE6F2" w:themeFill="accent1" w:themeFillTint="32"/>
            <w:tcMar>
              <w:top w:w="80" w:type="dxa"/>
              <w:left w:w="80" w:type="dxa"/>
              <w:bottom w:w="80" w:type="dxa"/>
              <w:right w:w="80" w:type="dxa"/>
            </w:tcMar>
            <w:vAlign w:val="center"/>
          </w:tcPr>
          <w:p>
            <w:pPr>
              <w:pStyle w:val="15"/>
              <w:widowControl/>
              <w:spacing w:line="560" w:lineRule="exact"/>
              <w:jc w:val="center"/>
              <w:rPr>
                <w:rFonts w:hint="eastAsia" w:ascii="宋体" w:hAnsi="宋体" w:eastAsia="宋体" w:cs="宋体"/>
                <w:sz w:val="21"/>
                <w:szCs w:val="21"/>
              </w:rPr>
            </w:pPr>
            <w:r>
              <w:rPr>
                <w:rFonts w:hint="eastAsia" w:ascii="宋体" w:hAnsi="宋体" w:eastAsia="宋体" w:cs="宋体"/>
                <w:kern w:val="0"/>
                <w:sz w:val="21"/>
                <w:szCs w:val="21"/>
                <w:lang w:val="zh-TW" w:eastAsia="zh-TW"/>
              </w:rPr>
              <w:t>信息内容</w:t>
            </w:r>
          </w:p>
        </w:tc>
        <w:tc>
          <w:tcPr>
            <w:tcW w:w="2202" w:type="dxa"/>
            <w:gridSpan w:val="2"/>
            <w:tcBorders>
              <w:top w:val="single" w:color="000000" w:sz="4" w:space="0"/>
              <w:left w:val="single" w:color="000000" w:sz="4" w:space="0"/>
              <w:bottom w:val="single" w:color="000000" w:sz="4" w:space="0"/>
              <w:right w:val="single" w:color="000000" w:sz="4" w:space="0"/>
            </w:tcBorders>
            <w:shd w:val="clear" w:color="auto" w:fill="DBEEF3" w:themeFill="accent5" w:themeFillTint="32"/>
            <w:tcMar>
              <w:top w:w="80" w:type="dxa"/>
              <w:left w:w="80" w:type="dxa"/>
              <w:bottom w:w="80" w:type="dxa"/>
              <w:right w:w="80" w:type="dxa"/>
            </w:tcMar>
            <w:vAlign w:val="center"/>
          </w:tcPr>
          <w:p>
            <w:pPr>
              <w:pStyle w:val="15"/>
              <w:widowControl/>
              <w:spacing w:line="560" w:lineRule="exact"/>
              <w:jc w:val="center"/>
              <w:rPr>
                <w:rFonts w:hint="eastAsia" w:ascii="宋体" w:hAnsi="宋体" w:eastAsia="宋体" w:cs="宋体"/>
                <w:sz w:val="21"/>
                <w:szCs w:val="21"/>
              </w:rPr>
            </w:pPr>
            <w:r>
              <w:rPr>
                <w:rFonts w:hint="eastAsia" w:ascii="宋体" w:hAnsi="宋体" w:eastAsia="宋体" w:cs="宋体"/>
                <w:kern w:val="0"/>
                <w:sz w:val="21"/>
                <w:szCs w:val="21"/>
                <w:lang w:val="zh-TW" w:eastAsia="zh-TW"/>
              </w:rPr>
              <w:t>上一年项目数量</w:t>
            </w:r>
          </w:p>
        </w:tc>
        <w:tc>
          <w:tcPr>
            <w:tcW w:w="1360"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tcMar>
              <w:top w:w="80" w:type="dxa"/>
              <w:left w:w="80" w:type="dxa"/>
              <w:bottom w:w="80" w:type="dxa"/>
              <w:right w:w="80" w:type="dxa"/>
            </w:tcMar>
            <w:vAlign w:val="center"/>
          </w:tcPr>
          <w:p>
            <w:pPr>
              <w:pStyle w:val="15"/>
              <w:widowControl/>
              <w:spacing w:line="560" w:lineRule="exact"/>
              <w:jc w:val="center"/>
              <w:rPr>
                <w:rFonts w:hint="eastAsia" w:ascii="宋体" w:hAnsi="宋体" w:eastAsia="宋体" w:cs="宋体"/>
                <w:sz w:val="21"/>
                <w:szCs w:val="21"/>
              </w:rPr>
            </w:pPr>
            <w:r>
              <w:rPr>
                <w:rFonts w:hint="eastAsia" w:ascii="宋体" w:hAnsi="宋体" w:eastAsia="宋体" w:cs="宋体"/>
                <w:kern w:val="0"/>
                <w:sz w:val="21"/>
                <w:szCs w:val="21"/>
                <w:lang w:val="zh-TW" w:eastAsia="zh-TW"/>
              </w:rPr>
              <w:t>本年增</w:t>
            </w:r>
            <w:r>
              <w:rPr>
                <w:rFonts w:hint="eastAsia" w:ascii="宋体" w:hAnsi="宋体" w:eastAsia="宋体" w:cs="宋体"/>
                <w:kern w:val="0"/>
                <w:sz w:val="21"/>
                <w:szCs w:val="21"/>
              </w:rPr>
              <w:t>/</w:t>
            </w:r>
            <w:r>
              <w:rPr>
                <w:rFonts w:hint="eastAsia" w:ascii="宋体" w:hAnsi="宋体" w:eastAsia="宋体" w:cs="宋体"/>
                <w:kern w:val="0"/>
                <w:sz w:val="21"/>
                <w:szCs w:val="21"/>
                <w:lang w:val="zh-TW" w:eastAsia="zh-TW"/>
              </w:rPr>
              <w:t>减</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DBEEF3" w:themeFill="accent5" w:themeFillTint="32"/>
            <w:tcMar>
              <w:top w:w="80" w:type="dxa"/>
              <w:left w:w="80" w:type="dxa"/>
              <w:bottom w:w="80" w:type="dxa"/>
              <w:right w:w="80" w:type="dxa"/>
            </w:tcMar>
            <w:vAlign w:val="center"/>
          </w:tcPr>
          <w:p>
            <w:pPr>
              <w:pStyle w:val="15"/>
              <w:widowControl/>
              <w:spacing w:line="560" w:lineRule="exact"/>
              <w:jc w:val="center"/>
              <w:rPr>
                <w:rFonts w:hint="eastAsia" w:ascii="宋体" w:hAnsi="宋体" w:eastAsia="宋体" w:cs="宋体"/>
                <w:sz w:val="21"/>
                <w:szCs w:val="21"/>
              </w:rPr>
            </w:pPr>
            <w:r>
              <w:rPr>
                <w:rFonts w:hint="eastAsia" w:ascii="宋体" w:hAnsi="宋体" w:eastAsia="宋体" w:cs="宋体"/>
                <w:kern w:val="0"/>
                <w:sz w:val="21"/>
                <w:szCs w:val="21"/>
                <w:lang w:val="zh-TW" w:eastAsia="zh-TW"/>
              </w:rPr>
              <w:t>处理决定数量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77" w:hRule="atLeast"/>
          <w:jc w:val="center"/>
        </w:trPr>
        <w:tc>
          <w:tcPr>
            <w:tcW w:w="3479" w:type="dxa"/>
            <w:gridSpan w:val="2"/>
            <w:tcBorders>
              <w:top w:val="single" w:color="000000" w:sz="4" w:space="0"/>
              <w:left w:val="single" w:color="000000" w:sz="4" w:space="0"/>
              <w:bottom w:val="single" w:color="000000" w:sz="4" w:space="0"/>
              <w:right w:val="single" w:color="000000" w:sz="4" w:space="0"/>
            </w:tcBorders>
            <w:shd w:val="clear" w:color="auto" w:fill="DCE6F2" w:themeFill="accent1" w:themeFillTint="32"/>
            <w:tcMar>
              <w:top w:w="80" w:type="dxa"/>
              <w:left w:w="80" w:type="dxa"/>
              <w:bottom w:w="80" w:type="dxa"/>
              <w:right w:w="80" w:type="dxa"/>
            </w:tcMar>
            <w:vAlign w:val="center"/>
          </w:tcPr>
          <w:p>
            <w:pPr>
              <w:pStyle w:val="15"/>
              <w:widowControl/>
              <w:spacing w:line="560" w:lineRule="exact"/>
              <w:jc w:val="center"/>
              <w:rPr>
                <w:sz w:val="21"/>
                <w:szCs w:val="21"/>
              </w:rPr>
            </w:pPr>
            <w:r>
              <w:rPr>
                <w:rFonts w:ascii="宋体" w:hAnsi="宋体" w:eastAsia="宋体" w:cs="宋体"/>
                <w:kern w:val="0"/>
                <w:sz w:val="21"/>
                <w:szCs w:val="21"/>
                <w:lang w:val="zh-TW" w:eastAsia="zh-TW"/>
              </w:rPr>
              <w:t>行政处罚</w:t>
            </w:r>
          </w:p>
        </w:tc>
        <w:tc>
          <w:tcPr>
            <w:tcW w:w="220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5"/>
              <w:widowControl/>
              <w:spacing w:line="560" w:lineRule="exact"/>
              <w:jc w:val="center"/>
              <w:rPr>
                <w:rFonts w:hint="default" w:ascii="Times New Roman" w:hAnsi="Times New Roman" w:eastAsia="Arial Unicode MS" w:cs="Times New Roman"/>
                <w:sz w:val="20"/>
                <w:szCs w:val="20"/>
                <w:lang w:val="en-US" w:eastAsia="zh-CN"/>
              </w:rPr>
            </w:pPr>
            <w:r>
              <w:rPr>
                <w:rFonts w:hint="default" w:ascii="Times New Roman" w:hAnsi="Times New Roman" w:cs="Times New Roman"/>
                <w:kern w:val="0"/>
                <w:sz w:val="20"/>
                <w:szCs w:val="20"/>
              </w:rPr>
              <w:t>7,</w:t>
            </w:r>
            <w:r>
              <w:rPr>
                <w:rFonts w:hint="default" w:ascii="Times New Roman" w:hAnsi="Times New Roman" w:cs="Times New Roman"/>
                <w:kern w:val="0"/>
                <w:sz w:val="20"/>
                <w:szCs w:val="20"/>
                <w:lang w:val="en-US" w:eastAsia="zh-CN"/>
              </w:rPr>
              <w:t>251</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5"/>
              <w:widowControl/>
              <w:spacing w:line="560" w:lineRule="exact"/>
              <w:jc w:val="center"/>
              <w:rPr>
                <w:rFonts w:hint="default" w:ascii="Times New Roman" w:hAnsi="Times New Roman" w:eastAsia="Arial Unicode MS" w:cs="Times New Roman"/>
                <w:sz w:val="20"/>
                <w:szCs w:val="20"/>
                <w:lang w:val="en-US" w:eastAsia="zh-CN"/>
              </w:rPr>
            </w:pPr>
            <w:r>
              <w:rPr>
                <w:rFonts w:hint="eastAsia" w:ascii="Times New Roman" w:hAnsi="Times New Roman" w:cs="Times New Roman"/>
                <w:kern w:val="0"/>
                <w:sz w:val="20"/>
                <w:szCs w:val="20"/>
                <w:lang w:val="en-US" w:eastAsia="zh-CN"/>
              </w:rPr>
              <w:t>+</w:t>
            </w:r>
            <w:r>
              <w:rPr>
                <w:rFonts w:hint="default" w:ascii="Times New Roman" w:hAnsi="Times New Roman" w:cs="Times New Roman"/>
                <w:kern w:val="0"/>
                <w:sz w:val="20"/>
                <w:szCs w:val="20"/>
                <w:lang w:val="en-US" w:eastAsia="zh-CN"/>
              </w:rPr>
              <w:t>4</w:t>
            </w:r>
            <w:r>
              <w:rPr>
                <w:rFonts w:hint="eastAsia" w:ascii="Times New Roman" w:hAnsi="Times New Roman" w:cs="Times New Roman"/>
                <w:kern w:val="0"/>
                <w:sz w:val="20"/>
                <w:szCs w:val="20"/>
                <w:lang w:val="en-US" w:eastAsia="zh-CN"/>
              </w:rPr>
              <w:t>,</w:t>
            </w:r>
            <w:r>
              <w:rPr>
                <w:rFonts w:hint="default" w:ascii="Times New Roman" w:hAnsi="Times New Roman" w:cs="Times New Roman"/>
                <w:kern w:val="0"/>
                <w:sz w:val="20"/>
                <w:szCs w:val="20"/>
                <w:lang w:val="en-US" w:eastAsia="zh-CN"/>
              </w:rPr>
              <w:t>448</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5"/>
              <w:widowControl/>
              <w:spacing w:line="560" w:lineRule="exact"/>
              <w:jc w:val="center"/>
              <w:rPr>
                <w:rFonts w:hint="default" w:ascii="Times New Roman" w:hAnsi="Times New Roman" w:eastAsia="Arial Unicode MS" w:cs="Times New Roman"/>
                <w:sz w:val="20"/>
                <w:szCs w:val="20"/>
                <w:lang w:val="en-US" w:eastAsia="zh-CN"/>
              </w:rPr>
            </w:pPr>
            <w:r>
              <w:rPr>
                <w:rFonts w:hint="default" w:ascii="Times New Roman" w:hAnsi="Times New Roman" w:cs="Times New Roman"/>
                <w:kern w:val="0"/>
                <w:sz w:val="20"/>
                <w:szCs w:val="20"/>
                <w:lang w:val="en-US" w:eastAsia="zh-CN"/>
              </w:rPr>
              <w:t>30</w:t>
            </w:r>
            <w:r>
              <w:rPr>
                <w:rFonts w:hint="eastAsia" w:ascii="Times New Roman" w:hAnsi="Times New Roman" w:cs="Times New Roman"/>
                <w:kern w:val="0"/>
                <w:sz w:val="20"/>
                <w:szCs w:val="20"/>
                <w:lang w:val="en-US" w:eastAsia="zh-CN"/>
              </w:rPr>
              <w:t>,</w:t>
            </w:r>
            <w:r>
              <w:rPr>
                <w:rFonts w:hint="default" w:ascii="Times New Roman" w:hAnsi="Times New Roman" w:cs="Times New Roman"/>
                <w:kern w:val="0"/>
                <w:sz w:val="20"/>
                <w:szCs w:val="20"/>
                <w:lang w:val="en-US" w:eastAsia="zh-CN"/>
              </w:rPr>
              <w:t>345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77" w:hRule="atLeast"/>
          <w:jc w:val="center"/>
        </w:trPr>
        <w:tc>
          <w:tcPr>
            <w:tcW w:w="3479" w:type="dxa"/>
            <w:gridSpan w:val="2"/>
            <w:tcBorders>
              <w:top w:val="single" w:color="000000" w:sz="4" w:space="0"/>
              <w:left w:val="single" w:color="000000" w:sz="4" w:space="0"/>
              <w:bottom w:val="single" w:color="000000" w:sz="4" w:space="0"/>
              <w:right w:val="single" w:color="000000" w:sz="4" w:space="0"/>
            </w:tcBorders>
            <w:shd w:val="clear" w:color="auto" w:fill="DCE6F2" w:themeFill="accent1" w:themeFillTint="32"/>
            <w:tcMar>
              <w:top w:w="80" w:type="dxa"/>
              <w:left w:w="80" w:type="dxa"/>
              <w:bottom w:w="80" w:type="dxa"/>
              <w:right w:w="80" w:type="dxa"/>
            </w:tcMar>
            <w:vAlign w:val="center"/>
          </w:tcPr>
          <w:p>
            <w:pPr>
              <w:pStyle w:val="15"/>
              <w:widowControl/>
              <w:spacing w:line="560" w:lineRule="exact"/>
              <w:jc w:val="center"/>
              <w:rPr>
                <w:sz w:val="21"/>
                <w:szCs w:val="21"/>
              </w:rPr>
            </w:pPr>
            <w:r>
              <w:rPr>
                <w:rFonts w:ascii="宋体" w:hAnsi="宋体" w:eastAsia="宋体" w:cs="宋体"/>
                <w:kern w:val="0"/>
                <w:sz w:val="21"/>
                <w:szCs w:val="21"/>
                <w:lang w:val="zh-TW" w:eastAsia="zh-TW"/>
              </w:rPr>
              <w:t>行政强制</w:t>
            </w:r>
          </w:p>
        </w:tc>
        <w:tc>
          <w:tcPr>
            <w:tcW w:w="220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5"/>
              <w:widowControl/>
              <w:spacing w:line="560" w:lineRule="exact"/>
              <w:jc w:val="center"/>
              <w:rPr>
                <w:rFonts w:hint="default" w:ascii="Times New Roman" w:hAnsi="Times New Roman" w:eastAsia="Arial Unicode MS" w:cs="Times New Roman"/>
                <w:sz w:val="20"/>
                <w:szCs w:val="20"/>
                <w:lang w:val="en-US" w:eastAsia="zh-CN"/>
              </w:rPr>
            </w:pPr>
            <w:r>
              <w:rPr>
                <w:rFonts w:hint="default" w:ascii="Times New Roman" w:hAnsi="Times New Roman" w:cs="Times New Roman"/>
                <w:kern w:val="0"/>
                <w:sz w:val="20"/>
                <w:szCs w:val="20"/>
              </w:rPr>
              <w:t>11</w:t>
            </w:r>
            <w:r>
              <w:rPr>
                <w:rFonts w:hint="default" w:ascii="Times New Roman" w:hAnsi="Times New Roman" w:cs="Times New Roman"/>
                <w:kern w:val="0"/>
                <w:sz w:val="20"/>
                <w:szCs w:val="20"/>
                <w:lang w:val="en-US" w:eastAsia="zh-CN"/>
              </w:rPr>
              <w:t>0</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5"/>
              <w:widowControl/>
              <w:spacing w:line="560" w:lineRule="exact"/>
              <w:jc w:val="center"/>
              <w:rPr>
                <w:rFonts w:hint="default" w:ascii="Times New Roman" w:hAnsi="Times New Roman" w:eastAsia="Arial Unicode MS" w:cs="Times New Roman"/>
                <w:sz w:val="20"/>
                <w:szCs w:val="20"/>
                <w:lang w:val="en-US" w:eastAsia="zh-CN"/>
              </w:rPr>
            </w:pPr>
            <w:r>
              <w:rPr>
                <w:rFonts w:hint="eastAsia" w:ascii="Times New Roman" w:hAnsi="Times New Roman" w:cs="Times New Roman"/>
                <w:kern w:val="0"/>
                <w:sz w:val="20"/>
                <w:szCs w:val="20"/>
                <w:lang w:val="en-US" w:eastAsia="zh-CN"/>
              </w:rPr>
              <w:t>+</w:t>
            </w:r>
            <w:r>
              <w:rPr>
                <w:rFonts w:hint="default" w:ascii="Times New Roman" w:hAnsi="Times New Roman" w:cs="Times New Roman"/>
                <w:kern w:val="0"/>
                <w:sz w:val="20"/>
                <w:szCs w:val="20"/>
                <w:lang w:val="en-US" w:eastAsia="zh-CN"/>
              </w:rPr>
              <w:t>218</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5"/>
              <w:widowControl/>
              <w:spacing w:line="560" w:lineRule="exact"/>
              <w:jc w:val="center"/>
              <w:rPr>
                <w:rFonts w:hint="default" w:ascii="Times New Roman" w:hAnsi="Times New Roman" w:eastAsia="Arial Unicode MS" w:cs="Times New Roman"/>
                <w:sz w:val="20"/>
                <w:szCs w:val="20"/>
                <w:lang w:val="en-US" w:eastAsia="zh-CN"/>
              </w:rPr>
            </w:pPr>
            <w:r>
              <w:rPr>
                <w:rFonts w:hint="default" w:ascii="Times New Roman" w:hAnsi="Times New Roman" w:cs="Times New Roman"/>
                <w:sz w:val="20"/>
                <w:szCs w:val="20"/>
                <w:lang w:val="en-US" w:eastAsia="zh-CN"/>
              </w:rPr>
              <w:t>370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77" w:hRule="atLeast"/>
          <w:jc w:val="center"/>
        </w:trPr>
        <w:tc>
          <w:tcPr>
            <w:tcW w:w="8894" w:type="dxa"/>
            <w:gridSpan w:val="7"/>
            <w:tcBorders>
              <w:top w:val="single" w:color="000000" w:sz="4" w:space="0"/>
              <w:left w:val="single" w:color="000000" w:sz="4" w:space="0"/>
              <w:bottom w:val="single" w:color="000000" w:sz="4" w:space="0"/>
              <w:right w:val="single" w:color="000000" w:sz="4" w:space="0"/>
            </w:tcBorders>
            <w:shd w:val="clear" w:color="auto" w:fill="95B3D7" w:themeFill="accent1" w:themeFillTint="99"/>
            <w:tcMar>
              <w:top w:w="80" w:type="dxa"/>
              <w:left w:w="80" w:type="dxa"/>
              <w:bottom w:w="80" w:type="dxa"/>
              <w:right w:w="80" w:type="dxa"/>
            </w:tcMar>
            <w:vAlign w:val="center"/>
          </w:tcPr>
          <w:p>
            <w:pPr>
              <w:pStyle w:val="15"/>
              <w:widowControl/>
              <w:spacing w:line="560" w:lineRule="exact"/>
              <w:jc w:val="center"/>
            </w:pPr>
            <w:r>
              <w:rPr>
                <w:rFonts w:ascii="宋体" w:hAnsi="宋体" w:eastAsia="宋体" w:cs="宋体"/>
                <w:kern w:val="0"/>
                <w:sz w:val="21"/>
                <w:szCs w:val="21"/>
                <w:lang w:val="zh-TW" w:eastAsia="zh-TW"/>
              </w:rPr>
              <w:t>第二十条第（八）项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77" w:hRule="atLeast"/>
          <w:jc w:val="center"/>
        </w:trPr>
        <w:tc>
          <w:tcPr>
            <w:tcW w:w="3479" w:type="dxa"/>
            <w:gridSpan w:val="2"/>
            <w:tcBorders>
              <w:top w:val="single" w:color="000000" w:sz="4" w:space="0"/>
              <w:left w:val="single" w:color="000000" w:sz="4" w:space="0"/>
              <w:bottom w:val="single" w:color="000000" w:sz="4" w:space="0"/>
              <w:right w:val="single" w:color="000000" w:sz="4" w:space="0"/>
            </w:tcBorders>
            <w:shd w:val="clear" w:color="auto" w:fill="DCE6F2" w:themeFill="accent1" w:themeFillTint="32"/>
            <w:tcMar>
              <w:top w:w="80" w:type="dxa"/>
              <w:left w:w="80" w:type="dxa"/>
              <w:bottom w:w="80" w:type="dxa"/>
              <w:right w:w="80" w:type="dxa"/>
            </w:tcMar>
            <w:vAlign w:val="center"/>
          </w:tcPr>
          <w:p>
            <w:pPr>
              <w:pStyle w:val="15"/>
              <w:widowControl/>
              <w:spacing w:line="560" w:lineRule="exact"/>
              <w:jc w:val="center"/>
              <w:rPr>
                <w:rFonts w:hint="eastAsia" w:ascii="宋体" w:hAnsi="宋体" w:eastAsia="宋体" w:cs="宋体"/>
                <w:sz w:val="21"/>
                <w:szCs w:val="21"/>
              </w:rPr>
            </w:pPr>
            <w:r>
              <w:rPr>
                <w:rFonts w:hint="eastAsia" w:ascii="宋体" w:hAnsi="宋体" w:eastAsia="宋体" w:cs="宋体"/>
                <w:kern w:val="0"/>
                <w:sz w:val="21"/>
                <w:szCs w:val="21"/>
                <w:lang w:val="zh-TW" w:eastAsia="zh-TW"/>
              </w:rPr>
              <w:t>信息内容</w:t>
            </w:r>
          </w:p>
        </w:tc>
        <w:tc>
          <w:tcPr>
            <w:tcW w:w="2202" w:type="dxa"/>
            <w:gridSpan w:val="2"/>
            <w:tcBorders>
              <w:top w:val="single" w:color="000000" w:sz="4" w:space="0"/>
              <w:left w:val="single" w:color="000000" w:sz="4" w:space="0"/>
              <w:bottom w:val="single" w:color="000000" w:sz="4" w:space="0"/>
              <w:right w:val="single" w:color="000000" w:sz="4" w:space="0"/>
            </w:tcBorders>
            <w:shd w:val="clear" w:color="auto" w:fill="DBEEF3" w:themeFill="accent5" w:themeFillTint="32"/>
            <w:tcMar>
              <w:top w:w="80" w:type="dxa"/>
              <w:left w:w="80" w:type="dxa"/>
              <w:bottom w:w="80" w:type="dxa"/>
              <w:right w:w="80" w:type="dxa"/>
            </w:tcMar>
            <w:vAlign w:val="center"/>
          </w:tcPr>
          <w:p>
            <w:pPr>
              <w:pStyle w:val="15"/>
              <w:widowControl/>
              <w:spacing w:line="560" w:lineRule="exact"/>
              <w:jc w:val="center"/>
              <w:rPr>
                <w:rFonts w:hint="eastAsia" w:ascii="宋体" w:hAnsi="宋体" w:eastAsia="宋体" w:cs="宋体"/>
                <w:sz w:val="21"/>
                <w:szCs w:val="21"/>
              </w:rPr>
            </w:pPr>
            <w:r>
              <w:rPr>
                <w:rFonts w:hint="eastAsia" w:ascii="宋体" w:hAnsi="宋体" w:eastAsia="宋体" w:cs="宋体"/>
                <w:kern w:val="0"/>
                <w:sz w:val="21"/>
                <w:szCs w:val="21"/>
                <w:lang w:val="zh-TW" w:eastAsia="zh-TW"/>
              </w:rPr>
              <w:t>上一年项目数量</w:t>
            </w:r>
          </w:p>
        </w:tc>
        <w:tc>
          <w:tcPr>
            <w:tcW w:w="3213" w:type="dxa"/>
            <w:gridSpan w:val="3"/>
            <w:tcBorders>
              <w:top w:val="single" w:color="000000" w:sz="4" w:space="0"/>
              <w:left w:val="single" w:color="000000" w:sz="4" w:space="0"/>
              <w:bottom w:val="single" w:color="000000" w:sz="4" w:space="0"/>
              <w:right w:val="single" w:color="000000" w:sz="4" w:space="0"/>
            </w:tcBorders>
            <w:shd w:val="clear" w:color="auto" w:fill="DBEEF3" w:themeFill="accent5" w:themeFillTint="32"/>
            <w:tcMar>
              <w:top w:w="80" w:type="dxa"/>
              <w:left w:w="80" w:type="dxa"/>
              <w:bottom w:w="80" w:type="dxa"/>
              <w:right w:w="80" w:type="dxa"/>
            </w:tcMar>
            <w:vAlign w:val="center"/>
          </w:tcPr>
          <w:p>
            <w:pPr>
              <w:pStyle w:val="15"/>
              <w:widowControl/>
              <w:spacing w:line="560" w:lineRule="exact"/>
              <w:jc w:val="center"/>
              <w:rPr>
                <w:rFonts w:hint="eastAsia" w:ascii="宋体" w:hAnsi="宋体" w:eastAsia="宋体" w:cs="宋体"/>
                <w:sz w:val="21"/>
                <w:szCs w:val="21"/>
              </w:rPr>
            </w:pPr>
            <w:r>
              <w:rPr>
                <w:rFonts w:hint="eastAsia" w:ascii="宋体" w:hAnsi="宋体" w:eastAsia="宋体" w:cs="宋体"/>
                <w:kern w:val="0"/>
                <w:sz w:val="21"/>
                <w:szCs w:val="21"/>
                <w:lang w:val="zh-TW" w:eastAsia="zh-TW"/>
              </w:rPr>
              <w:t>本年增</w:t>
            </w:r>
            <w:r>
              <w:rPr>
                <w:rFonts w:hint="eastAsia" w:ascii="宋体" w:hAnsi="宋体" w:eastAsia="宋体" w:cs="宋体"/>
                <w:kern w:val="0"/>
                <w:sz w:val="21"/>
                <w:szCs w:val="21"/>
              </w:rPr>
              <w:t>/</w:t>
            </w:r>
            <w:r>
              <w:rPr>
                <w:rFonts w:hint="eastAsia" w:ascii="宋体" w:hAnsi="宋体" w:eastAsia="宋体" w:cs="宋体"/>
                <w:kern w:val="0"/>
                <w:sz w:val="21"/>
                <w:szCs w:val="21"/>
                <w:lang w:val="zh-TW" w:eastAsia="zh-TW"/>
              </w:rPr>
              <w:t>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77" w:hRule="atLeast"/>
          <w:jc w:val="center"/>
        </w:trPr>
        <w:tc>
          <w:tcPr>
            <w:tcW w:w="3479" w:type="dxa"/>
            <w:gridSpan w:val="2"/>
            <w:tcBorders>
              <w:top w:val="single" w:color="000000" w:sz="4" w:space="0"/>
              <w:left w:val="single" w:color="000000" w:sz="4" w:space="0"/>
              <w:bottom w:val="single" w:color="000000" w:sz="4" w:space="0"/>
              <w:right w:val="single" w:color="000000" w:sz="4" w:space="0"/>
            </w:tcBorders>
            <w:shd w:val="clear" w:color="auto" w:fill="DCE6F2" w:themeFill="accent1" w:themeFillTint="32"/>
            <w:tcMar>
              <w:top w:w="80" w:type="dxa"/>
              <w:left w:w="80" w:type="dxa"/>
              <w:bottom w:w="80" w:type="dxa"/>
              <w:right w:w="80" w:type="dxa"/>
            </w:tcMar>
            <w:vAlign w:val="center"/>
          </w:tcPr>
          <w:p>
            <w:pPr>
              <w:pStyle w:val="15"/>
              <w:widowControl/>
              <w:spacing w:line="560" w:lineRule="exact"/>
              <w:jc w:val="center"/>
            </w:pPr>
            <w:r>
              <w:rPr>
                <w:rFonts w:ascii="宋体" w:hAnsi="宋体" w:eastAsia="宋体" w:cs="宋体"/>
                <w:kern w:val="0"/>
                <w:sz w:val="21"/>
                <w:szCs w:val="21"/>
                <w:lang w:val="zh-TW" w:eastAsia="zh-TW"/>
              </w:rPr>
              <w:t>行政事业性收费</w:t>
            </w:r>
          </w:p>
        </w:tc>
        <w:tc>
          <w:tcPr>
            <w:tcW w:w="220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5"/>
              <w:widowControl/>
              <w:spacing w:line="560" w:lineRule="exact"/>
              <w:jc w:val="center"/>
              <w:rPr>
                <w:rFonts w:hint="default" w:eastAsia="Arial Unicode MS"/>
                <w:sz w:val="20"/>
                <w:szCs w:val="20"/>
                <w:lang w:val="en-US" w:eastAsia="zh-CN"/>
              </w:rPr>
            </w:pPr>
            <w:r>
              <w:rPr>
                <w:rFonts w:hint="eastAsia" w:ascii="Times New Roman" w:hAnsi="Times New Roman"/>
                <w:kern w:val="0"/>
                <w:sz w:val="20"/>
                <w:szCs w:val="20"/>
                <w:lang w:val="en-US" w:eastAsia="zh-CN"/>
              </w:rPr>
              <w:t>208</w:t>
            </w:r>
          </w:p>
        </w:tc>
        <w:tc>
          <w:tcPr>
            <w:tcW w:w="321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5"/>
              <w:widowControl/>
              <w:spacing w:line="560" w:lineRule="exact"/>
              <w:jc w:val="center"/>
              <w:rPr>
                <w:rFonts w:hint="default" w:eastAsia="Arial Unicode MS"/>
                <w:sz w:val="20"/>
                <w:szCs w:val="20"/>
                <w:lang w:val="en-US" w:eastAsia="zh-CN"/>
              </w:rPr>
            </w:pPr>
            <w:r>
              <w:rPr>
                <w:rFonts w:hint="eastAsia" w:ascii="Times New Roman" w:hAnsi="Times New Roman"/>
                <w:kern w:val="0"/>
                <w:sz w:val="20"/>
                <w:szCs w:val="20"/>
                <w:lang w:val="en-US" w:eastAsia="zh-CN"/>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77" w:hRule="atLeast"/>
          <w:jc w:val="center"/>
        </w:trPr>
        <w:tc>
          <w:tcPr>
            <w:tcW w:w="8894" w:type="dxa"/>
            <w:gridSpan w:val="7"/>
            <w:tcBorders>
              <w:top w:val="single" w:color="000000" w:sz="4" w:space="0"/>
              <w:left w:val="single" w:color="000000" w:sz="4" w:space="0"/>
              <w:bottom w:val="single" w:color="000000" w:sz="4" w:space="0"/>
              <w:right w:val="single" w:color="000000" w:sz="4" w:space="0"/>
            </w:tcBorders>
            <w:shd w:val="clear" w:color="auto" w:fill="95B3D7" w:themeFill="accent1" w:themeFillTint="99"/>
            <w:tcMar>
              <w:top w:w="80" w:type="dxa"/>
              <w:left w:w="80" w:type="dxa"/>
              <w:bottom w:w="80" w:type="dxa"/>
              <w:right w:w="80" w:type="dxa"/>
            </w:tcMar>
            <w:vAlign w:val="center"/>
          </w:tcPr>
          <w:p>
            <w:pPr>
              <w:pStyle w:val="15"/>
              <w:widowControl/>
              <w:spacing w:line="560" w:lineRule="exact"/>
              <w:jc w:val="center"/>
            </w:pPr>
            <w:r>
              <w:rPr>
                <w:rFonts w:ascii="宋体" w:hAnsi="宋体" w:eastAsia="宋体" w:cs="宋体"/>
                <w:kern w:val="0"/>
                <w:sz w:val="21"/>
                <w:szCs w:val="21"/>
                <w:lang w:val="zh-TW" w:eastAsia="zh-TW"/>
              </w:rPr>
              <w:t>第二十条第（九）项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70" w:hRule="atLeast"/>
          <w:jc w:val="center"/>
        </w:trPr>
        <w:tc>
          <w:tcPr>
            <w:tcW w:w="3479" w:type="dxa"/>
            <w:gridSpan w:val="2"/>
            <w:tcBorders>
              <w:top w:val="single" w:color="000000" w:sz="4" w:space="0"/>
              <w:left w:val="single" w:color="000000" w:sz="4" w:space="0"/>
              <w:bottom w:val="single" w:color="000000" w:sz="4" w:space="0"/>
              <w:right w:val="single" w:color="000000" w:sz="4" w:space="0"/>
            </w:tcBorders>
            <w:shd w:val="clear" w:color="auto" w:fill="DCE6F2" w:themeFill="accent1" w:themeFillTint="32"/>
            <w:tcMar>
              <w:top w:w="80" w:type="dxa"/>
              <w:left w:w="80" w:type="dxa"/>
              <w:bottom w:w="80" w:type="dxa"/>
              <w:right w:w="80" w:type="dxa"/>
            </w:tcMar>
            <w:vAlign w:val="center"/>
          </w:tcPr>
          <w:p>
            <w:pPr>
              <w:pStyle w:val="15"/>
              <w:widowControl/>
              <w:spacing w:line="560" w:lineRule="exact"/>
              <w:jc w:val="center"/>
              <w:rPr>
                <w:sz w:val="21"/>
                <w:szCs w:val="21"/>
              </w:rPr>
            </w:pPr>
            <w:r>
              <w:rPr>
                <w:rFonts w:ascii="宋体" w:hAnsi="宋体" w:eastAsia="宋体" w:cs="宋体"/>
                <w:kern w:val="0"/>
                <w:sz w:val="21"/>
                <w:szCs w:val="21"/>
                <w:lang w:val="zh-TW" w:eastAsia="zh-TW"/>
              </w:rPr>
              <w:t>信息内容</w:t>
            </w:r>
          </w:p>
        </w:tc>
        <w:tc>
          <w:tcPr>
            <w:tcW w:w="2202" w:type="dxa"/>
            <w:gridSpan w:val="2"/>
            <w:tcBorders>
              <w:top w:val="single" w:color="000000" w:sz="4" w:space="0"/>
              <w:left w:val="single" w:color="000000" w:sz="4" w:space="0"/>
              <w:bottom w:val="single" w:color="000000" w:sz="4" w:space="0"/>
              <w:right w:val="single" w:color="000000" w:sz="4" w:space="0"/>
            </w:tcBorders>
            <w:shd w:val="clear" w:color="auto" w:fill="DBEEF3" w:themeFill="accent5" w:themeFillTint="32"/>
            <w:tcMar>
              <w:top w:w="80" w:type="dxa"/>
              <w:left w:w="80" w:type="dxa"/>
              <w:bottom w:w="80" w:type="dxa"/>
              <w:right w:w="80" w:type="dxa"/>
            </w:tcMar>
            <w:vAlign w:val="center"/>
          </w:tcPr>
          <w:p>
            <w:pPr>
              <w:pStyle w:val="15"/>
              <w:widowControl/>
              <w:spacing w:line="560" w:lineRule="exact"/>
              <w:jc w:val="center"/>
              <w:rPr>
                <w:sz w:val="21"/>
                <w:szCs w:val="21"/>
              </w:rPr>
            </w:pPr>
            <w:r>
              <w:rPr>
                <w:rFonts w:ascii="宋体" w:hAnsi="宋体" w:eastAsia="宋体" w:cs="宋体"/>
                <w:kern w:val="0"/>
                <w:sz w:val="21"/>
                <w:szCs w:val="21"/>
                <w:lang w:val="zh-TW" w:eastAsia="zh-TW"/>
              </w:rPr>
              <w:t>采购项目数量</w:t>
            </w:r>
          </w:p>
        </w:tc>
        <w:tc>
          <w:tcPr>
            <w:tcW w:w="3213" w:type="dxa"/>
            <w:gridSpan w:val="3"/>
            <w:tcBorders>
              <w:top w:val="single" w:color="000000" w:sz="4" w:space="0"/>
              <w:left w:val="single" w:color="000000" w:sz="4" w:space="0"/>
              <w:bottom w:val="single" w:color="000000" w:sz="4" w:space="0"/>
              <w:right w:val="single" w:color="000000" w:sz="4" w:space="0"/>
            </w:tcBorders>
            <w:shd w:val="clear" w:color="auto" w:fill="DBEEF3" w:themeFill="accent5" w:themeFillTint="32"/>
            <w:tcMar>
              <w:top w:w="80" w:type="dxa"/>
              <w:left w:w="80" w:type="dxa"/>
              <w:bottom w:w="80" w:type="dxa"/>
              <w:right w:w="80" w:type="dxa"/>
            </w:tcMar>
            <w:vAlign w:val="center"/>
          </w:tcPr>
          <w:p>
            <w:pPr>
              <w:pStyle w:val="15"/>
              <w:widowControl/>
              <w:spacing w:line="560" w:lineRule="exact"/>
              <w:jc w:val="center"/>
              <w:rPr>
                <w:sz w:val="21"/>
                <w:szCs w:val="21"/>
              </w:rPr>
            </w:pPr>
            <w:r>
              <w:rPr>
                <w:rFonts w:ascii="宋体" w:hAnsi="宋体" w:eastAsia="宋体" w:cs="宋体"/>
                <w:kern w:val="0"/>
                <w:sz w:val="21"/>
                <w:szCs w:val="21"/>
                <w:lang w:val="zh-TW" w:eastAsia="zh-TW"/>
              </w:rPr>
              <w:t>采购总金额（万元，保留四位小数）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77" w:hRule="atLeast"/>
          <w:jc w:val="center"/>
        </w:trPr>
        <w:tc>
          <w:tcPr>
            <w:tcW w:w="3479" w:type="dxa"/>
            <w:gridSpan w:val="2"/>
            <w:tcBorders>
              <w:top w:val="single" w:color="000000" w:sz="4" w:space="0"/>
              <w:left w:val="single" w:color="000000" w:sz="4" w:space="0"/>
              <w:bottom w:val="single" w:color="000000" w:sz="4" w:space="0"/>
              <w:right w:val="single" w:color="000000" w:sz="4" w:space="0"/>
            </w:tcBorders>
            <w:shd w:val="clear" w:color="auto" w:fill="DCE6F2" w:themeFill="accent1" w:themeFillTint="32"/>
            <w:tcMar>
              <w:top w:w="80" w:type="dxa"/>
              <w:left w:w="80" w:type="dxa"/>
              <w:bottom w:w="80" w:type="dxa"/>
              <w:right w:w="80" w:type="dxa"/>
            </w:tcMar>
            <w:vAlign w:val="center"/>
          </w:tcPr>
          <w:p>
            <w:pPr>
              <w:pStyle w:val="15"/>
              <w:widowControl/>
              <w:spacing w:line="560" w:lineRule="exact"/>
              <w:jc w:val="center"/>
            </w:pPr>
            <w:r>
              <w:rPr>
                <w:rFonts w:ascii="宋体" w:hAnsi="宋体" w:eastAsia="宋体" w:cs="宋体"/>
                <w:kern w:val="0"/>
                <w:sz w:val="21"/>
                <w:szCs w:val="21"/>
                <w:lang w:val="zh-TW" w:eastAsia="zh-TW"/>
              </w:rPr>
              <w:t>政府集中采购</w:t>
            </w:r>
          </w:p>
        </w:tc>
        <w:tc>
          <w:tcPr>
            <w:tcW w:w="220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5"/>
              <w:widowControl/>
              <w:spacing w:line="560" w:lineRule="exact"/>
              <w:jc w:val="center"/>
              <w:rPr>
                <w:rFonts w:hint="default" w:eastAsia="Arial Unicode MS"/>
                <w:sz w:val="20"/>
                <w:szCs w:val="20"/>
                <w:lang w:val="en-US" w:eastAsia="zh-CN"/>
              </w:rPr>
            </w:pPr>
            <w:r>
              <w:rPr>
                <w:rFonts w:hint="eastAsia" w:ascii="Times New Roman" w:hAnsi="Times New Roman"/>
                <w:kern w:val="0"/>
                <w:sz w:val="20"/>
                <w:szCs w:val="20"/>
                <w:lang w:val="en-US" w:eastAsia="zh-CN"/>
              </w:rPr>
              <w:t>1,435</w:t>
            </w:r>
          </w:p>
        </w:tc>
        <w:tc>
          <w:tcPr>
            <w:tcW w:w="321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5"/>
              <w:widowControl/>
              <w:spacing w:line="560" w:lineRule="exact"/>
              <w:jc w:val="center"/>
              <w:rPr>
                <w:rFonts w:hint="default" w:eastAsia="Arial Unicode MS"/>
                <w:sz w:val="20"/>
                <w:szCs w:val="20"/>
                <w:lang w:val="en-US" w:eastAsia="zh-CN"/>
              </w:rPr>
            </w:pPr>
            <w:r>
              <w:rPr>
                <w:rFonts w:hint="eastAsia" w:ascii="Times New Roman" w:hAnsi="Times New Roman"/>
                <w:kern w:val="0"/>
                <w:sz w:val="20"/>
                <w:szCs w:val="20"/>
                <w:lang w:val="en-US" w:eastAsia="zh-CN"/>
              </w:rPr>
              <w:t>32,694.3253</w:t>
            </w:r>
          </w:p>
        </w:tc>
      </w:tr>
    </w:tbl>
    <w:p>
      <w:pPr>
        <w:pStyle w:val="15"/>
        <w:spacing w:line="560" w:lineRule="exact"/>
        <w:ind w:left="640"/>
        <w:rPr>
          <w:rFonts w:ascii="黑体" w:hAnsi="黑体" w:eastAsia="PMingLiU" w:cs="黑体"/>
          <w:sz w:val="32"/>
          <w:szCs w:val="32"/>
          <w:lang w:val="zh-TW" w:eastAsia="zh-TW"/>
        </w:rPr>
      </w:pPr>
      <w:r>
        <w:rPr>
          <w:rFonts w:ascii="黑体" w:hAnsi="黑体" w:eastAsia="黑体" w:cs="黑体"/>
          <w:sz w:val="32"/>
          <w:szCs w:val="32"/>
          <w:lang w:val="zh-TW" w:eastAsia="zh-TW"/>
        </w:rPr>
        <w:t>三、收到和处理政府信息公开申请情况</w:t>
      </w:r>
    </w:p>
    <w:tbl>
      <w:tblPr>
        <w:tblStyle w:val="12"/>
        <w:tblW w:w="8889"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337"/>
        <w:gridCol w:w="723"/>
        <w:gridCol w:w="2498"/>
        <w:gridCol w:w="784"/>
        <w:gridCol w:w="784"/>
        <w:gridCol w:w="784"/>
        <w:gridCol w:w="782"/>
        <w:gridCol w:w="784"/>
        <w:gridCol w:w="628"/>
        <w:gridCol w:w="78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10" w:hRule="atLeast"/>
          <w:jc w:val="center"/>
        </w:trPr>
        <w:tc>
          <w:tcPr>
            <w:tcW w:w="3558" w:type="dxa"/>
            <w:gridSpan w:val="3"/>
            <w:vMerge w:val="restart"/>
            <w:tcBorders>
              <w:top w:val="single" w:color="000000" w:sz="4" w:space="0"/>
              <w:left w:val="single" w:color="000000" w:sz="4" w:space="0"/>
              <w:bottom w:val="single" w:color="000000" w:sz="4" w:space="0"/>
              <w:right w:val="single" w:color="000000" w:sz="4" w:space="0"/>
            </w:tcBorders>
            <w:shd w:val="clear" w:color="auto" w:fill="95B3D7" w:themeFill="accent1" w:themeFillTint="99"/>
            <w:tcMar>
              <w:top w:w="80" w:type="dxa"/>
              <w:left w:w="80" w:type="dxa"/>
              <w:bottom w:w="80" w:type="dxa"/>
              <w:right w:w="80" w:type="dxa"/>
            </w:tcMar>
            <w:vAlign w:val="center"/>
          </w:tcPr>
          <w:p>
            <w:pPr>
              <w:rPr>
                <w:rFonts w:hint="default"/>
                <w:sz w:val="21"/>
                <w:szCs w:val="21"/>
              </w:rPr>
            </w:pPr>
            <w:r>
              <w:rPr>
                <w:rFonts w:hint="eastAsia" w:ascii="宋体" w:hAnsi="宋体" w:eastAsia="宋体" w:cs="宋体"/>
                <w:sz w:val="21"/>
                <w:szCs w:val="21"/>
              </w:rPr>
              <w:t>（本列数据的勾稽关系为：第一项加第二项之和，等于第三项加第四项之和）</w:t>
            </w:r>
          </w:p>
        </w:tc>
        <w:tc>
          <w:tcPr>
            <w:tcW w:w="5331" w:type="dxa"/>
            <w:gridSpan w:val="7"/>
            <w:tcBorders>
              <w:top w:val="single" w:color="000000" w:sz="4" w:space="0"/>
              <w:left w:val="single" w:color="000000" w:sz="4" w:space="0"/>
              <w:bottom w:val="single" w:color="000000" w:sz="4" w:space="0"/>
              <w:right w:val="single" w:color="000000" w:sz="4" w:space="0"/>
            </w:tcBorders>
            <w:shd w:val="clear" w:color="auto" w:fill="95B3D7" w:themeFill="accent1" w:themeFillTint="99"/>
            <w:tcMar>
              <w:top w:w="80" w:type="dxa"/>
              <w:left w:w="80" w:type="dxa"/>
              <w:bottom w:w="80" w:type="dxa"/>
              <w:right w:w="80" w:type="dxa"/>
            </w:tcMar>
            <w:vAlign w:val="center"/>
          </w:tcPr>
          <w:p>
            <w:pPr>
              <w:jc w:val="center"/>
              <w:rPr>
                <w:rFonts w:hint="default"/>
                <w:sz w:val="21"/>
                <w:szCs w:val="21"/>
              </w:rPr>
            </w:pPr>
            <w:r>
              <w:rPr>
                <w:rFonts w:hint="eastAsia" w:ascii="宋体" w:hAnsi="宋体" w:eastAsia="宋体" w:cs="宋体"/>
                <w:sz w:val="21"/>
                <w:szCs w:val="21"/>
              </w:rPr>
              <w:t>申请人情况</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10" w:hRule="atLeast"/>
          <w:jc w:val="center"/>
        </w:trPr>
        <w:tc>
          <w:tcPr>
            <w:tcW w:w="3558" w:type="dxa"/>
            <w:gridSpan w:val="3"/>
            <w:vMerge w:val="continue"/>
            <w:tcBorders>
              <w:top w:val="single" w:color="000000" w:sz="4" w:space="0"/>
              <w:left w:val="single" w:color="000000" w:sz="4" w:space="0"/>
              <w:bottom w:val="single" w:color="000000" w:sz="4" w:space="0"/>
              <w:right w:val="single" w:color="000000" w:sz="4" w:space="0"/>
            </w:tcBorders>
            <w:shd w:val="clear" w:color="auto" w:fill="95B3D7" w:themeFill="accent1" w:themeFillTint="99"/>
            <w:vAlign w:val="center"/>
          </w:tcPr>
          <w:p>
            <w:pPr>
              <w:rPr>
                <w:rFonts w:hint="default"/>
                <w:sz w:val="21"/>
                <w:szCs w:val="21"/>
              </w:rPr>
            </w:pP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95B3D7" w:themeFill="accent1" w:themeFillTint="99"/>
            <w:tcMar>
              <w:top w:w="80" w:type="dxa"/>
              <w:left w:w="80" w:type="dxa"/>
              <w:bottom w:w="80" w:type="dxa"/>
              <w:right w:w="80" w:type="dxa"/>
            </w:tcMar>
            <w:vAlign w:val="center"/>
          </w:tcPr>
          <w:p>
            <w:pPr>
              <w:jc w:val="center"/>
              <w:rPr>
                <w:rFonts w:hint="default"/>
                <w:sz w:val="21"/>
                <w:szCs w:val="21"/>
              </w:rPr>
            </w:pPr>
            <w:r>
              <w:rPr>
                <w:rFonts w:hint="eastAsia" w:ascii="宋体" w:hAnsi="宋体" w:eastAsia="宋体" w:cs="宋体"/>
                <w:sz w:val="21"/>
                <w:szCs w:val="21"/>
              </w:rPr>
              <w:t>自然人</w:t>
            </w:r>
          </w:p>
        </w:tc>
        <w:tc>
          <w:tcPr>
            <w:tcW w:w="3762" w:type="dxa"/>
            <w:gridSpan w:val="5"/>
            <w:tcBorders>
              <w:top w:val="single" w:color="000000" w:sz="4" w:space="0"/>
              <w:left w:val="single" w:color="000000" w:sz="4" w:space="0"/>
              <w:bottom w:val="single" w:color="000000" w:sz="4" w:space="0"/>
              <w:right w:val="single" w:color="000000" w:sz="4" w:space="0"/>
            </w:tcBorders>
            <w:shd w:val="clear" w:color="auto" w:fill="95B3D7" w:themeFill="accent1" w:themeFillTint="99"/>
            <w:tcMar>
              <w:top w:w="80" w:type="dxa"/>
              <w:left w:w="80" w:type="dxa"/>
              <w:bottom w:w="80" w:type="dxa"/>
              <w:right w:w="80" w:type="dxa"/>
            </w:tcMar>
            <w:vAlign w:val="center"/>
          </w:tcPr>
          <w:p>
            <w:pPr>
              <w:jc w:val="center"/>
              <w:rPr>
                <w:rFonts w:hint="default"/>
                <w:sz w:val="21"/>
                <w:szCs w:val="21"/>
              </w:rPr>
            </w:pPr>
            <w:r>
              <w:rPr>
                <w:rFonts w:hint="eastAsia" w:ascii="宋体" w:hAnsi="宋体" w:eastAsia="宋体" w:cs="宋体"/>
                <w:sz w:val="21"/>
                <w:szCs w:val="21"/>
              </w:rPr>
              <w:t>法人或其他组织</w:t>
            </w:r>
          </w:p>
        </w:tc>
        <w:tc>
          <w:tcPr>
            <w:tcW w:w="785" w:type="dxa"/>
            <w:vMerge w:val="restart"/>
            <w:tcBorders>
              <w:top w:val="single" w:color="000000" w:sz="4" w:space="0"/>
              <w:left w:val="single" w:color="000000" w:sz="4" w:space="0"/>
              <w:bottom w:val="single" w:color="000000" w:sz="4" w:space="0"/>
              <w:right w:val="single" w:color="000000" w:sz="4" w:space="0"/>
            </w:tcBorders>
            <w:shd w:val="clear" w:color="auto" w:fill="95B3D7" w:themeFill="accent1" w:themeFillTint="99"/>
            <w:tcMar>
              <w:top w:w="80" w:type="dxa"/>
              <w:left w:w="80" w:type="dxa"/>
              <w:bottom w:w="80" w:type="dxa"/>
              <w:right w:w="80" w:type="dxa"/>
            </w:tcMar>
            <w:vAlign w:val="center"/>
          </w:tcPr>
          <w:p>
            <w:pPr>
              <w:jc w:val="center"/>
              <w:rPr>
                <w:rFonts w:hint="default"/>
                <w:sz w:val="21"/>
                <w:szCs w:val="21"/>
              </w:rPr>
            </w:pPr>
            <w:r>
              <w:rPr>
                <w:rFonts w:hint="eastAsia" w:ascii="宋体" w:hAnsi="宋体" w:eastAsia="宋体" w:cs="宋体"/>
                <w:sz w:val="21"/>
                <w:szCs w:val="21"/>
              </w:rPr>
              <w:t>总计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90" w:hRule="atLeast"/>
          <w:jc w:val="center"/>
        </w:trPr>
        <w:tc>
          <w:tcPr>
            <w:tcW w:w="3558" w:type="dxa"/>
            <w:gridSpan w:val="3"/>
            <w:vMerge w:val="continue"/>
            <w:tcBorders>
              <w:top w:val="single" w:color="000000" w:sz="4" w:space="0"/>
              <w:left w:val="single" w:color="000000" w:sz="4" w:space="0"/>
              <w:bottom w:val="single" w:color="000000" w:sz="4" w:space="0"/>
              <w:right w:val="single" w:color="000000" w:sz="4" w:space="0"/>
            </w:tcBorders>
            <w:shd w:val="clear" w:color="auto" w:fill="95B3D7" w:themeFill="accent1" w:themeFillTint="99"/>
            <w:vAlign w:val="center"/>
          </w:tcPr>
          <w:p>
            <w:pPr>
              <w:rPr>
                <w:rFonts w:hint="default"/>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95B3D7" w:themeFill="accent1" w:themeFillTint="99"/>
            <w:vAlign w:val="center"/>
          </w:tcPr>
          <w:p>
            <w:pPr>
              <w:jc w:val="center"/>
              <w:rPr>
                <w:rFonts w:hint="default"/>
              </w:rPr>
            </w:pPr>
          </w:p>
        </w:tc>
        <w:tc>
          <w:tcPr>
            <w:tcW w:w="784" w:type="dxa"/>
            <w:tcBorders>
              <w:top w:val="single" w:color="000000" w:sz="4" w:space="0"/>
              <w:left w:val="single" w:color="000000" w:sz="4" w:space="0"/>
              <w:bottom w:val="single" w:color="000000" w:sz="4" w:space="0"/>
              <w:right w:val="single" w:color="000000" w:sz="4" w:space="0"/>
            </w:tcBorders>
            <w:shd w:val="clear" w:color="auto" w:fill="95B3D7" w:themeFill="accent1" w:themeFillTint="99"/>
            <w:tcMar>
              <w:top w:w="80" w:type="dxa"/>
              <w:left w:w="80" w:type="dxa"/>
              <w:bottom w:w="80" w:type="dxa"/>
              <w:right w:w="80" w:type="dxa"/>
            </w:tcMar>
            <w:vAlign w:val="center"/>
          </w:tcPr>
          <w:p>
            <w:pPr>
              <w:jc w:val="center"/>
              <w:rPr>
                <w:rFonts w:hint="default"/>
              </w:rPr>
            </w:pPr>
            <w:r>
              <w:rPr>
                <w:rFonts w:hint="eastAsia" w:ascii="宋体" w:hAnsi="宋体" w:eastAsia="宋体" w:cs="宋体"/>
                <w:sz w:val="21"/>
                <w:szCs w:val="21"/>
              </w:rPr>
              <w:t>商业企业</w:t>
            </w:r>
          </w:p>
        </w:tc>
        <w:tc>
          <w:tcPr>
            <w:tcW w:w="784" w:type="dxa"/>
            <w:tcBorders>
              <w:top w:val="single" w:color="000000" w:sz="4" w:space="0"/>
              <w:left w:val="single" w:color="000000" w:sz="4" w:space="0"/>
              <w:bottom w:val="single" w:color="000000" w:sz="4" w:space="0"/>
              <w:right w:val="single" w:color="000000" w:sz="4" w:space="0"/>
            </w:tcBorders>
            <w:shd w:val="clear" w:color="auto" w:fill="95B3D7" w:themeFill="accent1" w:themeFillTint="99"/>
            <w:tcMar>
              <w:top w:w="80" w:type="dxa"/>
              <w:left w:w="80" w:type="dxa"/>
              <w:bottom w:w="80" w:type="dxa"/>
              <w:right w:w="80" w:type="dxa"/>
            </w:tcMar>
            <w:vAlign w:val="center"/>
          </w:tcPr>
          <w:p>
            <w:pPr>
              <w:jc w:val="center"/>
              <w:rPr>
                <w:rFonts w:hint="default"/>
              </w:rPr>
            </w:pPr>
            <w:r>
              <w:rPr>
                <w:rFonts w:hint="eastAsia" w:ascii="宋体" w:hAnsi="宋体" w:eastAsia="宋体" w:cs="宋体"/>
                <w:sz w:val="21"/>
                <w:szCs w:val="21"/>
              </w:rPr>
              <w:t>科研机构</w:t>
            </w:r>
          </w:p>
        </w:tc>
        <w:tc>
          <w:tcPr>
            <w:tcW w:w="782" w:type="dxa"/>
            <w:tcBorders>
              <w:top w:val="single" w:color="000000" w:sz="4" w:space="0"/>
              <w:left w:val="single" w:color="000000" w:sz="4" w:space="0"/>
              <w:bottom w:val="single" w:color="000000" w:sz="4" w:space="0"/>
              <w:right w:val="single" w:color="000000" w:sz="4" w:space="0"/>
            </w:tcBorders>
            <w:shd w:val="clear" w:color="auto" w:fill="95B3D7" w:themeFill="accent1" w:themeFillTint="99"/>
            <w:tcMar>
              <w:top w:w="80" w:type="dxa"/>
              <w:left w:w="80" w:type="dxa"/>
              <w:bottom w:w="80" w:type="dxa"/>
              <w:right w:w="80" w:type="dxa"/>
            </w:tcMar>
            <w:vAlign w:val="center"/>
          </w:tcPr>
          <w:p>
            <w:pPr>
              <w:jc w:val="center"/>
              <w:rPr>
                <w:rFonts w:hint="default"/>
              </w:rPr>
            </w:pPr>
            <w:r>
              <w:rPr>
                <w:rFonts w:hint="eastAsia" w:ascii="宋体" w:hAnsi="宋体" w:eastAsia="宋体" w:cs="宋体"/>
                <w:sz w:val="21"/>
                <w:szCs w:val="21"/>
              </w:rPr>
              <w:t>社会公益组织</w:t>
            </w:r>
          </w:p>
        </w:tc>
        <w:tc>
          <w:tcPr>
            <w:tcW w:w="784" w:type="dxa"/>
            <w:tcBorders>
              <w:top w:val="single" w:color="000000" w:sz="4" w:space="0"/>
              <w:left w:val="single" w:color="000000" w:sz="4" w:space="0"/>
              <w:bottom w:val="single" w:color="000000" w:sz="4" w:space="0"/>
              <w:right w:val="single" w:color="000000" w:sz="4" w:space="0"/>
            </w:tcBorders>
            <w:shd w:val="clear" w:color="auto" w:fill="95B3D7" w:themeFill="accent1" w:themeFillTint="99"/>
            <w:tcMar>
              <w:top w:w="80" w:type="dxa"/>
              <w:left w:w="80" w:type="dxa"/>
              <w:bottom w:w="80" w:type="dxa"/>
              <w:right w:w="80" w:type="dxa"/>
            </w:tcMar>
            <w:vAlign w:val="center"/>
          </w:tcPr>
          <w:p>
            <w:pPr>
              <w:jc w:val="center"/>
              <w:rPr>
                <w:rFonts w:hint="default"/>
              </w:rPr>
            </w:pPr>
            <w:r>
              <w:rPr>
                <w:rFonts w:hint="eastAsia" w:ascii="宋体" w:hAnsi="宋体" w:eastAsia="宋体" w:cs="宋体"/>
                <w:sz w:val="21"/>
                <w:szCs w:val="21"/>
              </w:rPr>
              <w:t>法律服务机构</w:t>
            </w:r>
          </w:p>
        </w:tc>
        <w:tc>
          <w:tcPr>
            <w:tcW w:w="628" w:type="dxa"/>
            <w:tcBorders>
              <w:top w:val="single" w:color="000000" w:sz="4" w:space="0"/>
              <w:left w:val="single" w:color="000000" w:sz="4" w:space="0"/>
              <w:bottom w:val="single" w:color="000000" w:sz="4" w:space="0"/>
              <w:right w:val="single" w:color="000000" w:sz="4" w:space="0"/>
            </w:tcBorders>
            <w:shd w:val="clear" w:color="auto" w:fill="95B3D7" w:themeFill="accent1" w:themeFillTint="99"/>
            <w:tcMar>
              <w:top w:w="80" w:type="dxa"/>
              <w:left w:w="80" w:type="dxa"/>
              <w:bottom w:w="80" w:type="dxa"/>
              <w:right w:w="80" w:type="dxa"/>
            </w:tcMar>
            <w:vAlign w:val="center"/>
          </w:tcPr>
          <w:p>
            <w:pPr>
              <w:jc w:val="center"/>
              <w:rPr>
                <w:rFonts w:hint="default"/>
              </w:rPr>
            </w:pPr>
            <w:r>
              <w:rPr>
                <w:rFonts w:hint="eastAsia" w:ascii="宋体" w:hAnsi="宋体" w:eastAsia="宋体" w:cs="宋体"/>
                <w:sz w:val="21"/>
                <w:szCs w:val="21"/>
              </w:rPr>
              <w:t>其他</w:t>
            </w: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10" w:hRule="atLeast"/>
          <w:jc w:val="center"/>
        </w:trPr>
        <w:tc>
          <w:tcPr>
            <w:tcW w:w="3558" w:type="dxa"/>
            <w:gridSpan w:val="3"/>
            <w:tcBorders>
              <w:top w:val="single" w:color="000000" w:sz="4" w:space="0"/>
              <w:left w:val="single" w:color="000000" w:sz="4" w:space="0"/>
              <w:bottom w:val="single" w:color="000000" w:sz="4" w:space="0"/>
              <w:right w:val="single" w:color="000000" w:sz="4" w:space="0"/>
            </w:tcBorders>
            <w:shd w:val="clear" w:color="auto" w:fill="B8CCE4" w:themeFill="accent1" w:themeFillTint="66"/>
            <w:tcMar>
              <w:top w:w="80" w:type="dxa"/>
              <w:left w:w="80" w:type="dxa"/>
              <w:bottom w:w="80" w:type="dxa"/>
              <w:right w:w="80" w:type="dxa"/>
            </w:tcMar>
            <w:vAlign w:val="center"/>
          </w:tcPr>
          <w:p>
            <w:pPr>
              <w:rPr>
                <w:rFonts w:hint="default"/>
              </w:rPr>
            </w:pPr>
            <w:r>
              <w:rPr>
                <w:rFonts w:hint="eastAsia" w:ascii="仿宋_GB2312" w:hAnsi="仿宋_GB2312" w:eastAsia="仿宋_GB2312" w:cs="仿宋_GB2312"/>
                <w:sz w:val="18"/>
                <w:szCs w:val="18"/>
              </w:rPr>
              <w:t>一、本年新收政府信息公开申请数量</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lang w:val="en-US"/>
              </w:rPr>
            </w:pPr>
            <w:r>
              <w:rPr>
                <w:rFonts w:hint="default" w:ascii="Times New Roman" w:hAnsi="Times New Roman" w:eastAsia="仿宋_GB2312" w:cs="Times New Roman"/>
                <w:sz w:val="20"/>
                <w:szCs w:val="20"/>
                <w:lang w:val="en-US" w:eastAsia="zh-CN"/>
              </w:rPr>
              <w:t>899</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lang w:val="en-US"/>
              </w:rPr>
            </w:pPr>
            <w:r>
              <w:rPr>
                <w:rFonts w:hint="default" w:ascii="Times New Roman" w:hAnsi="Times New Roman" w:eastAsia="仿宋_GB2312" w:cs="Times New Roman"/>
                <w:sz w:val="20"/>
                <w:szCs w:val="20"/>
                <w:lang w:val="en-US" w:eastAsia="zh-CN"/>
              </w:rPr>
              <w:t>48</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4</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5</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lang w:val="en-US"/>
              </w:rPr>
            </w:pPr>
            <w:r>
              <w:rPr>
                <w:rFonts w:hint="default" w:ascii="Times New Roman" w:hAnsi="Times New Roman" w:eastAsia="仿宋_GB2312" w:cs="Times New Roman"/>
                <w:sz w:val="20"/>
                <w:szCs w:val="20"/>
                <w:lang w:val="en-US" w:eastAsia="zh-CN"/>
              </w:rPr>
              <w:t>956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10" w:hRule="atLeast"/>
          <w:jc w:val="center"/>
        </w:trPr>
        <w:tc>
          <w:tcPr>
            <w:tcW w:w="3558" w:type="dxa"/>
            <w:gridSpan w:val="3"/>
            <w:tcBorders>
              <w:top w:val="single" w:color="000000" w:sz="4" w:space="0"/>
              <w:left w:val="single" w:color="000000" w:sz="4" w:space="0"/>
              <w:bottom w:val="single" w:color="000000" w:sz="4" w:space="0"/>
              <w:right w:val="single" w:color="000000" w:sz="4" w:space="0"/>
            </w:tcBorders>
            <w:shd w:val="clear" w:color="auto" w:fill="B8CCE4" w:themeFill="accent1" w:themeFillTint="66"/>
            <w:tcMar>
              <w:top w:w="80" w:type="dxa"/>
              <w:left w:w="80" w:type="dxa"/>
              <w:bottom w:w="80" w:type="dxa"/>
              <w:right w:w="80" w:type="dxa"/>
            </w:tcMar>
            <w:vAlign w:val="center"/>
          </w:tcPr>
          <w:p>
            <w:pPr>
              <w:rPr>
                <w:rFonts w:hint="default"/>
              </w:rPr>
            </w:pPr>
            <w:r>
              <w:rPr>
                <w:rFonts w:hint="eastAsia" w:ascii="仿宋_GB2312" w:hAnsi="仿宋_GB2312" w:eastAsia="仿宋_GB2312" w:cs="仿宋_GB2312"/>
                <w:sz w:val="18"/>
                <w:szCs w:val="18"/>
              </w:rPr>
              <w:t>二、上年结转政府信息公开申请数量</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lang w:val="en-US"/>
              </w:rPr>
            </w:pPr>
            <w:r>
              <w:rPr>
                <w:rFonts w:hint="eastAsia" w:ascii="Times New Roman" w:hAnsi="Times New Roman" w:eastAsia="仿宋_GB2312" w:cs="Times New Roman"/>
                <w:sz w:val="20"/>
                <w:szCs w:val="20"/>
                <w:lang w:val="en-US" w:eastAsia="zh-CN"/>
              </w:rPr>
              <w:t>100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lang w:val="en-US"/>
              </w:rPr>
            </w:pPr>
            <w:r>
              <w:rPr>
                <w:rFonts w:hint="default" w:ascii="Times New Roman" w:hAnsi="Times New Roman" w:eastAsia="仿宋_GB2312" w:cs="Times New Roman"/>
                <w:sz w:val="20"/>
                <w:szCs w:val="20"/>
                <w:lang w:val="en-US" w:eastAsia="zh-CN"/>
              </w:rPr>
              <w:t>36</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lang w:val="en-US"/>
              </w:rPr>
            </w:pPr>
            <w:r>
              <w:rPr>
                <w:rFonts w:hint="eastAsia" w:ascii="Times New Roman" w:hAnsi="Times New Roman" w:eastAsia="仿宋_GB2312" w:cs="Times New Roman"/>
                <w:sz w:val="20"/>
                <w:szCs w:val="20"/>
                <w:lang w:val="en-US" w:eastAsia="zh-CN"/>
              </w:rPr>
              <w:t>136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10" w:hRule="atLeast"/>
          <w:jc w:val="center"/>
        </w:trPr>
        <w:tc>
          <w:tcPr>
            <w:tcW w:w="337" w:type="dxa"/>
            <w:vMerge w:val="restart"/>
            <w:tcBorders>
              <w:top w:val="single" w:color="000000" w:sz="4" w:space="0"/>
              <w:left w:val="single" w:color="000000" w:sz="4" w:space="0"/>
              <w:bottom w:val="single" w:color="000000" w:sz="4" w:space="0"/>
              <w:right w:val="single" w:color="000000" w:sz="4" w:space="0"/>
            </w:tcBorders>
            <w:shd w:val="clear" w:color="auto" w:fill="B8CCE4" w:themeFill="accent1" w:themeFillTint="66"/>
            <w:tcMar>
              <w:top w:w="80" w:type="dxa"/>
              <w:left w:w="80" w:type="dxa"/>
              <w:bottom w:w="80" w:type="dxa"/>
              <w:right w:w="80" w:type="dxa"/>
            </w:tcMar>
            <w:vAlign w:val="center"/>
          </w:tcPr>
          <w:p>
            <w:pPr>
              <w:rPr>
                <w:rFonts w:hint="default"/>
              </w:rPr>
            </w:pPr>
            <w:r>
              <w:rPr>
                <w:rFonts w:hint="eastAsia" w:ascii="仿宋_GB2312" w:hAnsi="仿宋_GB2312" w:eastAsia="仿宋_GB2312" w:cs="仿宋_GB2312"/>
                <w:sz w:val="18"/>
                <w:szCs w:val="18"/>
              </w:rPr>
              <w:t>三、本年度办理结果</w:t>
            </w:r>
          </w:p>
        </w:tc>
        <w:tc>
          <w:tcPr>
            <w:tcW w:w="3221" w:type="dxa"/>
            <w:gridSpan w:val="2"/>
            <w:tcBorders>
              <w:top w:val="single" w:color="000000" w:sz="4" w:space="0"/>
              <w:left w:val="single" w:color="000000" w:sz="4" w:space="0"/>
              <w:bottom w:val="single" w:color="000000" w:sz="4" w:space="0"/>
              <w:right w:val="single" w:color="000000" w:sz="4" w:space="0"/>
            </w:tcBorders>
            <w:shd w:val="clear" w:color="auto" w:fill="DCE6F2" w:themeFill="accent1" w:themeFillTint="32"/>
            <w:tcMar>
              <w:top w:w="80" w:type="dxa"/>
              <w:left w:w="80" w:type="dxa"/>
              <w:bottom w:w="80" w:type="dxa"/>
              <w:right w:w="80" w:type="dxa"/>
            </w:tcMar>
            <w:vAlign w:val="center"/>
          </w:tcPr>
          <w:p>
            <w:pPr>
              <w:rPr>
                <w:rFonts w:hint="default"/>
                <w:sz w:val="18"/>
                <w:szCs w:val="18"/>
              </w:rPr>
            </w:pPr>
            <w:r>
              <w:rPr>
                <w:rFonts w:hint="eastAsia" w:ascii="楷体_GB2312" w:eastAsia="楷体_GB2312"/>
                <w:sz w:val="18"/>
                <w:szCs w:val="18"/>
              </w:rPr>
              <w:t>（一）予以公开</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lang w:val="en-US"/>
              </w:rPr>
            </w:pPr>
            <w:r>
              <w:rPr>
                <w:rFonts w:hint="default" w:ascii="Times New Roman" w:hAnsi="Times New Roman" w:eastAsia="仿宋_GB2312" w:cs="Times New Roman"/>
                <w:sz w:val="20"/>
                <w:szCs w:val="20"/>
                <w:lang w:val="en-US" w:eastAsia="zh-CN"/>
              </w:rPr>
              <w:t>26</w:t>
            </w:r>
            <w:r>
              <w:rPr>
                <w:rFonts w:hint="eastAsia" w:ascii="Times New Roman" w:hAnsi="Times New Roman" w:eastAsia="仿宋_GB2312" w:cs="Times New Roman"/>
                <w:sz w:val="20"/>
                <w:szCs w:val="20"/>
                <w:lang w:val="en-US" w:eastAsia="zh-CN"/>
              </w:rPr>
              <w:t>3</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lang w:val="en-US"/>
              </w:rPr>
            </w:pPr>
            <w:r>
              <w:rPr>
                <w:rFonts w:hint="default" w:ascii="Times New Roman" w:hAnsi="Times New Roman" w:eastAsia="仿宋_GB2312" w:cs="Times New Roman"/>
                <w:sz w:val="20"/>
                <w:szCs w:val="20"/>
                <w:lang w:val="en-US" w:eastAsia="zh-CN"/>
              </w:rPr>
              <w:t>14</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2</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lang w:val="en-US"/>
              </w:rPr>
            </w:pPr>
            <w:r>
              <w:rPr>
                <w:rFonts w:hint="default" w:ascii="Times New Roman" w:hAnsi="Times New Roman" w:eastAsia="仿宋_GB2312" w:cs="Times New Roman"/>
                <w:sz w:val="20"/>
                <w:szCs w:val="20"/>
                <w:lang w:val="en-US" w:eastAsia="zh-CN"/>
              </w:rPr>
              <w:t>2</w:t>
            </w:r>
            <w:r>
              <w:rPr>
                <w:rFonts w:hint="eastAsia" w:ascii="Times New Roman" w:hAnsi="Times New Roman" w:eastAsia="仿宋_GB2312" w:cs="Times New Roman"/>
                <w:sz w:val="20"/>
                <w:szCs w:val="20"/>
                <w:lang w:val="en-US" w:eastAsia="zh-CN"/>
              </w:rPr>
              <w:t>79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7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rPr>
                <w:rFonts w:hint="default"/>
              </w:rPr>
            </w:pPr>
          </w:p>
        </w:tc>
        <w:tc>
          <w:tcPr>
            <w:tcW w:w="3221" w:type="dxa"/>
            <w:gridSpan w:val="2"/>
            <w:tcBorders>
              <w:top w:val="single" w:color="000000" w:sz="4" w:space="0"/>
              <w:left w:val="single" w:color="000000" w:sz="4" w:space="0"/>
              <w:bottom w:val="single" w:color="000000" w:sz="4" w:space="0"/>
              <w:right w:val="single" w:color="000000" w:sz="4" w:space="0"/>
            </w:tcBorders>
            <w:shd w:val="clear" w:color="auto" w:fill="DCE6F2" w:themeFill="accent1" w:themeFillTint="32"/>
            <w:tcMar>
              <w:top w:w="80" w:type="dxa"/>
              <w:left w:w="80" w:type="dxa"/>
              <w:bottom w:w="80" w:type="dxa"/>
              <w:right w:w="80" w:type="dxa"/>
            </w:tcMar>
            <w:vAlign w:val="center"/>
          </w:tcPr>
          <w:p>
            <w:pPr>
              <w:rPr>
                <w:rFonts w:hint="default"/>
                <w:sz w:val="18"/>
                <w:szCs w:val="18"/>
              </w:rPr>
            </w:pPr>
            <w:r>
              <w:rPr>
                <w:rFonts w:hint="eastAsia" w:ascii="楷体_GB2312" w:eastAsia="楷体_GB2312"/>
                <w:sz w:val="18"/>
                <w:szCs w:val="18"/>
              </w:rPr>
              <w:t>（二）部分公开（区分处理的，只计这一情形，不计其他情形）</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lang w:val="en-US"/>
              </w:rPr>
            </w:pPr>
            <w:r>
              <w:rPr>
                <w:rFonts w:hint="default" w:ascii="Times New Roman" w:hAnsi="Times New Roman" w:eastAsia="仿宋_GB2312" w:cs="Times New Roman"/>
                <w:sz w:val="20"/>
                <w:szCs w:val="20"/>
                <w:lang w:val="en-US" w:eastAsia="zh-CN"/>
              </w:rPr>
              <w:t>31</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3</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1</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lang w:val="en-US"/>
              </w:rPr>
            </w:pPr>
            <w:r>
              <w:rPr>
                <w:rFonts w:hint="default" w:ascii="Times New Roman" w:hAnsi="Times New Roman" w:eastAsia="仿宋_GB2312" w:cs="Times New Roman"/>
                <w:sz w:val="20"/>
                <w:szCs w:val="20"/>
                <w:lang w:val="en-US" w:eastAsia="zh-CN"/>
              </w:rPr>
              <w:t>35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1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rPr>
                <w:rFonts w:hint="default"/>
              </w:rPr>
            </w:pP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DCE6F2" w:themeFill="accent1" w:themeFillTint="32"/>
            <w:tcMar>
              <w:top w:w="80" w:type="dxa"/>
              <w:left w:w="80" w:type="dxa"/>
              <w:bottom w:w="80" w:type="dxa"/>
              <w:right w:w="80" w:type="dxa"/>
            </w:tcMar>
            <w:vAlign w:val="center"/>
          </w:tcPr>
          <w:p>
            <w:pPr>
              <w:jc w:val="center"/>
              <w:rPr>
                <w:rFonts w:hint="eastAsia" w:ascii="楷体_GB2312" w:eastAsia="楷体_GB2312"/>
                <w:sz w:val="18"/>
                <w:szCs w:val="18"/>
              </w:rPr>
            </w:pPr>
            <w:r>
              <w:rPr>
                <w:rFonts w:hint="eastAsia" w:ascii="楷体_GB2312" w:eastAsia="楷体_GB2312"/>
                <w:sz w:val="18"/>
                <w:szCs w:val="18"/>
              </w:rPr>
              <w:t>（三）不予</w:t>
            </w:r>
          </w:p>
          <w:p>
            <w:pPr>
              <w:jc w:val="center"/>
              <w:rPr>
                <w:rFonts w:hint="default"/>
                <w:sz w:val="18"/>
                <w:szCs w:val="18"/>
              </w:rPr>
            </w:pPr>
            <w:r>
              <w:rPr>
                <w:rFonts w:hint="eastAsia" w:ascii="楷体_GB2312" w:eastAsia="楷体_GB2312"/>
                <w:sz w:val="18"/>
                <w:szCs w:val="18"/>
              </w:rPr>
              <w:t>公开</w:t>
            </w:r>
          </w:p>
        </w:tc>
        <w:tc>
          <w:tcPr>
            <w:tcW w:w="2498"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tcMar>
              <w:top w:w="80" w:type="dxa"/>
              <w:left w:w="80" w:type="dxa"/>
              <w:bottom w:w="80" w:type="dxa"/>
              <w:right w:w="80" w:type="dxa"/>
            </w:tcMar>
            <w:vAlign w:val="center"/>
          </w:tcPr>
          <w:p>
            <w:pPr>
              <w:rPr>
                <w:rFonts w:hint="default"/>
                <w:sz w:val="18"/>
                <w:szCs w:val="18"/>
              </w:rPr>
            </w:pPr>
            <w:r>
              <w:rPr>
                <w:rFonts w:hint="eastAsia" w:ascii="楷体_GB2312" w:eastAsia="楷体_GB2312"/>
                <w:sz w:val="18"/>
                <w:szCs w:val="18"/>
              </w:rPr>
              <w:t>1.属于国家秘密</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3</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9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rPr>
                <w:rFonts w:hint="default"/>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jc w:val="center"/>
              <w:rPr>
                <w:rFonts w:hint="default"/>
                <w:sz w:val="18"/>
                <w:szCs w:val="18"/>
              </w:rPr>
            </w:pPr>
          </w:p>
        </w:tc>
        <w:tc>
          <w:tcPr>
            <w:tcW w:w="2498"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tcMar>
              <w:top w:w="80" w:type="dxa"/>
              <w:left w:w="80" w:type="dxa"/>
              <w:bottom w:w="80" w:type="dxa"/>
              <w:right w:w="80" w:type="dxa"/>
            </w:tcMar>
            <w:vAlign w:val="center"/>
          </w:tcPr>
          <w:p>
            <w:pPr>
              <w:rPr>
                <w:rFonts w:hint="default"/>
                <w:sz w:val="18"/>
                <w:szCs w:val="18"/>
              </w:rPr>
            </w:pPr>
            <w:r>
              <w:rPr>
                <w:rFonts w:hint="eastAsia" w:ascii="楷体_GB2312" w:eastAsia="楷体_GB2312"/>
                <w:sz w:val="18"/>
                <w:szCs w:val="18"/>
              </w:rPr>
              <w:t>2.其他法律行政法规禁止公开</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9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rPr>
                <w:rFonts w:hint="default"/>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jc w:val="center"/>
              <w:rPr>
                <w:rFonts w:hint="default"/>
                <w:sz w:val="18"/>
                <w:szCs w:val="18"/>
              </w:rPr>
            </w:pPr>
          </w:p>
        </w:tc>
        <w:tc>
          <w:tcPr>
            <w:tcW w:w="2498"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tcMar>
              <w:top w:w="80" w:type="dxa"/>
              <w:left w:w="80" w:type="dxa"/>
              <w:bottom w:w="80" w:type="dxa"/>
              <w:right w:w="80" w:type="dxa"/>
            </w:tcMar>
            <w:vAlign w:val="center"/>
          </w:tcPr>
          <w:p>
            <w:pPr>
              <w:rPr>
                <w:rFonts w:hint="default"/>
                <w:sz w:val="18"/>
                <w:szCs w:val="18"/>
              </w:rPr>
            </w:pPr>
            <w:r>
              <w:rPr>
                <w:rFonts w:hint="eastAsia" w:ascii="楷体_GB2312" w:eastAsia="楷体_GB2312"/>
                <w:sz w:val="18"/>
                <w:szCs w:val="18"/>
              </w:rPr>
              <w:t>3.危及“三安全一稳定”</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1</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9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rPr>
                <w:rFonts w:hint="default"/>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jc w:val="center"/>
              <w:rPr>
                <w:rFonts w:hint="default"/>
                <w:sz w:val="18"/>
                <w:szCs w:val="18"/>
              </w:rPr>
            </w:pPr>
          </w:p>
        </w:tc>
        <w:tc>
          <w:tcPr>
            <w:tcW w:w="2498"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tcMar>
              <w:top w:w="80" w:type="dxa"/>
              <w:left w:w="80" w:type="dxa"/>
              <w:bottom w:w="80" w:type="dxa"/>
              <w:right w:w="80" w:type="dxa"/>
            </w:tcMar>
            <w:vAlign w:val="center"/>
          </w:tcPr>
          <w:p>
            <w:pPr>
              <w:rPr>
                <w:rFonts w:hint="default"/>
                <w:sz w:val="18"/>
                <w:szCs w:val="18"/>
              </w:rPr>
            </w:pPr>
            <w:r>
              <w:rPr>
                <w:rFonts w:hint="eastAsia" w:ascii="楷体_GB2312" w:eastAsia="楷体_GB2312"/>
                <w:sz w:val="18"/>
                <w:szCs w:val="18"/>
              </w:rPr>
              <w:t>4.保护第三方合法权益</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2</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9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rPr>
                <w:rFonts w:hint="default"/>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jc w:val="center"/>
              <w:rPr>
                <w:rFonts w:hint="default"/>
                <w:sz w:val="18"/>
                <w:szCs w:val="18"/>
              </w:rPr>
            </w:pPr>
          </w:p>
        </w:tc>
        <w:tc>
          <w:tcPr>
            <w:tcW w:w="2498"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tcMar>
              <w:top w:w="80" w:type="dxa"/>
              <w:left w:w="80" w:type="dxa"/>
              <w:bottom w:w="80" w:type="dxa"/>
              <w:right w:w="80" w:type="dxa"/>
            </w:tcMar>
            <w:vAlign w:val="center"/>
          </w:tcPr>
          <w:p>
            <w:pPr>
              <w:rPr>
                <w:rFonts w:hint="default"/>
                <w:sz w:val="18"/>
                <w:szCs w:val="18"/>
              </w:rPr>
            </w:pPr>
            <w:r>
              <w:rPr>
                <w:rFonts w:hint="eastAsia" w:ascii="楷体_GB2312" w:eastAsia="楷体_GB2312"/>
                <w:sz w:val="18"/>
                <w:szCs w:val="18"/>
              </w:rPr>
              <w:t>5.属于三类内部事务信息</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lang w:val="en-US"/>
              </w:rPr>
            </w:pPr>
            <w:r>
              <w:rPr>
                <w:rFonts w:hint="default" w:ascii="Times New Roman" w:hAnsi="Times New Roman" w:eastAsia="仿宋_GB2312" w:cs="Times New Roman"/>
                <w:sz w:val="20"/>
                <w:szCs w:val="20"/>
                <w:lang w:val="en-US" w:eastAsia="zh-CN"/>
              </w:rPr>
              <w:t>12</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eastAsia="zh-CN"/>
              </w:rPr>
              <w:t>0</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lang w:val="en-US"/>
              </w:rPr>
            </w:pPr>
            <w:r>
              <w:rPr>
                <w:rFonts w:hint="default" w:ascii="Times New Roman" w:hAnsi="Times New Roman" w:eastAsia="仿宋_GB2312" w:cs="Times New Roman"/>
                <w:sz w:val="20"/>
                <w:szCs w:val="20"/>
                <w:lang w:val="en-US" w:eastAsia="zh-CN"/>
              </w:rPr>
              <w:t>12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9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rPr>
                <w:rFonts w:hint="default"/>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jc w:val="center"/>
              <w:rPr>
                <w:rFonts w:hint="default"/>
                <w:sz w:val="18"/>
                <w:szCs w:val="18"/>
              </w:rPr>
            </w:pPr>
          </w:p>
        </w:tc>
        <w:tc>
          <w:tcPr>
            <w:tcW w:w="2498"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tcMar>
              <w:top w:w="80" w:type="dxa"/>
              <w:left w:w="80" w:type="dxa"/>
              <w:bottom w:w="80" w:type="dxa"/>
              <w:right w:w="80" w:type="dxa"/>
            </w:tcMar>
            <w:vAlign w:val="center"/>
          </w:tcPr>
          <w:p>
            <w:pPr>
              <w:rPr>
                <w:rFonts w:hint="default"/>
                <w:sz w:val="18"/>
                <w:szCs w:val="18"/>
              </w:rPr>
            </w:pPr>
            <w:r>
              <w:rPr>
                <w:rFonts w:hint="eastAsia" w:ascii="楷体_GB2312" w:eastAsia="楷体_GB2312"/>
                <w:sz w:val="18"/>
                <w:szCs w:val="18"/>
              </w:rPr>
              <w:t>6.属于四类过程性信息</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lang w:val="en-US"/>
              </w:rPr>
            </w:pPr>
            <w:r>
              <w:rPr>
                <w:rFonts w:hint="default" w:ascii="Times New Roman" w:hAnsi="Times New Roman" w:eastAsia="仿宋_GB2312" w:cs="Times New Roman"/>
                <w:sz w:val="20"/>
                <w:szCs w:val="20"/>
                <w:lang w:val="en-US" w:eastAsia="zh-CN"/>
              </w:rPr>
              <w:t>11</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lang w:val="en-US"/>
              </w:rPr>
            </w:pPr>
            <w:r>
              <w:rPr>
                <w:rFonts w:hint="default" w:ascii="Times New Roman" w:hAnsi="Times New Roman" w:eastAsia="仿宋_GB2312" w:cs="Times New Roman"/>
                <w:sz w:val="20"/>
                <w:szCs w:val="20"/>
                <w:lang w:val="en-US" w:eastAsia="zh-CN"/>
              </w:rPr>
              <w:t>11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1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rPr>
                <w:rFonts w:hint="default"/>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jc w:val="center"/>
              <w:rPr>
                <w:rFonts w:hint="default"/>
                <w:sz w:val="18"/>
                <w:szCs w:val="18"/>
              </w:rPr>
            </w:pPr>
          </w:p>
        </w:tc>
        <w:tc>
          <w:tcPr>
            <w:tcW w:w="2498"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tcMar>
              <w:top w:w="80" w:type="dxa"/>
              <w:left w:w="80" w:type="dxa"/>
              <w:bottom w:w="80" w:type="dxa"/>
              <w:right w:w="80" w:type="dxa"/>
            </w:tcMar>
            <w:vAlign w:val="center"/>
          </w:tcPr>
          <w:p>
            <w:pPr>
              <w:rPr>
                <w:rFonts w:hint="default"/>
                <w:sz w:val="18"/>
                <w:szCs w:val="18"/>
              </w:rPr>
            </w:pPr>
            <w:r>
              <w:rPr>
                <w:rFonts w:hint="eastAsia" w:ascii="楷体_GB2312" w:eastAsia="楷体_GB2312"/>
                <w:sz w:val="18"/>
                <w:szCs w:val="18"/>
              </w:rPr>
              <w:t>7.属于行政执法案卷</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lang w:val="en-US"/>
              </w:rPr>
            </w:pPr>
            <w:r>
              <w:rPr>
                <w:rFonts w:hint="default" w:ascii="Times New Roman" w:hAnsi="Times New Roman" w:eastAsia="仿宋_GB2312" w:cs="Times New Roman"/>
                <w:sz w:val="20"/>
                <w:szCs w:val="20"/>
                <w:lang w:val="en-US" w:eastAsia="zh-CN"/>
              </w:rPr>
              <w:t>24</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lang w:val="en-US"/>
              </w:rPr>
            </w:pPr>
            <w:r>
              <w:rPr>
                <w:rFonts w:hint="default" w:ascii="Times New Roman" w:hAnsi="Times New Roman" w:eastAsia="仿宋_GB2312" w:cs="Times New Roman"/>
                <w:sz w:val="20"/>
                <w:szCs w:val="20"/>
                <w:lang w:val="en-US" w:eastAsia="zh-CN"/>
              </w:rPr>
              <w:t>24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1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rPr>
                <w:rFonts w:hint="default"/>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jc w:val="center"/>
              <w:rPr>
                <w:rFonts w:hint="default"/>
                <w:sz w:val="18"/>
                <w:szCs w:val="18"/>
              </w:rPr>
            </w:pPr>
          </w:p>
        </w:tc>
        <w:tc>
          <w:tcPr>
            <w:tcW w:w="2498"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tcMar>
              <w:top w:w="80" w:type="dxa"/>
              <w:left w:w="80" w:type="dxa"/>
              <w:bottom w:w="80" w:type="dxa"/>
              <w:right w:w="80" w:type="dxa"/>
            </w:tcMar>
            <w:vAlign w:val="center"/>
          </w:tcPr>
          <w:p>
            <w:pPr>
              <w:rPr>
                <w:rFonts w:hint="default"/>
                <w:sz w:val="18"/>
                <w:szCs w:val="18"/>
              </w:rPr>
            </w:pPr>
            <w:r>
              <w:rPr>
                <w:rFonts w:hint="eastAsia" w:ascii="楷体_GB2312" w:eastAsia="楷体_GB2312"/>
                <w:sz w:val="18"/>
                <w:szCs w:val="18"/>
              </w:rPr>
              <w:t>8.属于行政查询事项</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6</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9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rPr>
                <w:rFonts w:hint="default"/>
              </w:rPr>
            </w:pP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DCE6F2" w:themeFill="accent1" w:themeFillTint="32"/>
            <w:tcMar>
              <w:top w:w="80" w:type="dxa"/>
              <w:left w:w="80" w:type="dxa"/>
              <w:bottom w:w="80" w:type="dxa"/>
              <w:right w:w="80" w:type="dxa"/>
            </w:tcMar>
            <w:vAlign w:val="center"/>
          </w:tcPr>
          <w:p>
            <w:pPr>
              <w:jc w:val="center"/>
              <w:rPr>
                <w:rFonts w:hint="eastAsia" w:ascii="楷体_GB2312" w:eastAsia="楷体_GB2312"/>
                <w:sz w:val="18"/>
                <w:szCs w:val="18"/>
              </w:rPr>
            </w:pPr>
            <w:r>
              <w:rPr>
                <w:rFonts w:hint="eastAsia" w:ascii="楷体_GB2312" w:eastAsia="楷体_GB2312"/>
                <w:sz w:val="18"/>
                <w:szCs w:val="18"/>
              </w:rPr>
              <w:t>（四）无法</w:t>
            </w:r>
          </w:p>
          <w:p>
            <w:pPr>
              <w:jc w:val="center"/>
              <w:rPr>
                <w:rFonts w:hint="default"/>
                <w:sz w:val="18"/>
                <w:szCs w:val="18"/>
              </w:rPr>
            </w:pPr>
            <w:r>
              <w:rPr>
                <w:rFonts w:hint="eastAsia" w:ascii="楷体_GB2312" w:eastAsia="楷体_GB2312"/>
                <w:sz w:val="18"/>
                <w:szCs w:val="18"/>
              </w:rPr>
              <w:t>提供</w:t>
            </w:r>
          </w:p>
        </w:tc>
        <w:tc>
          <w:tcPr>
            <w:tcW w:w="2498"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tcMar>
              <w:top w:w="80" w:type="dxa"/>
              <w:left w:w="80" w:type="dxa"/>
              <w:bottom w:w="80" w:type="dxa"/>
              <w:right w:w="80" w:type="dxa"/>
            </w:tcMar>
            <w:vAlign w:val="center"/>
          </w:tcPr>
          <w:p>
            <w:pPr>
              <w:rPr>
                <w:rFonts w:hint="default"/>
                <w:sz w:val="18"/>
                <w:szCs w:val="18"/>
              </w:rPr>
            </w:pPr>
            <w:r>
              <w:rPr>
                <w:rFonts w:hint="eastAsia" w:ascii="楷体_GB2312" w:eastAsia="楷体_GB2312"/>
                <w:sz w:val="18"/>
                <w:szCs w:val="18"/>
              </w:rPr>
              <w:t>1.本机关不掌握相关政府信息</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lang w:val="en-US"/>
              </w:rPr>
            </w:pPr>
            <w:r>
              <w:rPr>
                <w:rFonts w:hint="default" w:ascii="Times New Roman" w:hAnsi="Times New Roman" w:eastAsia="仿宋_GB2312" w:cs="Times New Roman"/>
                <w:sz w:val="20"/>
                <w:szCs w:val="20"/>
                <w:lang w:val="en-US" w:eastAsia="zh-CN"/>
              </w:rPr>
              <w:t>43</w:t>
            </w:r>
            <w:r>
              <w:rPr>
                <w:rFonts w:hint="eastAsia" w:ascii="Times New Roman" w:hAnsi="Times New Roman" w:eastAsia="仿宋_GB2312" w:cs="Times New Roman"/>
                <w:sz w:val="20"/>
                <w:szCs w:val="20"/>
                <w:lang w:val="en-US" w:eastAsia="zh-CN"/>
              </w:rPr>
              <w:t>4</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lang w:val="en-US"/>
              </w:rPr>
            </w:pPr>
            <w:r>
              <w:rPr>
                <w:rFonts w:hint="default" w:ascii="Times New Roman" w:hAnsi="Times New Roman" w:eastAsia="仿宋_GB2312" w:cs="Times New Roman"/>
                <w:sz w:val="20"/>
                <w:szCs w:val="20"/>
                <w:lang w:val="en-US" w:eastAsia="zh-CN"/>
              </w:rPr>
              <w:t>61</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3</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3</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lang w:val="en-US"/>
              </w:rPr>
            </w:pPr>
            <w:r>
              <w:rPr>
                <w:rFonts w:hint="default" w:ascii="Times New Roman" w:hAnsi="Times New Roman" w:eastAsia="仿宋_GB2312" w:cs="Times New Roman"/>
                <w:sz w:val="20"/>
                <w:szCs w:val="20"/>
                <w:lang w:val="en-US" w:eastAsia="zh-CN"/>
              </w:rPr>
              <w:t>50</w:t>
            </w:r>
            <w:r>
              <w:rPr>
                <w:rFonts w:hint="eastAsia" w:ascii="Times New Roman" w:hAnsi="Times New Roman" w:eastAsia="仿宋_GB2312" w:cs="Times New Roman"/>
                <w:sz w:val="20"/>
                <w:szCs w:val="20"/>
                <w:lang w:val="en-US" w:eastAsia="zh-CN"/>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9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rPr>
                <w:rFonts w:hint="default"/>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jc w:val="center"/>
              <w:rPr>
                <w:rFonts w:hint="default"/>
                <w:sz w:val="18"/>
                <w:szCs w:val="18"/>
              </w:rPr>
            </w:pPr>
          </w:p>
        </w:tc>
        <w:tc>
          <w:tcPr>
            <w:tcW w:w="2498"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tcMar>
              <w:top w:w="80" w:type="dxa"/>
              <w:left w:w="80" w:type="dxa"/>
              <w:bottom w:w="80" w:type="dxa"/>
              <w:right w:w="80" w:type="dxa"/>
            </w:tcMar>
            <w:vAlign w:val="center"/>
          </w:tcPr>
          <w:p>
            <w:pPr>
              <w:rPr>
                <w:rFonts w:hint="default"/>
                <w:sz w:val="18"/>
                <w:szCs w:val="18"/>
              </w:rPr>
            </w:pPr>
            <w:r>
              <w:rPr>
                <w:rFonts w:hint="eastAsia" w:ascii="楷体_GB2312" w:eastAsia="楷体_GB2312"/>
                <w:sz w:val="18"/>
                <w:szCs w:val="18"/>
              </w:rPr>
              <w:t>2.没有现成信息需要另行制作</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lang w:val="en-US"/>
              </w:rPr>
            </w:pPr>
            <w:r>
              <w:rPr>
                <w:rFonts w:hint="default" w:ascii="Times New Roman" w:hAnsi="Times New Roman" w:eastAsia="仿宋_GB2312" w:cs="Times New Roman"/>
                <w:sz w:val="20"/>
                <w:szCs w:val="20"/>
                <w:lang w:val="en-US" w:eastAsia="zh-CN"/>
              </w:rPr>
              <w:t>16</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lang w:val="en-US"/>
              </w:rPr>
            </w:pPr>
            <w:r>
              <w:rPr>
                <w:rFonts w:hint="default" w:ascii="Times New Roman" w:hAnsi="Times New Roman" w:eastAsia="仿宋_GB2312" w:cs="Times New Roman"/>
                <w:sz w:val="20"/>
                <w:szCs w:val="20"/>
                <w:lang w:val="en-US" w:eastAsia="zh-CN"/>
              </w:rPr>
              <w:t>16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9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rPr>
                <w:rFonts w:hint="default"/>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jc w:val="center"/>
              <w:rPr>
                <w:rFonts w:hint="default"/>
                <w:sz w:val="18"/>
                <w:szCs w:val="18"/>
              </w:rPr>
            </w:pPr>
          </w:p>
        </w:tc>
        <w:tc>
          <w:tcPr>
            <w:tcW w:w="2498"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tcMar>
              <w:top w:w="80" w:type="dxa"/>
              <w:left w:w="80" w:type="dxa"/>
              <w:bottom w:w="80" w:type="dxa"/>
              <w:right w:w="80" w:type="dxa"/>
            </w:tcMar>
            <w:vAlign w:val="center"/>
          </w:tcPr>
          <w:p>
            <w:pPr>
              <w:rPr>
                <w:rFonts w:hint="default"/>
                <w:sz w:val="18"/>
                <w:szCs w:val="18"/>
              </w:rPr>
            </w:pPr>
            <w:r>
              <w:rPr>
                <w:rFonts w:hint="eastAsia" w:ascii="楷体_GB2312" w:eastAsia="楷体_GB2312"/>
                <w:sz w:val="18"/>
                <w:szCs w:val="18"/>
              </w:rPr>
              <w:t>3.补正后申请内容仍不明确</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8</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9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rPr>
                <w:rFonts w:hint="default"/>
              </w:rPr>
            </w:pP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DCE6F2" w:themeFill="accent1" w:themeFillTint="32"/>
            <w:tcMar>
              <w:top w:w="80" w:type="dxa"/>
              <w:left w:w="80" w:type="dxa"/>
              <w:bottom w:w="80" w:type="dxa"/>
              <w:right w:w="80" w:type="dxa"/>
            </w:tcMar>
            <w:vAlign w:val="center"/>
          </w:tcPr>
          <w:p>
            <w:pPr>
              <w:jc w:val="center"/>
              <w:rPr>
                <w:rFonts w:hint="eastAsia" w:ascii="楷体_GB2312" w:eastAsia="楷体_GB2312"/>
                <w:sz w:val="18"/>
                <w:szCs w:val="18"/>
              </w:rPr>
            </w:pPr>
            <w:r>
              <w:rPr>
                <w:rFonts w:hint="eastAsia" w:ascii="楷体_GB2312" w:eastAsia="楷体_GB2312"/>
                <w:sz w:val="18"/>
                <w:szCs w:val="18"/>
              </w:rPr>
              <w:t>（五）不予</w:t>
            </w:r>
          </w:p>
          <w:p>
            <w:pPr>
              <w:jc w:val="center"/>
              <w:rPr>
                <w:rFonts w:hint="default"/>
                <w:sz w:val="18"/>
                <w:szCs w:val="18"/>
              </w:rPr>
            </w:pPr>
            <w:r>
              <w:rPr>
                <w:rFonts w:hint="eastAsia" w:ascii="楷体_GB2312" w:eastAsia="楷体_GB2312"/>
                <w:sz w:val="18"/>
                <w:szCs w:val="18"/>
              </w:rPr>
              <w:t>处理</w:t>
            </w:r>
          </w:p>
        </w:tc>
        <w:tc>
          <w:tcPr>
            <w:tcW w:w="2498"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tcMar>
              <w:top w:w="80" w:type="dxa"/>
              <w:left w:w="80" w:type="dxa"/>
              <w:bottom w:w="80" w:type="dxa"/>
              <w:right w:w="80" w:type="dxa"/>
            </w:tcMar>
            <w:vAlign w:val="center"/>
          </w:tcPr>
          <w:p>
            <w:pPr>
              <w:rPr>
                <w:rFonts w:hint="default"/>
                <w:sz w:val="18"/>
                <w:szCs w:val="18"/>
              </w:rPr>
            </w:pPr>
            <w:r>
              <w:rPr>
                <w:rFonts w:hint="eastAsia" w:ascii="楷体_GB2312" w:eastAsia="楷体_GB2312"/>
                <w:sz w:val="18"/>
                <w:szCs w:val="18"/>
              </w:rPr>
              <w:t>1.信访举报投诉类申请</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lang w:val="en-US"/>
              </w:rPr>
            </w:pPr>
            <w:r>
              <w:rPr>
                <w:rFonts w:hint="default" w:ascii="Times New Roman" w:hAnsi="Times New Roman" w:eastAsia="仿宋_GB2312" w:cs="Times New Roman"/>
                <w:sz w:val="20"/>
                <w:szCs w:val="20"/>
                <w:lang w:val="en-US" w:eastAsia="zh-CN"/>
              </w:rPr>
              <w:t>46</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4</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lang w:val="en-US"/>
              </w:rPr>
            </w:pPr>
            <w:r>
              <w:rPr>
                <w:rFonts w:hint="default" w:ascii="Times New Roman" w:hAnsi="Times New Roman" w:eastAsia="仿宋_GB2312" w:cs="Times New Roman"/>
                <w:sz w:val="20"/>
                <w:szCs w:val="20"/>
                <w:lang w:val="en-US" w:eastAsia="zh-CN"/>
              </w:rPr>
              <w:t>50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1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rPr>
                <w:rFonts w:hint="default"/>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rPr>
                <w:rFonts w:hint="default"/>
                <w:sz w:val="18"/>
                <w:szCs w:val="18"/>
              </w:rPr>
            </w:pPr>
          </w:p>
        </w:tc>
        <w:tc>
          <w:tcPr>
            <w:tcW w:w="2498"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tcMar>
              <w:top w:w="80" w:type="dxa"/>
              <w:left w:w="80" w:type="dxa"/>
              <w:bottom w:w="80" w:type="dxa"/>
              <w:right w:w="80" w:type="dxa"/>
            </w:tcMar>
            <w:vAlign w:val="center"/>
          </w:tcPr>
          <w:p>
            <w:pPr>
              <w:rPr>
                <w:rFonts w:hint="default"/>
                <w:sz w:val="18"/>
                <w:szCs w:val="18"/>
              </w:rPr>
            </w:pPr>
            <w:r>
              <w:rPr>
                <w:rFonts w:hint="eastAsia" w:ascii="楷体_GB2312" w:eastAsia="楷体_GB2312"/>
                <w:sz w:val="18"/>
                <w:szCs w:val="18"/>
              </w:rPr>
              <w:t>2.重复申请</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4</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9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rPr>
                <w:rFonts w:hint="default"/>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rPr>
                <w:rFonts w:hint="default"/>
                <w:sz w:val="18"/>
                <w:szCs w:val="18"/>
              </w:rPr>
            </w:pPr>
          </w:p>
        </w:tc>
        <w:tc>
          <w:tcPr>
            <w:tcW w:w="2498"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tcMar>
              <w:top w:w="80" w:type="dxa"/>
              <w:left w:w="80" w:type="dxa"/>
              <w:bottom w:w="80" w:type="dxa"/>
              <w:right w:w="80" w:type="dxa"/>
            </w:tcMar>
            <w:vAlign w:val="center"/>
          </w:tcPr>
          <w:p>
            <w:pPr>
              <w:rPr>
                <w:rFonts w:hint="default"/>
                <w:sz w:val="18"/>
                <w:szCs w:val="18"/>
              </w:rPr>
            </w:pPr>
            <w:r>
              <w:rPr>
                <w:rFonts w:hint="eastAsia" w:ascii="楷体_GB2312" w:eastAsia="楷体_GB2312"/>
                <w:sz w:val="18"/>
                <w:szCs w:val="18"/>
              </w:rPr>
              <w:t>3.要求提供公开出版物</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9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rPr>
                <w:rFonts w:hint="default"/>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rPr>
                <w:rFonts w:hint="default"/>
                <w:sz w:val="18"/>
                <w:szCs w:val="18"/>
              </w:rPr>
            </w:pPr>
          </w:p>
        </w:tc>
        <w:tc>
          <w:tcPr>
            <w:tcW w:w="2498"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tcMar>
              <w:top w:w="80" w:type="dxa"/>
              <w:left w:w="80" w:type="dxa"/>
              <w:bottom w:w="80" w:type="dxa"/>
              <w:right w:w="80" w:type="dxa"/>
            </w:tcMar>
            <w:vAlign w:val="center"/>
          </w:tcPr>
          <w:p>
            <w:pPr>
              <w:rPr>
                <w:rFonts w:hint="default"/>
                <w:sz w:val="18"/>
                <w:szCs w:val="18"/>
              </w:rPr>
            </w:pPr>
            <w:r>
              <w:rPr>
                <w:rFonts w:hint="eastAsia" w:ascii="楷体_GB2312" w:eastAsia="楷体_GB2312"/>
                <w:sz w:val="18"/>
                <w:szCs w:val="18"/>
              </w:rPr>
              <w:t>4.无正当理由大量反复申请</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7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rPr>
                <w:rFonts w:hint="default"/>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rPr>
                <w:rFonts w:hint="default"/>
                <w:sz w:val="18"/>
                <w:szCs w:val="18"/>
              </w:rPr>
            </w:pPr>
          </w:p>
        </w:tc>
        <w:tc>
          <w:tcPr>
            <w:tcW w:w="2498"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tcMar>
              <w:top w:w="80" w:type="dxa"/>
              <w:left w:w="80" w:type="dxa"/>
              <w:bottom w:w="80" w:type="dxa"/>
              <w:right w:w="80" w:type="dxa"/>
            </w:tcMar>
            <w:vAlign w:val="center"/>
          </w:tcPr>
          <w:p>
            <w:pPr>
              <w:rPr>
                <w:rFonts w:hint="default"/>
                <w:sz w:val="18"/>
                <w:szCs w:val="18"/>
              </w:rPr>
            </w:pPr>
            <w:r>
              <w:rPr>
                <w:rFonts w:hint="eastAsia" w:ascii="楷体_GB2312" w:eastAsia="楷体_GB2312"/>
                <w:sz w:val="18"/>
                <w:szCs w:val="18"/>
              </w:rPr>
              <w:t>5.要求行政机关确认或重新出具已获取信息</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1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rPr>
                <w:rFonts w:hint="default"/>
              </w:rPr>
            </w:pPr>
          </w:p>
        </w:tc>
        <w:tc>
          <w:tcPr>
            <w:tcW w:w="3221" w:type="dxa"/>
            <w:gridSpan w:val="2"/>
            <w:tcBorders>
              <w:top w:val="single" w:color="000000" w:sz="4" w:space="0"/>
              <w:left w:val="single" w:color="000000" w:sz="4" w:space="0"/>
              <w:bottom w:val="single" w:color="000000" w:sz="4" w:space="0"/>
              <w:right w:val="single" w:color="000000" w:sz="4" w:space="0"/>
            </w:tcBorders>
            <w:shd w:val="clear" w:color="auto" w:fill="DCE6F2" w:themeFill="accent1" w:themeFillTint="32"/>
            <w:tcMar>
              <w:top w:w="80" w:type="dxa"/>
              <w:left w:w="80" w:type="dxa"/>
              <w:bottom w:w="80" w:type="dxa"/>
              <w:right w:w="80" w:type="dxa"/>
            </w:tcMar>
            <w:vAlign w:val="center"/>
          </w:tcPr>
          <w:p>
            <w:pPr>
              <w:rPr>
                <w:rFonts w:hint="default"/>
                <w:sz w:val="18"/>
                <w:szCs w:val="18"/>
              </w:rPr>
            </w:pPr>
            <w:r>
              <w:rPr>
                <w:rFonts w:hint="eastAsia" w:ascii="楷体_GB2312" w:eastAsia="楷体_GB2312"/>
                <w:sz w:val="18"/>
                <w:szCs w:val="18"/>
              </w:rPr>
              <w:t>（六）其他处理</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lang w:val="en-US"/>
              </w:rPr>
            </w:pPr>
            <w:r>
              <w:rPr>
                <w:rFonts w:hint="eastAsia" w:ascii="Times New Roman" w:hAnsi="Times New Roman" w:eastAsia="仿宋_GB2312" w:cs="Times New Roman"/>
                <w:sz w:val="20"/>
                <w:szCs w:val="20"/>
                <w:lang w:val="en-US" w:eastAsia="zh-CN"/>
              </w:rPr>
              <w:t>52</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1</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lang w:val="en-US"/>
              </w:rPr>
            </w:pPr>
            <w:r>
              <w:rPr>
                <w:rFonts w:hint="eastAsia" w:ascii="Times New Roman" w:hAnsi="Times New Roman" w:eastAsia="仿宋_GB2312" w:cs="Times New Roman"/>
                <w:sz w:val="20"/>
                <w:szCs w:val="20"/>
                <w:lang w:val="en-US" w:eastAsia="zh-CN"/>
              </w:rPr>
              <w:t>53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rPr>
                <w:rFonts w:hint="default"/>
              </w:rPr>
            </w:pPr>
          </w:p>
        </w:tc>
        <w:tc>
          <w:tcPr>
            <w:tcW w:w="3221" w:type="dxa"/>
            <w:gridSpan w:val="2"/>
            <w:tcBorders>
              <w:top w:val="single" w:color="000000" w:sz="4" w:space="0"/>
              <w:left w:val="single" w:color="000000" w:sz="4" w:space="0"/>
              <w:bottom w:val="single" w:color="000000" w:sz="4" w:space="0"/>
              <w:right w:val="single" w:color="000000" w:sz="4" w:space="0"/>
            </w:tcBorders>
            <w:shd w:val="clear" w:color="auto" w:fill="DCE6F2" w:themeFill="accent1" w:themeFillTint="32"/>
            <w:tcMar>
              <w:top w:w="80" w:type="dxa"/>
              <w:left w:w="80" w:type="dxa"/>
              <w:bottom w:w="80" w:type="dxa"/>
              <w:right w:w="80" w:type="dxa"/>
            </w:tcMar>
            <w:vAlign w:val="center"/>
          </w:tcPr>
          <w:p>
            <w:pPr>
              <w:rPr>
                <w:rFonts w:hint="default"/>
                <w:sz w:val="18"/>
                <w:szCs w:val="18"/>
              </w:rPr>
            </w:pPr>
            <w:r>
              <w:rPr>
                <w:rFonts w:hint="eastAsia" w:ascii="楷体_GB2312" w:eastAsia="楷体_GB2312"/>
                <w:sz w:val="18"/>
                <w:szCs w:val="18"/>
              </w:rPr>
              <w:t>（七）总计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lang w:val="en-US"/>
              </w:rPr>
            </w:pPr>
            <w:r>
              <w:rPr>
                <w:rFonts w:hint="eastAsia" w:ascii="Times New Roman" w:hAnsi="Times New Roman" w:eastAsia="仿宋_GB2312" w:cs="Times New Roman"/>
                <w:sz w:val="20"/>
                <w:szCs w:val="20"/>
                <w:lang w:val="en-US" w:eastAsia="zh-CN"/>
              </w:rPr>
              <w:t>913</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lang w:val="en-US"/>
              </w:rPr>
            </w:pPr>
            <w:r>
              <w:rPr>
                <w:rFonts w:hint="default" w:ascii="Times New Roman" w:hAnsi="Times New Roman" w:eastAsia="仿宋_GB2312" w:cs="Times New Roman"/>
                <w:sz w:val="20"/>
                <w:szCs w:val="20"/>
                <w:lang w:val="en-US" w:eastAsia="zh-CN"/>
              </w:rPr>
              <w:t>83</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4</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5</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lang w:val="en-US"/>
              </w:rPr>
            </w:pPr>
            <w:r>
              <w:rPr>
                <w:rFonts w:hint="eastAsia" w:ascii="Times New Roman" w:hAnsi="Times New Roman" w:eastAsia="仿宋_GB2312" w:cs="Times New Roman"/>
                <w:sz w:val="20"/>
                <w:szCs w:val="20"/>
                <w:lang w:val="en-US" w:eastAsia="zh-CN"/>
              </w:rPr>
              <w:t>1005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3558" w:type="dxa"/>
            <w:gridSpan w:val="3"/>
            <w:tcBorders>
              <w:top w:val="single" w:color="000000" w:sz="4" w:space="0"/>
              <w:left w:val="single" w:color="000000" w:sz="4" w:space="0"/>
              <w:bottom w:val="single" w:color="000000" w:sz="4" w:space="0"/>
              <w:right w:val="single" w:color="000000" w:sz="4" w:space="0"/>
            </w:tcBorders>
            <w:shd w:val="clear" w:color="auto" w:fill="95B3D7" w:themeFill="accent1" w:themeFillTint="99"/>
            <w:tcMar>
              <w:top w:w="80" w:type="dxa"/>
              <w:left w:w="80" w:type="dxa"/>
              <w:bottom w:w="80" w:type="dxa"/>
              <w:right w:w="80" w:type="dxa"/>
            </w:tcMar>
            <w:vAlign w:val="center"/>
          </w:tcPr>
          <w:p>
            <w:pPr>
              <w:rPr>
                <w:rFonts w:hint="default"/>
              </w:rPr>
            </w:pPr>
            <w:r>
              <w:rPr>
                <w:rFonts w:hint="eastAsia" w:ascii="仿宋_GB2312" w:hAnsi="仿宋_GB2312" w:eastAsia="仿宋_GB2312" w:cs="仿宋_GB2312"/>
                <w:sz w:val="18"/>
                <w:szCs w:val="18"/>
                <w:shd w:val="clear" w:fill="95B3D7" w:themeFill="accent1" w:themeFillTint="99"/>
              </w:rPr>
              <w:t>四、结转下年度继续办理</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lang w:val="en-US"/>
              </w:rPr>
            </w:pPr>
            <w:r>
              <w:rPr>
                <w:rFonts w:hint="default" w:ascii="Times New Roman" w:hAnsi="Times New Roman" w:eastAsia="仿宋_GB2312" w:cs="Times New Roman"/>
                <w:sz w:val="20"/>
                <w:szCs w:val="20"/>
                <w:lang w:val="en-US" w:eastAsia="zh-CN"/>
              </w:rPr>
              <w:t>86</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1</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仿宋_GB2312" w:cs="Times New Roman"/>
                <w:sz w:val="20"/>
                <w:szCs w:val="20"/>
                <w:lang w:val="en-US"/>
              </w:rPr>
            </w:pPr>
            <w:r>
              <w:rPr>
                <w:rFonts w:hint="default" w:ascii="Times New Roman" w:hAnsi="Times New Roman" w:eastAsia="仿宋_GB2312" w:cs="Times New Roman"/>
                <w:sz w:val="20"/>
                <w:szCs w:val="20"/>
                <w:lang w:val="en-US" w:eastAsia="zh-CN"/>
              </w:rPr>
              <w:t>87</w:t>
            </w:r>
          </w:p>
        </w:tc>
      </w:tr>
    </w:tbl>
    <w:p>
      <w:pPr>
        <w:pStyle w:val="15"/>
        <w:spacing w:line="560" w:lineRule="exact"/>
        <w:ind w:firstLine="640"/>
        <w:rPr>
          <w:rFonts w:ascii="黑体" w:hAnsi="黑体" w:eastAsia="PMingLiU" w:cs="黑体"/>
          <w:sz w:val="32"/>
          <w:szCs w:val="32"/>
          <w:lang w:val="zh-TW" w:eastAsia="zh-TW"/>
        </w:rPr>
      </w:pPr>
      <w:r>
        <w:rPr>
          <w:rFonts w:ascii="黑体" w:hAnsi="黑体" w:eastAsia="黑体" w:cs="黑体"/>
          <w:sz w:val="32"/>
          <w:szCs w:val="32"/>
          <w:lang w:val="zh-TW" w:eastAsia="zh-TW"/>
        </w:rPr>
        <w:t>四、政府信息公开行政复议、行政诉讼情况</w:t>
      </w:r>
    </w:p>
    <w:tbl>
      <w:tblPr>
        <w:tblStyle w:val="12"/>
        <w:tblW w:w="8952"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497"/>
        <w:gridCol w:w="576"/>
        <w:gridCol w:w="643"/>
        <w:gridCol w:w="643"/>
        <w:gridCol w:w="701"/>
        <w:gridCol w:w="540"/>
        <w:gridCol w:w="594"/>
        <w:gridCol w:w="594"/>
        <w:gridCol w:w="594"/>
        <w:gridCol w:w="595"/>
        <w:gridCol w:w="594"/>
        <w:gridCol w:w="594"/>
        <w:gridCol w:w="595"/>
        <w:gridCol w:w="596"/>
        <w:gridCol w:w="59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45" w:hRule="atLeast"/>
          <w:jc w:val="center"/>
        </w:trPr>
        <w:tc>
          <w:tcPr>
            <w:tcW w:w="3060" w:type="dxa"/>
            <w:gridSpan w:val="5"/>
            <w:tcBorders>
              <w:top w:val="single" w:color="000000" w:sz="4" w:space="0"/>
              <w:left w:val="single" w:color="000000" w:sz="4" w:space="0"/>
              <w:bottom w:val="single" w:color="000000" w:sz="4" w:space="0"/>
              <w:right w:val="single" w:color="000000" w:sz="4" w:space="0"/>
            </w:tcBorders>
            <w:shd w:val="clear" w:color="auto" w:fill="4F81BD" w:themeFill="accent1"/>
            <w:tcMar>
              <w:top w:w="80" w:type="dxa"/>
              <w:left w:w="80" w:type="dxa"/>
              <w:bottom w:w="80" w:type="dxa"/>
              <w:right w:w="80" w:type="dxa"/>
            </w:tcMar>
            <w:vAlign w:val="center"/>
          </w:tcPr>
          <w:p>
            <w:pPr>
              <w:jc w:val="center"/>
              <w:rPr>
                <w:rFonts w:hint="default"/>
              </w:rPr>
            </w:pPr>
            <w:r>
              <w:rPr>
                <w:rFonts w:hint="eastAsia" w:ascii="Times New Roman" w:hAnsi="Times New Roman" w:eastAsia="宋体" w:cs="Times New Roman"/>
                <w:kern w:val="2"/>
                <w:sz w:val="21"/>
                <w:szCs w:val="24"/>
              </w:rPr>
              <w:t>行政复议</w:t>
            </w:r>
          </w:p>
        </w:tc>
        <w:tc>
          <w:tcPr>
            <w:tcW w:w="5892" w:type="dxa"/>
            <w:gridSpan w:val="10"/>
            <w:tcBorders>
              <w:top w:val="single" w:color="000000" w:sz="4" w:space="0"/>
              <w:left w:val="single" w:color="000000" w:sz="4" w:space="0"/>
              <w:bottom w:val="single" w:color="000000" w:sz="4" w:space="0"/>
              <w:right w:val="single" w:color="000000" w:sz="4" w:space="0"/>
            </w:tcBorders>
            <w:shd w:val="clear" w:color="auto" w:fill="4F81BD" w:themeFill="accent1"/>
            <w:tcMar>
              <w:top w:w="80" w:type="dxa"/>
              <w:left w:w="80" w:type="dxa"/>
              <w:bottom w:w="80" w:type="dxa"/>
              <w:right w:w="80" w:type="dxa"/>
            </w:tcMar>
            <w:vAlign w:val="center"/>
          </w:tcPr>
          <w:p>
            <w:pPr>
              <w:jc w:val="center"/>
              <w:rPr>
                <w:rFonts w:hint="default"/>
              </w:rPr>
            </w:pPr>
            <w:r>
              <w:rPr>
                <w:rFonts w:hint="eastAsia" w:ascii="Times New Roman" w:hAnsi="Times New Roman" w:eastAsia="宋体" w:cs="Times New Roman"/>
                <w:kern w:val="2"/>
                <w:sz w:val="21"/>
                <w:szCs w:val="24"/>
              </w:rPr>
              <w:t>行政诉讼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5" w:hRule="atLeast"/>
          <w:jc w:val="center"/>
        </w:trPr>
        <w:tc>
          <w:tcPr>
            <w:tcW w:w="497"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结</w:t>
            </w:r>
          </w:p>
          <w:p>
            <w:pPr>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果</w:t>
            </w:r>
          </w:p>
          <w:p>
            <w:pPr>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维</w:t>
            </w:r>
          </w:p>
          <w:p>
            <w:pPr>
              <w:jc w:val="center"/>
              <w:rPr>
                <w:rFonts w:hint="default"/>
              </w:rPr>
            </w:pPr>
            <w:r>
              <w:rPr>
                <w:rFonts w:hint="eastAsia" w:ascii="Times New Roman" w:hAnsi="Times New Roman" w:eastAsia="宋体" w:cs="Times New Roman"/>
                <w:kern w:val="2"/>
                <w:sz w:val="21"/>
                <w:szCs w:val="24"/>
              </w:rPr>
              <w:t>持</w:t>
            </w: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rPr>
            </w:pPr>
            <w:r>
              <w:rPr>
                <w:rFonts w:hint="eastAsia" w:ascii="Times New Roman" w:hAnsi="Times New Roman" w:eastAsia="宋体" w:cs="Times New Roman"/>
                <w:kern w:val="2"/>
                <w:sz w:val="21"/>
                <w:szCs w:val="24"/>
              </w:rPr>
              <w:t>结果纠正</w:t>
            </w: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rPr>
            </w:pPr>
            <w:r>
              <w:rPr>
                <w:rFonts w:hint="eastAsia" w:ascii="Times New Roman" w:hAnsi="Times New Roman" w:eastAsia="宋体" w:cs="Times New Roman"/>
                <w:kern w:val="2"/>
                <w:sz w:val="21"/>
                <w:szCs w:val="24"/>
              </w:rPr>
              <w:t>其他结果</w:t>
            </w: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rPr>
            </w:pPr>
            <w:r>
              <w:rPr>
                <w:rFonts w:hint="eastAsia" w:ascii="Times New Roman" w:hAnsi="Times New Roman" w:eastAsia="宋体" w:cs="Times New Roman"/>
                <w:kern w:val="2"/>
                <w:sz w:val="21"/>
                <w:szCs w:val="24"/>
              </w:rPr>
              <w:t>尚未审结</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rPr>
            </w:pPr>
            <w:r>
              <w:rPr>
                <w:rFonts w:hint="eastAsia" w:ascii="Times New Roman" w:hAnsi="Times New Roman" w:eastAsia="宋体" w:cs="Times New Roman"/>
                <w:kern w:val="2"/>
                <w:sz w:val="21"/>
                <w:szCs w:val="24"/>
              </w:rPr>
              <w:t>总 计</w:t>
            </w:r>
          </w:p>
        </w:tc>
        <w:tc>
          <w:tcPr>
            <w:tcW w:w="2917" w:type="dxa"/>
            <w:gridSpan w:val="5"/>
            <w:tcBorders>
              <w:top w:val="single" w:color="000000" w:sz="4" w:space="0"/>
              <w:left w:val="single" w:color="000000" w:sz="4" w:space="0"/>
              <w:bottom w:val="single" w:color="000000" w:sz="4" w:space="0"/>
              <w:right w:val="single" w:color="000000" w:sz="4" w:space="0"/>
            </w:tcBorders>
            <w:shd w:val="clear" w:color="auto" w:fill="95B3D7" w:themeFill="accent1" w:themeFillTint="99"/>
            <w:tcMar>
              <w:top w:w="80" w:type="dxa"/>
              <w:left w:w="80" w:type="dxa"/>
              <w:bottom w:w="80" w:type="dxa"/>
              <w:right w:w="80" w:type="dxa"/>
            </w:tcMar>
            <w:vAlign w:val="center"/>
          </w:tcPr>
          <w:p>
            <w:pPr>
              <w:jc w:val="center"/>
              <w:rPr>
                <w:rFonts w:hint="default"/>
              </w:rPr>
            </w:pPr>
            <w:r>
              <w:rPr>
                <w:rFonts w:hint="eastAsia" w:ascii="Times New Roman" w:hAnsi="Times New Roman" w:eastAsia="宋体" w:cs="Times New Roman"/>
                <w:kern w:val="2"/>
                <w:sz w:val="21"/>
                <w:szCs w:val="24"/>
              </w:rPr>
              <w:t>未经复议直接起诉</w:t>
            </w:r>
          </w:p>
        </w:tc>
        <w:tc>
          <w:tcPr>
            <w:tcW w:w="2975" w:type="dxa"/>
            <w:gridSpan w:val="5"/>
            <w:tcBorders>
              <w:top w:val="single" w:color="000000" w:sz="4" w:space="0"/>
              <w:left w:val="single" w:color="000000" w:sz="4" w:space="0"/>
              <w:bottom w:val="single" w:color="000000" w:sz="4" w:space="0"/>
              <w:right w:val="single" w:color="000000" w:sz="4" w:space="0"/>
            </w:tcBorders>
            <w:shd w:val="clear" w:color="auto" w:fill="95B3D7" w:themeFill="accent1" w:themeFillTint="99"/>
            <w:tcMar>
              <w:top w:w="80" w:type="dxa"/>
              <w:left w:w="80" w:type="dxa"/>
              <w:bottom w:w="80" w:type="dxa"/>
              <w:right w:w="80" w:type="dxa"/>
            </w:tcMar>
            <w:vAlign w:val="center"/>
          </w:tcPr>
          <w:p>
            <w:pPr>
              <w:jc w:val="center"/>
              <w:rPr>
                <w:rFonts w:hint="default"/>
              </w:rPr>
            </w:pPr>
            <w:r>
              <w:rPr>
                <w:rFonts w:hint="eastAsia" w:ascii="Times New Roman" w:hAnsi="Times New Roman" w:eastAsia="宋体" w:cs="Times New Roman"/>
                <w:kern w:val="2"/>
                <w:sz w:val="21"/>
                <w:szCs w:val="24"/>
              </w:rPr>
              <w:t>复议后起诉</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130" w:hRule="atLeast"/>
          <w:jc w:val="center"/>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rPr>
            </w:pPr>
            <w:r>
              <w:rPr>
                <w:rFonts w:hint="eastAsia" w:ascii="Times New Roman" w:hAnsi="Times New Roman" w:eastAsia="宋体" w:cs="Times New Roman"/>
                <w:kern w:val="2"/>
                <w:sz w:val="21"/>
                <w:szCs w:val="24"/>
              </w:rPr>
              <w:t>结果维持</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rPr>
            </w:pPr>
            <w:r>
              <w:rPr>
                <w:rFonts w:hint="eastAsia" w:ascii="Times New Roman" w:hAnsi="Times New Roman" w:eastAsia="宋体" w:cs="Times New Roman"/>
                <w:kern w:val="2"/>
                <w:sz w:val="21"/>
                <w:szCs w:val="24"/>
              </w:rPr>
              <w:t>结果纠正</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rPr>
            </w:pPr>
            <w:r>
              <w:rPr>
                <w:rFonts w:hint="eastAsia" w:ascii="Times New Roman" w:hAnsi="Times New Roman" w:eastAsia="宋体" w:cs="Times New Roman"/>
                <w:kern w:val="2"/>
                <w:sz w:val="21"/>
                <w:szCs w:val="24"/>
              </w:rPr>
              <w:t>其他结果</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rPr>
            </w:pPr>
            <w:r>
              <w:rPr>
                <w:rFonts w:hint="eastAsia" w:ascii="Times New Roman" w:hAnsi="Times New Roman" w:eastAsia="宋体" w:cs="Times New Roman"/>
                <w:kern w:val="2"/>
                <w:sz w:val="21"/>
                <w:szCs w:val="24"/>
              </w:rPr>
              <w:t>尚未审结</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rPr>
            </w:pPr>
            <w:r>
              <w:rPr>
                <w:rFonts w:hint="eastAsia" w:ascii="Times New Roman" w:hAnsi="Times New Roman" w:eastAsia="宋体" w:cs="Times New Roman"/>
                <w:kern w:val="2"/>
                <w:sz w:val="21"/>
                <w:szCs w:val="24"/>
              </w:rPr>
              <w:t>总计</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rPr>
            </w:pPr>
            <w:r>
              <w:rPr>
                <w:rFonts w:hint="eastAsia" w:ascii="Times New Roman" w:hAnsi="Times New Roman" w:eastAsia="宋体" w:cs="Times New Roman"/>
                <w:kern w:val="2"/>
                <w:sz w:val="21"/>
                <w:szCs w:val="24"/>
              </w:rPr>
              <w:t>结果维持</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rPr>
            </w:pPr>
            <w:r>
              <w:rPr>
                <w:rFonts w:hint="eastAsia" w:ascii="Times New Roman" w:hAnsi="Times New Roman" w:eastAsia="宋体" w:cs="Times New Roman"/>
                <w:kern w:val="2"/>
                <w:sz w:val="21"/>
                <w:szCs w:val="24"/>
              </w:rPr>
              <w:t>结果纠正</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rPr>
            </w:pPr>
            <w:r>
              <w:rPr>
                <w:rFonts w:hint="eastAsia" w:ascii="Times New Roman" w:hAnsi="Times New Roman" w:eastAsia="宋体" w:cs="Times New Roman"/>
                <w:kern w:val="2"/>
                <w:sz w:val="21"/>
                <w:szCs w:val="24"/>
              </w:rPr>
              <w:t>其他结果</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rPr>
            </w:pPr>
            <w:r>
              <w:rPr>
                <w:rFonts w:hint="eastAsia" w:ascii="Times New Roman" w:hAnsi="Times New Roman" w:eastAsia="宋体" w:cs="Times New Roman"/>
                <w:kern w:val="2"/>
                <w:sz w:val="21"/>
                <w:szCs w:val="24"/>
              </w:rPr>
              <w:t>尚未审结</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rPr>
            </w:pPr>
            <w:r>
              <w:rPr>
                <w:rFonts w:hint="eastAsia" w:ascii="Times New Roman" w:hAnsi="Times New Roman" w:eastAsia="宋体" w:cs="Times New Roman"/>
                <w:kern w:val="2"/>
                <w:sz w:val="21"/>
                <w:szCs w:val="24"/>
              </w:rPr>
              <w:t>总计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5"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cs="Times New Roman"/>
                <w:sz w:val="20"/>
                <w:szCs w:val="20"/>
                <w:lang w:val="en-US"/>
              </w:rPr>
            </w:pPr>
            <w:r>
              <w:rPr>
                <w:rFonts w:hint="default" w:ascii="Times New Roman" w:hAnsi="Times New Roman" w:eastAsia="宋体" w:cs="Times New Roman"/>
                <w:kern w:val="2"/>
                <w:sz w:val="20"/>
                <w:szCs w:val="20"/>
                <w:lang w:val="en-US" w:eastAsia="zh-CN"/>
              </w:rPr>
              <w:t>37</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cs="Times New Roman"/>
                <w:sz w:val="20"/>
                <w:szCs w:val="20"/>
              </w:rPr>
            </w:pPr>
            <w:r>
              <w:rPr>
                <w:rFonts w:hint="default" w:ascii="Times New Roman" w:hAnsi="Times New Roman" w:eastAsia="宋体" w:cs="Times New Roman"/>
                <w:kern w:val="2"/>
                <w:sz w:val="20"/>
                <w:szCs w:val="20"/>
                <w:lang w:val="en-US" w:eastAsia="zh-CN"/>
              </w:rPr>
              <w:t>9</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cs="Times New Roman"/>
                <w:sz w:val="20"/>
                <w:szCs w:val="20"/>
              </w:rPr>
            </w:pPr>
            <w:r>
              <w:rPr>
                <w:rFonts w:hint="default" w:ascii="Times New Roman" w:hAnsi="Times New Roman" w:eastAsia="宋体" w:cs="Times New Roman"/>
                <w:kern w:val="2"/>
                <w:sz w:val="20"/>
                <w:szCs w:val="20"/>
                <w:lang w:val="en-US" w:eastAsia="zh-CN"/>
              </w:rPr>
              <w:t>2</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cs="Times New Roman"/>
                <w:sz w:val="20"/>
                <w:szCs w:val="20"/>
              </w:rPr>
            </w:pPr>
            <w:r>
              <w:rPr>
                <w:rFonts w:hint="default" w:ascii="Times New Roman" w:hAnsi="Times New Roman" w:eastAsia="宋体" w:cs="Times New Roman"/>
                <w:kern w:val="2"/>
                <w:sz w:val="20"/>
                <w:szCs w:val="20"/>
                <w:lang w:val="en-US" w:eastAsia="zh-CN"/>
              </w:rPr>
              <w:t>5</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cs="Times New Roman"/>
                <w:sz w:val="20"/>
                <w:szCs w:val="20"/>
                <w:lang w:val="en-US"/>
              </w:rPr>
            </w:pPr>
            <w:r>
              <w:rPr>
                <w:rFonts w:hint="default" w:ascii="Times New Roman" w:hAnsi="Times New Roman" w:eastAsia="宋体" w:cs="Times New Roman"/>
                <w:kern w:val="2"/>
                <w:sz w:val="20"/>
                <w:szCs w:val="20"/>
                <w:lang w:val="en-US" w:eastAsia="zh-CN"/>
              </w:rPr>
              <w:t>53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cs="Times New Roman"/>
                <w:sz w:val="20"/>
                <w:szCs w:val="20"/>
                <w:lang w:val="en-US"/>
              </w:rPr>
            </w:pPr>
            <w:r>
              <w:rPr>
                <w:rFonts w:hint="default" w:ascii="Times New Roman" w:hAnsi="Times New Roman" w:eastAsia="宋体" w:cs="Times New Roman"/>
                <w:kern w:val="2"/>
                <w:sz w:val="20"/>
                <w:szCs w:val="20"/>
                <w:lang w:val="en-US" w:eastAsia="zh-CN"/>
              </w:rPr>
              <w:t>27</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cs="Times New Roman"/>
                <w:sz w:val="20"/>
                <w:szCs w:val="20"/>
              </w:rPr>
            </w:pPr>
            <w:r>
              <w:rPr>
                <w:rFonts w:hint="default" w:ascii="Times New Roman" w:hAnsi="Times New Roman" w:eastAsia="宋体" w:cs="Times New Roman"/>
                <w:kern w:val="2"/>
                <w:sz w:val="20"/>
                <w:szCs w:val="20"/>
                <w:lang w:val="en-US" w:eastAsia="zh-CN"/>
              </w:rPr>
              <w:t>2</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cs="Times New Roman"/>
                <w:sz w:val="20"/>
                <w:szCs w:val="20"/>
              </w:rPr>
            </w:pPr>
            <w:r>
              <w:rPr>
                <w:rFonts w:hint="default" w:ascii="Times New Roman" w:hAnsi="Times New Roman" w:eastAsia="宋体" w:cs="Times New Roman"/>
                <w:kern w:val="2"/>
                <w:sz w:val="20"/>
                <w:szCs w:val="20"/>
                <w:lang w:val="en-US" w:eastAsia="zh-CN"/>
              </w:rPr>
              <w:t>3</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cs="Times New Roman"/>
                <w:sz w:val="20"/>
                <w:szCs w:val="20"/>
              </w:rPr>
            </w:pPr>
            <w:r>
              <w:rPr>
                <w:rFonts w:hint="default" w:ascii="Times New Roman" w:hAnsi="Times New Roman" w:eastAsia="宋体" w:cs="Times New Roman"/>
                <w:kern w:val="2"/>
                <w:sz w:val="20"/>
                <w:szCs w:val="20"/>
                <w:lang w:val="en-US" w:eastAsia="zh-CN"/>
              </w:rPr>
              <w:t>5</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cs="Times New Roman"/>
                <w:sz w:val="20"/>
                <w:szCs w:val="20"/>
                <w:lang w:val="en-US"/>
              </w:rPr>
            </w:pPr>
            <w:r>
              <w:rPr>
                <w:rFonts w:hint="default" w:ascii="Times New Roman" w:hAnsi="Times New Roman" w:eastAsia="宋体" w:cs="Times New Roman"/>
                <w:kern w:val="2"/>
                <w:sz w:val="20"/>
                <w:szCs w:val="20"/>
                <w:lang w:val="en-US" w:eastAsia="zh-CN"/>
              </w:rPr>
              <w:t>37</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cs="Times New Roman"/>
                <w:sz w:val="20"/>
                <w:szCs w:val="20"/>
                <w:lang w:val="en-US"/>
              </w:rPr>
            </w:pPr>
            <w:r>
              <w:rPr>
                <w:rFonts w:hint="default" w:ascii="Times New Roman" w:hAnsi="Times New Roman" w:eastAsia="宋体" w:cs="Times New Roman"/>
                <w:kern w:val="2"/>
                <w:sz w:val="20"/>
                <w:szCs w:val="20"/>
                <w:lang w:val="en-US" w:eastAsia="zh-CN"/>
              </w:rPr>
              <w:t>20</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cs="Times New Roman"/>
                <w:sz w:val="20"/>
                <w:szCs w:val="20"/>
              </w:rPr>
            </w:pPr>
            <w:r>
              <w:rPr>
                <w:rFonts w:hint="default" w:ascii="Times New Roman" w:hAnsi="Times New Roman" w:eastAsia="宋体" w:cs="Times New Roman"/>
                <w:kern w:val="2"/>
                <w:sz w:val="20"/>
                <w:szCs w:val="20"/>
                <w:lang w:val="en-US" w:eastAsia="zh-CN"/>
              </w:rPr>
              <w:t>0</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cs="Times New Roman"/>
                <w:sz w:val="20"/>
                <w:szCs w:val="20"/>
              </w:rPr>
            </w:pPr>
            <w:r>
              <w:rPr>
                <w:rFonts w:hint="default" w:ascii="Times New Roman" w:hAnsi="Times New Roman" w:eastAsia="宋体" w:cs="Times New Roman"/>
                <w:kern w:val="2"/>
                <w:sz w:val="20"/>
                <w:szCs w:val="20"/>
                <w:lang w:val="en-US" w:eastAsia="zh-CN"/>
              </w:rPr>
              <w:t>0</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cs="Times New Roman"/>
                <w:sz w:val="20"/>
                <w:szCs w:val="20"/>
              </w:rPr>
            </w:pPr>
            <w:r>
              <w:rPr>
                <w:rFonts w:hint="default" w:ascii="Times New Roman" w:hAnsi="Times New Roman" w:eastAsia="宋体" w:cs="Times New Roman"/>
                <w:kern w:val="2"/>
                <w:sz w:val="20"/>
                <w:szCs w:val="20"/>
                <w:lang w:val="en-US" w:eastAsia="zh-CN"/>
              </w:rPr>
              <w:t>0</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cs="Times New Roman"/>
                <w:sz w:val="20"/>
                <w:szCs w:val="20"/>
                <w:lang w:val="en-US"/>
              </w:rPr>
            </w:pPr>
            <w:r>
              <w:rPr>
                <w:rFonts w:hint="default" w:ascii="Times New Roman" w:hAnsi="Times New Roman" w:eastAsia="宋体" w:cs="Times New Roman"/>
                <w:kern w:val="2"/>
                <w:sz w:val="20"/>
                <w:szCs w:val="20"/>
                <w:lang w:val="en-US" w:eastAsia="zh-CN"/>
              </w:rPr>
              <w:t>20</w:t>
            </w:r>
          </w:p>
        </w:tc>
      </w:tr>
    </w:tbl>
    <w:p>
      <w:pPr>
        <w:pStyle w:val="15"/>
        <w:keepNext w:val="0"/>
        <w:keepLines w:val="0"/>
        <w:pageBreakBefore w:val="0"/>
        <w:kinsoku/>
        <w:wordWrap/>
        <w:overflowPunct/>
        <w:topLinePunct w:val="0"/>
        <w:autoSpaceDE/>
        <w:autoSpaceDN/>
        <w:bidi w:val="0"/>
        <w:adjustRightInd/>
        <w:snapToGrid/>
        <w:spacing w:line="560" w:lineRule="exact"/>
        <w:ind w:firstLine="645"/>
        <w:textAlignment w:val="auto"/>
        <w:rPr>
          <w:rFonts w:ascii="黑体" w:hAnsi="黑体" w:eastAsia="黑体" w:cs="黑体"/>
          <w:sz w:val="32"/>
          <w:szCs w:val="32"/>
          <w:lang w:val="zh-TW" w:eastAsia="zh-TW"/>
        </w:rPr>
      </w:pPr>
      <w:r>
        <w:rPr>
          <w:rFonts w:ascii="黑体" w:hAnsi="黑体" w:eastAsia="黑体" w:cs="黑体"/>
          <w:sz w:val="32"/>
          <w:szCs w:val="32"/>
          <w:lang w:val="zh-TW" w:eastAsia="zh-TW"/>
        </w:rPr>
        <w:t>五、政府信息公开工作存在的主要问题及改进情况</w:t>
      </w:r>
    </w:p>
    <w:p>
      <w:pPr>
        <w:pStyle w:val="15"/>
        <w:keepNext w:val="0"/>
        <w:keepLines w:val="0"/>
        <w:pageBreakBefore w:val="0"/>
        <w:kinsoku/>
        <w:wordWrap/>
        <w:overflowPunct/>
        <w:topLinePunct w:val="0"/>
        <w:autoSpaceDE/>
        <w:autoSpaceDN/>
        <w:bidi w:val="0"/>
        <w:adjustRightInd/>
        <w:snapToGrid/>
        <w:spacing w:line="560" w:lineRule="exact"/>
        <w:ind w:firstLine="645"/>
        <w:textAlignment w:val="auto"/>
        <w:rPr>
          <w:rFonts w:ascii="楷体_GB2312" w:hAnsi="楷体_GB2312" w:eastAsia="楷体_GB2312" w:cs="楷体_GB2312"/>
          <w:sz w:val="32"/>
          <w:szCs w:val="32"/>
          <w:lang w:val="zh-TW" w:eastAsia="zh-TW"/>
        </w:rPr>
      </w:pPr>
      <w:r>
        <w:rPr>
          <w:rFonts w:ascii="楷体_GB2312" w:hAnsi="楷体_GB2312" w:eastAsia="楷体_GB2312" w:cs="楷体_GB2312"/>
          <w:sz w:val="32"/>
          <w:szCs w:val="32"/>
          <w:lang w:val="zh-TW" w:eastAsia="zh-TW"/>
        </w:rPr>
        <w:t>（一）主要问题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zh-TW" w:eastAsia="zh-TW"/>
          <w14:textFill>
            <w14:solidFill>
              <w14:schemeClr w14:val="tx1"/>
            </w14:solidFill>
          </w14:textFill>
        </w:rPr>
        <w:t>一是</w:t>
      </w:r>
      <w:r>
        <w:rPr>
          <w:rFonts w:hint="eastAsia" w:ascii="仿宋_GB2312" w:hAnsi="仿宋_GB2312" w:eastAsia="仿宋_GB2312" w:cs="仿宋_GB2312"/>
          <w:b w:val="0"/>
          <w:bCs w:val="0"/>
          <w:color w:val="000000" w:themeColor="text1"/>
          <w:sz w:val="32"/>
          <w:szCs w:val="32"/>
          <w:lang w:val="zh-TW" w:eastAsia="zh-CN"/>
          <w14:textFill>
            <w14:solidFill>
              <w14:schemeClr w14:val="tx1"/>
            </w14:solidFill>
          </w14:textFill>
        </w:rPr>
        <w:t>缺乏主动公开意识，公开效率低。因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疫情影响或人员精力不足等问题导致信息更新超时。</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部分单位</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工作人员公开意识不强，公开政府信息不及时，</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从而</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影响公众获取政府信息的畅通性和</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政策</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解答效率</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二是</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缺乏精品信息，信息公开质量差。</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部分单位过于追求信息发布数量而忽略公开信息的必要性和实用性。不利于政府信息公开工作的长久发展</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三是</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缺乏创新</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目前有些阅读量少、互动差、关注度低的平台缺乏与时俱进的创意和内容，使得公开工作常态化推进缓慢，受众群体使用率低</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pPr>
        <w:pStyle w:val="15"/>
        <w:keepNext w:val="0"/>
        <w:keepLines w:val="0"/>
        <w:pageBreakBefore w:val="0"/>
        <w:kinsoku/>
        <w:wordWrap/>
        <w:overflowPunct/>
        <w:topLinePunct w:val="0"/>
        <w:autoSpaceDE/>
        <w:autoSpaceDN/>
        <w:bidi w:val="0"/>
        <w:adjustRightInd/>
        <w:snapToGrid/>
        <w:spacing w:line="560" w:lineRule="exact"/>
        <w:ind w:firstLine="645"/>
        <w:textAlignment w:val="auto"/>
        <w:rPr>
          <w:rFonts w:ascii="楷体_GB2312" w:hAnsi="楷体_GB2312" w:eastAsia="楷体_GB2312" w:cs="楷体_GB2312"/>
          <w:sz w:val="32"/>
          <w:szCs w:val="32"/>
        </w:rPr>
      </w:pPr>
      <w:r>
        <w:rPr>
          <w:rFonts w:ascii="楷体_GB2312" w:hAnsi="楷体_GB2312" w:eastAsia="楷体_GB2312" w:cs="楷体_GB2312"/>
          <w:sz w:val="32"/>
          <w:szCs w:val="32"/>
          <w:lang w:val="zh-TW" w:eastAsia="zh-TW"/>
        </w:rPr>
        <w:t>（二）改进情况</w:t>
      </w:r>
    </w:p>
    <w:p>
      <w:pPr>
        <w:pStyle w:val="15"/>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sz w:val="32"/>
          <w:szCs w:val="32"/>
          <w:lang w:val="zh-TW"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zh-TW" w:eastAsia="zh-TW"/>
          <w14:textFill>
            <w14:solidFill>
              <w14:schemeClr w14:val="tx1"/>
            </w14:solidFill>
          </w14:textFill>
        </w:rPr>
        <w:t>一是</w:t>
      </w:r>
      <w:r>
        <w:rPr>
          <w:rFonts w:hint="eastAsia" w:ascii="仿宋_GB2312" w:hAnsi="仿宋_GB2312" w:eastAsia="仿宋_GB2312" w:cs="仿宋_GB2312"/>
          <w:b w:val="0"/>
          <w:bCs w:val="0"/>
          <w:color w:val="000000" w:themeColor="text1"/>
          <w:sz w:val="32"/>
          <w:szCs w:val="32"/>
          <w:lang w:val="zh-TW" w:eastAsia="zh-CN"/>
          <w14:textFill>
            <w14:solidFill>
              <w14:schemeClr w14:val="tx1"/>
            </w14:solidFill>
          </w14:textFill>
        </w:rPr>
        <w:t>增强主动公开意识。明确公开常态化的重要性，</w:t>
      </w:r>
      <w:r>
        <w:rPr>
          <w:rFonts w:hint="eastAsia" w:ascii="仿宋_GB2312" w:hAnsi="仿宋_GB2312" w:eastAsia="仿宋_GB2312" w:cs="仿宋_GB2312"/>
          <w:color w:val="000000" w:themeColor="text1"/>
          <w:sz w:val="32"/>
          <w:szCs w:val="32"/>
          <w:u w:color="333333"/>
          <w:shd w:val="clear" w:color="auto" w:fill="FFFFFF"/>
          <w:lang w:val="zh-TW" w:eastAsia="zh-CN"/>
          <w14:textFill>
            <w14:solidFill>
              <w14:schemeClr w14:val="tx1"/>
            </w14:solidFill>
          </w14:textFill>
        </w:rPr>
        <w:t>重点梳理政府信息公开内容涉及民生和发展规划的领域</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在区政府网站开设专题专栏定期维护更新</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在每</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季度市（区）第三方评估机构考核</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后</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，根据考核结果</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进行专项整改</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，并将整改结果列入年底绩效考核。各单位通过</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线上线下</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学习和剖析本单位的依申请公开案例，特别是引发复议诉讼典型案例，</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深入学习研讨，提出优化改进措施。</w:t>
      </w:r>
    </w:p>
    <w:p>
      <w:pPr>
        <w:pStyle w:val="15"/>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sz w:val="32"/>
          <w:szCs w:val="32"/>
          <w:lang w:val="zh-TW"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zh-TW" w:eastAsia="zh-CN"/>
          <w14:textFill>
            <w14:solidFill>
              <w14:schemeClr w14:val="tx1"/>
            </w14:solidFill>
          </w14:textFill>
        </w:rPr>
        <w:t>二是</w:t>
      </w:r>
      <w:r>
        <w:rPr>
          <w:rFonts w:hint="eastAsia" w:ascii="仿宋_GB2312" w:hAnsi="仿宋_GB2312" w:eastAsia="仿宋_GB2312" w:cs="仿宋_GB2312"/>
          <w:b w:val="0"/>
          <w:bCs w:val="0"/>
          <w:color w:val="000000" w:themeColor="text1"/>
          <w:sz w:val="32"/>
          <w:szCs w:val="32"/>
          <w:lang w:val="zh-TW" w:eastAsia="zh-CN"/>
          <w14:textFill>
            <w14:solidFill>
              <w14:schemeClr w14:val="tx1"/>
            </w14:solidFill>
          </w14:textFill>
        </w:rPr>
        <w:t>落实公开工作职责。</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加强信息公开</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网站自查</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和</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监督</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w:t>
      </w:r>
      <w:r>
        <w:rPr>
          <w:rFonts w:hint="eastAsia" w:ascii="仿宋_GB2312" w:hAnsi="仿宋_GB2312" w:eastAsia="仿宋_GB2312" w:cs="仿宋_GB2312"/>
          <w:color w:val="000000" w:themeColor="text1"/>
          <w:sz w:val="32"/>
          <w:szCs w:val="32"/>
          <w:u w:color="333333"/>
          <w:shd w:val="clear" w:color="auto" w:fill="FFFFFF"/>
          <w:lang w:val="zh-TW" w:eastAsia="zh-TW"/>
          <w14:textFill>
            <w14:solidFill>
              <w14:schemeClr w14:val="tx1"/>
            </w14:solidFill>
          </w14:textFill>
        </w:rPr>
        <w:t>围绕区政府</w:t>
      </w:r>
      <w:r>
        <w:rPr>
          <w:rFonts w:hint="eastAsia" w:ascii="仿宋_GB2312" w:hAnsi="仿宋_GB2312" w:eastAsia="仿宋_GB2312" w:cs="仿宋_GB2312"/>
          <w:color w:val="000000" w:themeColor="text1"/>
          <w:sz w:val="32"/>
          <w:szCs w:val="32"/>
          <w:u w:color="333333"/>
          <w:shd w:val="clear" w:color="auto" w:fill="FFFFFF"/>
          <w:lang w:val="zh-TW" w:eastAsia="zh-CN"/>
          <w14:textFill>
            <w14:solidFill>
              <w14:schemeClr w14:val="tx1"/>
            </w14:solidFill>
          </w14:textFill>
        </w:rPr>
        <w:t>网站、政务新媒体等实时开展监督自查</w:t>
      </w:r>
      <w:r>
        <w:rPr>
          <w:rFonts w:hint="eastAsia" w:ascii="仿宋_GB2312" w:hAnsi="仿宋_GB2312" w:eastAsia="仿宋_GB2312" w:cs="仿宋_GB2312"/>
          <w:color w:val="000000" w:themeColor="text1"/>
          <w:sz w:val="32"/>
          <w:szCs w:val="32"/>
          <w:u w:color="333333"/>
          <w:shd w:val="clear" w:color="auto" w:fill="FFFFFF"/>
          <w:lang w:val="zh-TW" w:eastAsia="zh-TW"/>
          <w14:textFill>
            <w14:solidFill>
              <w14:schemeClr w14:val="tx1"/>
            </w14:solidFill>
          </w14:textFill>
        </w:rPr>
        <w:t>，</w:t>
      </w:r>
      <w:r>
        <w:rPr>
          <w:rFonts w:hint="eastAsia" w:ascii="仿宋_GB2312" w:hAnsi="仿宋_GB2312" w:eastAsia="仿宋_GB2312" w:cs="仿宋_GB2312"/>
          <w:color w:val="000000" w:themeColor="text1"/>
          <w:sz w:val="32"/>
          <w:szCs w:val="32"/>
          <w:u w:color="333333"/>
          <w:shd w:val="clear" w:color="auto" w:fill="FFFFFF"/>
          <w:lang w:val="zh-TW" w:eastAsia="zh-CN"/>
          <w14:textFill>
            <w14:solidFill>
              <w14:schemeClr w14:val="tx1"/>
            </w14:solidFill>
          </w14:textFill>
        </w:rPr>
        <w:t>对公开要求和标准进行定期梳理分析。提升政策解答互动性和群众使用满意率。并设置专项治理小组进行实时监测，及时整改。</w:t>
      </w:r>
    </w:p>
    <w:p>
      <w:pPr>
        <w:pStyle w:val="15"/>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sz w:val="32"/>
          <w:szCs w:val="32"/>
          <w:lang w:val="zh-TW"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zh-TW" w:eastAsia="zh-CN"/>
          <w14:textFill>
            <w14:solidFill>
              <w14:schemeClr w14:val="tx1"/>
            </w14:solidFill>
          </w14:textFill>
        </w:rPr>
        <w:t>三是</w:t>
      </w:r>
      <w:r>
        <w:rPr>
          <w:rFonts w:hint="eastAsia" w:ascii="仿宋_GB2312" w:hAnsi="仿宋_GB2312" w:eastAsia="仿宋_GB2312" w:cs="仿宋_GB2312"/>
          <w:b w:val="0"/>
          <w:bCs w:val="0"/>
          <w:color w:val="000000" w:themeColor="text1"/>
          <w:sz w:val="32"/>
          <w:szCs w:val="32"/>
          <w:lang w:val="zh-TW" w:eastAsia="zh-CN"/>
          <w14:textFill>
            <w14:solidFill>
              <w14:schemeClr w14:val="tx1"/>
            </w14:solidFill>
          </w14:textFill>
        </w:rPr>
        <w:t>拓宽信息公开形式。</w:t>
      </w:r>
      <w:r>
        <w:rPr>
          <w:rFonts w:hint="eastAsia" w:ascii="仿宋_GB2312" w:hAnsi="仿宋_GB2312" w:eastAsia="仿宋_GB2312" w:cs="仿宋_GB2312"/>
          <w:color w:val="000000" w:themeColor="text1"/>
          <w:sz w:val="32"/>
          <w:szCs w:val="32"/>
          <w:lang w:eastAsia="zh-CN"/>
          <w14:textFill>
            <w14:solidFill>
              <w14:schemeClr w14:val="tx1"/>
            </w14:solidFill>
          </w14:textFill>
        </w:rPr>
        <w:t>根据市政务服务局关于政府网站建设指标要求，在完成区政府网站页面规范化调整外，</w:t>
      </w:r>
      <w:r>
        <w:rPr>
          <w:rFonts w:hint="eastAsia" w:ascii="仿宋_GB2312" w:hAnsi="仿宋_GB2312" w:eastAsia="仿宋_GB2312" w:cs="仿宋_GB2312"/>
          <w:color w:val="000000" w:themeColor="text1"/>
          <w:sz w:val="32"/>
          <w:szCs w:val="32"/>
          <w14:textFill>
            <w14:solidFill>
              <w14:schemeClr w14:val="tx1"/>
            </w14:solidFill>
          </w14:textFill>
        </w:rPr>
        <w:t>丰富网站互动</w:t>
      </w:r>
      <w:r>
        <w:rPr>
          <w:rFonts w:hint="eastAsia" w:ascii="仿宋_GB2312" w:hAnsi="仿宋_GB2312" w:eastAsia="仿宋_GB2312" w:cs="仿宋_GB2312"/>
          <w:color w:val="000000" w:themeColor="text1"/>
          <w:sz w:val="32"/>
          <w:szCs w:val="32"/>
          <w:lang w:eastAsia="zh-CN"/>
          <w14:textFill>
            <w14:solidFill>
              <w14:schemeClr w14:val="tx1"/>
            </w14:solidFill>
          </w14:textFill>
        </w:rPr>
        <w:t>和政策解答功能。互动方面，充分利用好网站专题专栏进行优质建议的征集，</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提升创新服务能力。</w:t>
      </w:r>
      <w:r>
        <w:rPr>
          <w:rFonts w:hint="eastAsia" w:ascii="仿宋_GB2312" w:hAnsi="仿宋_GB2312" w:eastAsia="仿宋_GB2312" w:cs="仿宋_GB2312"/>
          <w:b w:val="0"/>
          <w:bCs w:val="0"/>
          <w:color w:val="000000" w:themeColor="text1"/>
          <w:sz w:val="32"/>
          <w:szCs w:val="32"/>
          <w14:textFill>
            <w14:solidFill>
              <w14:schemeClr w14:val="tx1"/>
            </w14:solidFill>
          </w14:textFill>
        </w:rPr>
        <w:t>政策解读方面，</w:t>
      </w:r>
      <w:r>
        <w:rPr>
          <w:rFonts w:hint="eastAsia" w:ascii="仿宋_GB2312" w:hAnsi="仿宋_GB2312" w:eastAsia="仿宋_GB2312" w:cs="仿宋_GB2312"/>
          <w:color w:val="000000" w:themeColor="text1"/>
          <w:sz w:val="32"/>
          <w:szCs w:val="32"/>
          <w14:textFill>
            <w14:solidFill>
              <w14:schemeClr w14:val="tx1"/>
            </w14:solidFill>
          </w14:textFill>
        </w:rPr>
        <w:t>严格要求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政策性文件解读的实用性</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避免出现“复制粘贴”方式解读的情况，进一步</w:t>
      </w:r>
      <w:r>
        <w:rPr>
          <w:rFonts w:hint="eastAsia" w:ascii="仿宋_GB2312" w:hAnsi="仿宋_GB2312" w:eastAsia="仿宋_GB2312" w:cs="仿宋_GB2312"/>
          <w:color w:val="000000" w:themeColor="text1"/>
          <w:sz w:val="32"/>
          <w:szCs w:val="32"/>
          <w14:textFill>
            <w14:solidFill>
              <w14:schemeClr w14:val="tx1"/>
            </w14:solidFill>
          </w14:textFill>
        </w:rPr>
        <w:t>提高政策解读实用度，确保企业群众看得懂、好理解</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公众参与</w:t>
      </w:r>
      <w:r>
        <w:rPr>
          <w:rFonts w:hint="eastAsia" w:ascii="仿宋_GB2312" w:hAnsi="仿宋_GB2312" w:eastAsia="仿宋_GB2312" w:cs="仿宋_GB2312"/>
          <w:b w:val="0"/>
          <w:bCs w:val="0"/>
          <w:color w:val="000000" w:themeColor="text1"/>
          <w:sz w:val="32"/>
          <w:szCs w:val="32"/>
          <w14:textFill>
            <w14:solidFill>
              <w14:schemeClr w14:val="tx1"/>
            </w14:solidFill>
          </w14:textFill>
        </w:rPr>
        <w:t>方面，</w:t>
      </w:r>
      <w:r>
        <w:rPr>
          <w:rFonts w:hint="eastAsia" w:ascii="仿宋_GB2312" w:hAnsi="仿宋_GB2312" w:eastAsia="仿宋_GB2312" w:cs="仿宋_GB2312"/>
          <w:color w:val="000000" w:themeColor="text1"/>
          <w:sz w:val="32"/>
          <w:szCs w:val="32"/>
          <w14:textFill>
            <w14:solidFill>
              <w14:schemeClr w14:val="tx1"/>
            </w14:solidFill>
          </w14:textFill>
        </w:rPr>
        <w:t>充分利用新闻发布会、</w:t>
      </w:r>
      <w:r>
        <w:rPr>
          <w:rFonts w:hint="eastAsia" w:ascii="仿宋_GB2312" w:hAnsi="仿宋_GB2312" w:eastAsia="仿宋_GB2312" w:cs="仿宋_GB2312"/>
          <w:color w:val="000000" w:themeColor="text1"/>
          <w:sz w:val="32"/>
          <w:szCs w:val="32"/>
          <w:lang w:eastAsia="zh-CN"/>
          <w14:textFill>
            <w14:solidFill>
              <w14:schemeClr w14:val="tx1"/>
            </w14:solidFill>
          </w14:textFill>
        </w:rPr>
        <w:t>会议开放制度、</w:t>
      </w:r>
      <w:r>
        <w:rPr>
          <w:rFonts w:hint="eastAsia" w:ascii="仿宋_GB2312" w:hAnsi="仿宋_GB2312" w:eastAsia="仿宋_GB2312" w:cs="仿宋_GB2312"/>
          <w:color w:val="000000" w:themeColor="text1"/>
          <w:sz w:val="32"/>
          <w:szCs w:val="32"/>
          <w14:textFill>
            <w14:solidFill>
              <w14:schemeClr w14:val="tx1"/>
            </w14:solidFill>
          </w14:textFill>
        </w:rPr>
        <w:t>政务开放日、微博、微信及APP客户端等多种形式公开政府信息，提高政府信息的覆盖面</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增进企业群众对政府工作的认同和支持。</w:t>
      </w:r>
    </w:p>
    <w:p>
      <w:pPr>
        <w:pStyle w:val="15"/>
        <w:keepNext w:val="0"/>
        <w:keepLines w:val="0"/>
        <w:pageBreakBefore w:val="0"/>
        <w:numPr>
          <w:ilvl w:val="0"/>
          <w:numId w:val="0"/>
        </w:numPr>
        <w:kinsoku/>
        <w:wordWrap/>
        <w:overflowPunct/>
        <w:topLinePunct w:val="0"/>
        <w:autoSpaceDE/>
        <w:autoSpaceDN/>
        <w:bidi w:val="0"/>
        <w:adjustRightInd/>
        <w:snapToGrid/>
        <w:spacing w:line="560" w:lineRule="exact"/>
        <w:ind w:left="645" w:leftChars="0"/>
        <w:textAlignment w:val="auto"/>
        <w:rPr>
          <w:rFonts w:ascii="黑体" w:hAnsi="黑体" w:eastAsia="黑体" w:cs="黑体"/>
          <w:sz w:val="32"/>
          <w:szCs w:val="32"/>
          <w:lang w:val="zh-TW" w:eastAsia="zh-TW"/>
        </w:rPr>
      </w:pPr>
      <w:r>
        <w:rPr>
          <w:rFonts w:hint="eastAsia" w:ascii="黑体" w:hAnsi="黑体" w:eastAsia="黑体" w:cs="黑体"/>
          <w:sz w:val="32"/>
          <w:szCs w:val="32"/>
          <w:lang w:val="zh-TW" w:eastAsia="zh-CN"/>
        </w:rPr>
        <w:t>六、</w:t>
      </w:r>
      <w:r>
        <w:rPr>
          <w:rFonts w:ascii="黑体" w:hAnsi="黑体" w:eastAsia="黑体" w:cs="黑体"/>
          <w:sz w:val="32"/>
          <w:szCs w:val="32"/>
          <w:lang w:val="zh-TW" w:eastAsia="zh-TW"/>
        </w:rPr>
        <w:t>其他需要报告的事项</w:t>
      </w:r>
    </w:p>
    <w:p>
      <w:pPr>
        <w:pStyle w:val="15"/>
        <w:keepNext w:val="0"/>
        <w:keepLines w:val="0"/>
        <w:pageBreakBefore w:val="0"/>
        <w:kinsoku/>
        <w:wordWrap/>
        <w:overflowPunct/>
        <w:topLinePunct w:val="0"/>
        <w:autoSpaceDE/>
        <w:autoSpaceDN/>
        <w:bidi w:val="0"/>
        <w:adjustRightInd/>
        <w:snapToGrid/>
        <w:spacing w:line="560" w:lineRule="exact"/>
        <w:ind w:firstLine="675"/>
        <w:textAlignment w:val="auto"/>
        <w:rPr>
          <w:rFonts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zh-TW" w:eastAsia="zh-TW"/>
        </w:rPr>
        <w:t>如您想了解更多北京市丰台区政府信息，欢迎登录</w:t>
      </w:r>
      <w:r>
        <w:rPr>
          <w:rFonts w:ascii="仿宋_GB2312" w:hAnsi="仿宋_GB2312" w:eastAsia="仿宋_GB2312" w:cs="仿宋_GB2312"/>
          <w:sz w:val="32"/>
          <w:szCs w:val="32"/>
          <w:lang w:val="zh-TW" w:eastAsia="zh-TW"/>
        </w:rPr>
        <w:t>北京市丰台区人民政府门户网站</w:t>
      </w:r>
      <w:r>
        <w:rPr>
          <w:rFonts w:hint="eastAsia" w:ascii="仿宋_GB2312" w:hAnsi="仿宋_GB2312" w:eastAsia="仿宋_GB2312" w:cs="仿宋_GB2312"/>
          <w:sz w:val="32"/>
          <w:szCs w:val="32"/>
          <w:lang w:val="zh-TW" w:eastAsia="zh-CN"/>
        </w:rPr>
        <w:t>或者关注“北京丰台”微博、微信公众号、今日头条公众号以及客户端，“丰台发布”快手、抖音公众号。</w:t>
      </w:r>
    </w:p>
    <w:p>
      <w:pPr>
        <w:pStyle w:val="15"/>
        <w:spacing w:line="560" w:lineRule="exact"/>
        <w:ind w:firstLine="600" w:firstLineChars="200"/>
        <w:rPr>
          <w:rFonts w:ascii="仿宋_GB2312" w:hAnsi="仿宋_GB2312" w:eastAsia="仿宋_GB2312" w:cs="仿宋_GB2312"/>
          <w:sz w:val="30"/>
          <w:szCs w:val="30"/>
          <w:lang w:val="zh-TW" w:eastAsia="zh-TW"/>
        </w:rPr>
      </w:pPr>
    </w:p>
    <w:sectPr>
      <w:pgSz w:w="11900" w:h="16840"/>
      <w:pgMar w:top="1871" w:right="1474" w:bottom="1871" w:left="1474"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Helvetica Neue">
    <w:altName w:val="Times New Roman"/>
    <w:panose1 w:val="00000000000000000000"/>
    <w:charset w:val="00"/>
    <w:family w:val="roman"/>
    <w:pitch w:val="default"/>
    <w:sig w:usb0="00000000" w:usb1="00000000" w:usb2="00000000" w:usb3="00000000" w:csb0="00000000" w:csb1="00000000"/>
  </w:font>
  <w:font w:name="Arial Rounded MT Bold">
    <w:panose1 w:val="020F0704030504030204"/>
    <w:charset w:val="00"/>
    <w:family w:val="swiss"/>
    <w:pitch w:val="default"/>
    <w:sig w:usb0="00000003" w:usb1="00000000" w:usb2="00000000" w:usb3="00000000" w:csb0="20000001" w:csb1="00000000"/>
  </w:font>
  <w:font w:name="方正小标宋简体">
    <w:panose1 w:val="03000509000000000000"/>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C8B"/>
    <w:rsid w:val="000414D6"/>
    <w:rsid w:val="0007640E"/>
    <w:rsid w:val="000C7273"/>
    <w:rsid w:val="00131D53"/>
    <w:rsid w:val="00140524"/>
    <w:rsid w:val="001552E5"/>
    <w:rsid w:val="0019461B"/>
    <w:rsid w:val="001D0F1D"/>
    <w:rsid w:val="002A29B4"/>
    <w:rsid w:val="002A7809"/>
    <w:rsid w:val="002D2C62"/>
    <w:rsid w:val="002E6345"/>
    <w:rsid w:val="002F40D7"/>
    <w:rsid w:val="00321131"/>
    <w:rsid w:val="003C06B2"/>
    <w:rsid w:val="003C1388"/>
    <w:rsid w:val="003C33A1"/>
    <w:rsid w:val="003D697E"/>
    <w:rsid w:val="00434961"/>
    <w:rsid w:val="004C6272"/>
    <w:rsid w:val="00520D10"/>
    <w:rsid w:val="0057761C"/>
    <w:rsid w:val="0060694D"/>
    <w:rsid w:val="00617833"/>
    <w:rsid w:val="00687861"/>
    <w:rsid w:val="006A3683"/>
    <w:rsid w:val="00744981"/>
    <w:rsid w:val="0078223F"/>
    <w:rsid w:val="007E0A42"/>
    <w:rsid w:val="007E19F9"/>
    <w:rsid w:val="008400F7"/>
    <w:rsid w:val="008C4727"/>
    <w:rsid w:val="008F30E7"/>
    <w:rsid w:val="00905C90"/>
    <w:rsid w:val="0091593B"/>
    <w:rsid w:val="009448C5"/>
    <w:rsid w:val="00964171"/>
    <w:rsid w:val="00976F8D"/>
    <w:rsid w:val="00991961"/>
    <w:rsid w:val="00A84DED"/>
    <w:rsid w:val="00AA4DBB"/>
    <w:rsid w:val="00AB16AD"/>
    <w:rsid w:val="00AC3B82"/>
    <w:rsid w:val="00AC7775"/>
    <w:rsid w:val="00B7546E"/>
    <w:rsid w:val="00BF0C8B"/>
    <w:rsid w:val="00BF3AD9"/>
    <w:rsid w:val="00C31267"/>
    <w:rsid w:val="00C66BDD"/>
    <w:rsid w:val="00C904C7"/>
    <w:rsid w:val="00CF503D"/>
    <w:rsid w:val="00D47F2F"/>
    <w:rsid w:val="00DA5166"/>
    <w:rsid w:val="00DE246C"/>
    <w:rsid w:val="00EB0996"/>
    <w:rsid w:val="00EC1D3A"/>
    <w:rsid w:val="00EE4F99"/>
    <w:rsid w:val="00F1322A"/>
    <w:rsid w:val="00F5446F"/>
    <w:rsid w:val="00F8403F"/>
    <w:rsid w:val="040023EB"/>
    <w:rsid w:val="047D0AE4"/>
    <w:rsid w:val="08A327A5"/>
    <w:rsid w:val="0AA648E7"/>
    <w:rsid w:val="0D2B2B18"/>
    <w:rsid w:val="0FAC66B2"/>
    <w:rsid w:val="10B33A89"/>
    <w:rsid w:val="11952C5A"/>
    <w:rsid w:val="1522234C"/>
    <w:rsid w:val="157A6F0A"/>
    <w:rsid w:val="1A210B0C"/>
    <w:rsid w:val="1A445BCF"/>
    <w:rsid w:val="1B166828"/>
    <w:rsid w:val="1C4479A8"/>
    <w:rsid w:val="1CA12D25"/>
    <w:rsid w:val="20E727C4"/>
    <w:rsid w:val="22015E7D"/>
    <w:rsid w:val="24D47A68"/>
    <w:rsid w:val="25C644ED"/>
    <w:rsid w:val="271D144E"/>
    <w:rsid w:val="2AAF3D2E"/>
    <w:rsid w:val="2E146852"/>
    <w:rsid w:val="301339BC"/>
    <w:rsid w:val="304613F4"/>
    <w:rsid w:val="32F56672"/>
    <w:rsid w:val="35F87337"/>
    <w:rsid w:val="3BB36073"/>
    <w:rsid w:val="3CF03E96"/>
    <w:rsid w:val="3CF94C72"/>
    <w:rsid w:val="3E86043C"/>
    <w:rsid w:val="3FE55BB8"/>
    <w:rsid w:val="400F5703"/>
    <w:rsid w:val="40C65B9D"/>
    <w:rsid w:val="42F06ADE"/>
    <w:rsid w:val="436731FD"/>
    <w:rsid w:val="45260261"/>
    <w:rsid w:val="46342C7A"/>
    <w:rsid w:val="46A17E14"/>
    <w:rsid w:val="49895086"/>
    <w:rsid w:val="506F1FF4"/>
    <w:rsid w:val="51A61E8A"/>
    <w:rsid w:val="51B470CB"/>
    <w:rsid w:val="555F14EA"/>
    <w:rsid w:val="558D118A"/>
    <w:rsid w:val="56DD30E2"/>
    <w:rsid w:val="56F934CD"/>
    <w:rsid w:val="580E0B98"/>
    <w:rsid w:val="591148B1"/>
    <w:rsid w:val="59317567"/>
    <w:rsid w:val="59367F49"/>
    <w:rsid w:val="59807C20"/>
    <w:rsid w:val="598B14B3"/>
    <w:rsid w:val="598D5A43"/>
    <w:rsid w:val="5A833414"/>
    <w:rsid w:val="5B7B53FE"/>
    <w:rsid w:val="5E322274"/>
    <w:rsid w:val="60A42983"/>
    <w:rsid w:val="6159733D"/>
    <w:rsid w:val="625F2996"/>
    <w:rsid w:val="65312AE8"/>
    <w:rsid w:val="65831E2C"/>
    <w:rsid w:val="69BB169F"/>
    <w:rsid w:val="6BE14FD3"/>
    <w:rsid w:val="6BF56F2E"/>
    <w:rsid w:val="6E484816"/>
    <w:rsid w:val="7346455D"/>
    <w:rsid w:val="7D487770"/>
    <w:rsid w:val="7E4F0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pBdr>
        <w:top w:val="none" w:color="auto" w:sz="0" w:space="0"/>
        <w:left w:val="none" w:color="auto" w:sz="0" w:space="0"/>
        <w:bottom w:val="none" w:color="auto" w:sz="0" w:space="0"/>
        <w:right w:val="none" w:color="auto" w:sz="0" w:space="0"/>
        <w:between w:val="none" w:color="auto" w:sz="0" w:space="0"/>
      </w:pBdr>
    </w:pPr>
    <w:rPr>
      <w:rFonts w:hint="eastAsia" w:ascii="Arial Unicode MS" w:hAnsi="Arial Unicode MS" w:eastAsia="Arial Unicode MS" w:cs="Arial Unicode MS"/>
      <w:color w:val="000000"/>
      <w:sz w:val="24"/>
      <w:szCs w:val="24"/>
      <w:u w:color="000000"/>
      <w:lang w:val="en-US" w:eastAsia="zh-CN" w:bidi="ar-SA"/>
    </w:rPr>
  </w:style>
  <w:style w:type="paragraph" w:styleId="3">
    <w:name w:val="heading 1"/>
    <w:basedOn w:val="1"/>
    <w:next w:val="1"/>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footer"/>
    <w:basedOn w:val="1"/>
    <w:link w:val="18"/>
    <w:unhideWhenUsed/>
    <w:qFormat/>
    <w:uiPriority w:val="99"/>
    <w:pPr>
      <w:tabs>
        <w:tab w:val="center" w:pos="4153"/>
        <w:tab w:val="right" w:pos="8306"/>
      </w:tabs>
      <w:snapToGrid w:val="0"/>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pBdr>
        <w:top w:val="none" w:color="auto" w:sz="0" w:space="0"/>
        <w:left w:val="none" w:color="auto" w:sz="0" w:space="0"/>
        <w:bottom w:val="none" w:color="auto" w:sz="0" w:space="0"/>
        <w:right w:val="none" w:color="auto" w:sz="0" w:space="0"/>
        <w:between w:val="none" w:color="auto" w:sz="0" w:space="0"/>
      </w:pBdr>
      <w:spacing w:before="100" w:beforeAutospacing="1" w:after="100" w:afterAutospacing="1"/>
    </w:pPr>
    <w:rPr>
      <w:rFonts w:hint="default" w:ascii="宋体" w:hAnsi="宋体" w:eastAsia="宋体" w:cs="宋体"/>
      <w:color w:val="auto"/>
    </w:rPr>
  </w:style>
  <w:style w:type="character" w:styleId="9">
    <w:name w:val="FollowedHyperlink"/>
    <w:basedOn w:val="8"/>
    <w:semiHidden/>
    <w:unhideWhenUsed/>
    <w:qFormat/>
    <w:uiPriority w:val="99"/>
    <w:rPr>
      <w:rFonts w:hint="eastAsia" w:ascii="微软雅黑" w:hAnsi="微软雅黑" w:eastAsia="微软雅黑" w:cs="微软雅黑"/>
      <w:color w:val="333333"/>
      <w:u w:val="none"/>
    </w:rPr>
  </w:style>
  <w:style w:type="character" w:styleId="10">
    <w:name w:val="Emphasis"/>
    <w:basedOn w:val="8"/>
    <w:qFormat/>
    <w:uiPriority w:val="20"/>
    <w:rPr>
      <w:i/>
      <w:iCs/>
    </w:rPr>
  </w:style>
  <w:style w:type="character" w:styleId="11">
    <w:name w:val="Hyperlink"/>
    <w:qFormat/>
    <w:uiPriority w:val="0"/>
    <w:rPr>
      <w:u w:val="single"/>
    </w:rPr>
  </w:style>
  <w:style w:type="table" w:customStyle="1" w:styleId="12">
    <w:name w:val="Table Normal"/>
    <w:qFormat/>
    <w:uiPriority w:val="0"/>
    <w:tblPr>
      <w:tblCellMar>
        <w:top w:w="0" w:type="dxa"/>
        <w:left w:w="0" w:type="dxa"/>
        <w:bottom w:w="0" w:type="dxa"/>
        <w:right w:w="0" w:type="dxa"/>
      </w:tblCellMar>
    </w:tblPr>
  </w:style>
  <w:style w:type="paragraph" w:customStyle="1" w:styleId="13">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4">
    <w:name w:val="页脚1"/>
    <w:qFormat/>
    <w:uiPriority w:val="0"/>
    <w:pPr>
      <w:widowControl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pPr>
    <w:rPr>
      <w:rFonts w:ascii="Arial Rounded MT Bold" w:hAnsi="Arial Rounded MT Bold" w:eastAsia="Arial Unicode MS" w:cs="Arial Unicode MS"/>
      <w:color w:val="000000"/>
      <w:kern w:val="2"/>
      <w:sz w:val="18"/>
      <w:szCs w:val="18"/>
      <w:u w:color="000000"/>
      <w:lang w:val="en-US" w:eastAsia="zh-CN" w:bidi="ar-SA"/>
    </w:rPr>
  </w:style>
  <w:style w:type="paragraph" w:customStyle="1" w:styleId="15">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Arial Unicode MS" w:hAnsi="Arial Unicode MS" w:eastAsia="Arial Unicode MS" w:cs="Arial Unicode MS"/>
      <w:color w:val="000000"/>
      <w:kern w:val="2"/>
      <w:sz w:val="21"/>
      <w:szCs w:val="21"/>
      <w:u w:color="000000"/>
      <w:lang w:val="en-US" w:eastAsia="zh-CN" w:bidi="ar-SA"/>
    </w:rPr>
  </w:style>
  <w:style w:type="paragraph" w:styleId="16">
    <w:name w:val="List Paragraph"/>
    <w:basedOn w:val="1"/>
    <w:qFormat/>
    <w:uiPriority w:val="34"/>
    <w:pPr>
      <w:ind w:firstLine="420" w:firstLineChars="200"/>
    </w:pPr>
  </w:style>
  <w:style w:type="character" w:customStyle="1" w:styleId="17">
    <w:name w:val="页眉 Char"/>
    <w:basedOn w:val="8"/>
    <w:link w:val="5"/>
    <w:qFormat/>
    <w:uiPriority w:val="99"/>
    <w:rPr>
      <w:rFonts w:ascii="Arial Unicode MS" w:hAnsi="Arial Unicode MS" w:eastAsia="Arial Unicode MS" w:cs="Arial Unicode MS"/>
      <w:color w:val="000000"/>
      <w:sz w:val="18"/>
      <w:szCs w:val="18"/>
      <w:u w:color="000000"/>
    </w:rPr>
  </w:style>
  <w:style w:type="character" w:customStyle="1" w:styleId="18">
    <w:name w:val="页脚 Char"/>
    <w:basedOn w:val="8"/>
    <w:link w:val="4"/>
    <w:qFormat/>
    <w:uiPriority w:val="99"/>
    <w:rPr>
      <w:rFonts w:ascii="Arial Unicode MS" w:hAnsi="Arial Unicode MS" w:eastAsia="Arial Unicode MS" w:cs="Arial Unicode MS"/>
      <w:color w:val="000000"/>
      <w:sz w:val="18"/>
      <w:szCs w:val="18"/>
      <w:u w:color="000000"/>
    </w:rPr>
  </w:style>
  <w:style w:type="character" w:customStyle="1" w:styleId="19">
    <w:name w:val="one"/>
    <w:basedOn w:val="8"/>
    <w:qFormat/>
    <w:uiPriority w:val="0"/>
    <w:rPr>
      <w:color w:val="003366"/>
    </w:rPr>
  </w:style>
  <w:style w:type="character" w:customStyle="1" w:styleId="20">
    <w:name w:val="icon_video"/>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659</Words>
  <Characters>3757</Characters>
  <Lines>31</Lines>
  <Paragraphs>8</Paragraphs>
  <TotalTime>1</TotalTime>
  <ScaleCrop>false</ScaleCrop>
  <LinksUpToDate>false</LinksUpToDate>
  <CharactersWithSpaces>4408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2020-03-02T02:02:00Z</dcterms:created>
  <dc:creator>admin</dc:creator>
  <cp:lastModifiedBy>Happiness</cp:lastModifiedBy>
  <dcterms:modified xsi:type="dcterms:W3CDTF">2021-12-30T06:58:21Z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BC93F74CB97E4D0AA33FDB24D412147B</vt:lpwstr>
  </property>
</Properties>
</file>