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北京市丰台区人民政府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2023年政府信息公开工作年度报告</w:t>
      </w:r>
    </w:p>
    <w:p>
      <w:pPr>
        <w:widowControl/>
        <w:spacing w:line="560" w:lineRule="exact"/>
        <w:jc w:val="left"/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2023年，丰台区政府认真贯彻落实《中华人民共和国政府信息公开条例》，按照国办《2023年政务公开工作要点》和《北京市20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3年政务公开工作要点》相关要求，强化组织领导，积极推进政策解读、政民互动、惠企便民政策服务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“京策”试点等工作，丰台区政务公开各项工作稳步推进。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（一）组织领导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全区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定期召开政务公开领导小组工作会和调度会，明确分工职责、层层细化任务。对市级政务公开重点任务进行分解，印发《丰台区2023年政务公开工作要点》和任务分解表，逐项抓好工作落实。成立“京策”试点区级工作组，多次召开专题会议，听取并部署“京策”试点工作。开展市级政务公开评估情况整改调度会，提升全区政务公开工作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（二）主动公开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一是加强政策服务创新。打造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全区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云上服务“先丰站”，成立“丰台区融媒体创新工作室”；积极开展助企纾困、高精尖企业服务、稳岗就业、重点功能区企业政策等方面解读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组织系列直播互动活动20余次，实现关注量倍增。强化政策解读服务，采用简明问答、一图读懂、音频视频、集中宣讲等形式进行解读，为企业群众提供“政策+解读+办事”的综合解读服务，实现解读效果倍增。今年，北京市“政策公开讲”活动进驻“丰台区政务服务面对面”直播平台，实现市区两级政策解读联动发布、直播资源共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二是开展多渠道政民互动活动。坚持“开门听意见”，组织全区各单位常态化开展“百强企业体验行”“政策体验官”“社会观察员”“政务开放日”等政民互动活动，全年开展各类活动130场，参与企业群众1万余人次。开展“企业意见建议征集”活动，邀请学子以“职业体验+服务体验”形式，对政务服务领域工作开展体验和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三是多渠道强化惠企便民政策服务。在政府官方网站推出“优化营商环境丰台在行动”“丰台区惠企政策兑现”等专题专栏。对网上主动公开政策进行细分，在网站首页设置“我要找政策”板块；创新推出搜索关键词提供全场景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（三）依申请公开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2023年依申请公开数量呈上升趋势，为做好依申请公开回复工作，一是畅通受理渠道，加强与申请人沟通，强化部门协同联动，积极答复公众申请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二是优化依申请公开办理流程，明确申请的受理、审查等各环节具体要求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三是进一步规范依申请公开工作，明确依申请公开条件，确定受理机构、受理条件等关键要素，推进依申请公开工作。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（四）政府信息管理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健全信息公开审查制度，发布前对信息内容进行审核；建立区政府文件联审机制，对主动公开文件审核是否向社会征求意见建议、是否同步配套政策解读，不予公开的政策文件是否明确法律依据等进行审核。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（五）</w:t>
      </w: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eastAsia="zh-CN" w:bidi="ar"/>
        </w:rPr>
        <w:t>信息</w:t>
      </w: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平台建设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一是依托区政府网站，推出“多位一体”智能问答政策服务，拓展问答知识库。二是针对不同人群使用习惯，按照个人服务、法人服务提供链接入口，针对老年人设置适老化切换按钮。三是推出“猜您想问”栏目，集中提问频次高的问题，方便企业群众查询。四是在区政府网站上推出26张政府信息公开名片，整合辖区各街镇教育、医疗、养老等信息，提供可用、实用、易用的数据服务和便民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（六）推进“京策”</w:t>
      </w: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eastAsia="zh-CN" w:bidi="ar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丰台区作为全市首批“京策”试点区，积极推进试点任务。一是高度重视统筹部署，开展专题会议听取并部署“京策”试点工作。二是强化政策源头管理，全区开展历史存量政策性文件清理工作。三是积极推进试点任务，依托政策清理成果，建立政策性文件定期清理机制；加强政策审核发布，利用区政府文件联审机制做好文件发布。四是梳理区级惠企政策，选取“丰台园国际高端服务机构落地支持政策”“丰台区支持企业加强知识产权和标准化奖励政策”等一批政策事项参与政策推演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五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是选取拟出台的《丰台区推进人力资源服务业高质量发展的若干措施》，依托“京策”平台开展政策测算等。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七</w:t>
      </w: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）</w:t>
      </w: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eastAsia="zh-CN" w:bidi="ar"/>
        </w:rPr>
        <w:t>加强</w:t>
      </w: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一是组织全区64家委办局及街镇开展年度政务公开培训，邀请市级部门负责人对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全区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 xml:space="preserve">政务公开工作情况及下一步重点任务进行分解讲评，提升各部门政务公开工作水平。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二是积极参与年度全市政务公开业务培训，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参加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政府信息公开行政复议与行政诉讼案件分析研究座谈会，及时总结学习相关经验。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八</w:t>
      </w: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）监督保障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加大政府信息和政务公开工作绩效考核力度，完善定期检查和自查工作机制，每月对各单位政务公开情况进行通报，对政务公开工作有创新、有亮点、有特色、有成效、社会反映好、群众满意率高的工作，年底酌情给予绩效加分，进一步调动各单位积极性，推动政务公开工作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92486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5098.4139</w:t>
            </w:r>
          </w:p>
        </w:tc>
      </w:tr>
    </w:tbl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2"/>
        <w:gridCol w:w="3206"/>
        <w:gridCol w:w="701"/>
        <w:gridCol w:w="687"/>
        <w:gridCol w:w="686"/>
        <w:gridCol w:w="686"/>
        <w:gridCol w:w="686"/>
        <w:gridCol w:w="686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</w:tr>
    </w:tbl>
    <w:p>
      <w:pPr>
        <w:pStyle w:val="3"/>
        <w:widowControl/>
        <w:ind w:left="420" w:leftChars="200"/>
      </w:pPr>
    </w:p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（一）主要问题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一是政策性文件公开征集意见数量较少，意见征集途径较单一。二是稳岗就业、义务教育、乡村振兴、涉农补贴等重点领域主动公开要素不全。三是政策解读的形式和质量有待进一步提高，个别文件缺少实质性解读。四是个别单位存在适用法条或救济渠道不准确，受理时间及答复期限计算有误，未按法定期限给予答复，申请渠道存在不畅通等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bidi="ar"/>
        </w:rPr>
        <w:t>（二）改进情况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一是明确意见征集审核机制，优化政策性文件联审流程，在区政府政策性文件制发源头进行审核。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二是通过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集中培训、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点对点培训等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多渠道培训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方式做好涉及重点领域的信息公开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，提升主动公开水平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三是制发《丰台区政策性文件公开发布和解读办法》，重点细化政策解读标准，出台“丰台区政策解读明白纸”“优秀政策解读案例集”等，明确政策解读的范围、主题、内容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要素。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四是健全工作机制，对进入法院诉讼程序的信息公开案件第一时间报备，疑难案件共同研商。制发《依申请公开主管领导“明白纸”》《依申请公开办件要点流程》，梳理办件环节、审核重点，便于基层掌握，提高依法规范化工作水平。建立“依申请公开法律顾问团”，依托全区法律顾问专业力量，形成依申请公开败诉“防火墙”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2023年丰台区共发出收费通知11件，总金额为3930元；实际收取的总金额为1450元。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651F3E1"/>
    <w:multiLevelType w:val="singleLevel"/>
    <w:tmpl w:val="6651F3E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mRjNWYwNjA0NGI2NTQ4NmI3NzBlNTJiMTQwNTQifQ=="/>
  </w:docVars>
  <w:rsids>
    <w:rsidRoot w:val="0B5B6E2A"/>
    <w:rsid w:val="05A95CBF"/>
    <w:rsid w:val="0B5B6E2A"/>
    <w:rsid w:val="0C0F267D"/>
    <w:rsid w:val="0C14242B"/>
    <w:rsid w:val="140E2E49"/>
    <w:rsid w:val="1A0D7356"/>
    <w:rsid w:val="24917B80"/>
    <w:rsid w:val="3218123E"/>
    <w:rsid w:val="4F9B5F19"/>
    <w:rsid w:val="6B1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Happiness</cp:lastModifiedBy>
  <cp:lastPrinted>2024-02-28T06:29:00Z</cp:lastPrinted>
  <dcterms:modified xsi:type="dcterms:W3CDTF">2024-02-28T09:08:18Z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1E98878C243942D68CC4CB797CDB045E_13</vt:lpwstr>
  </property>
</Properties>
</file>