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225" w:after="100" w:afterAutospacing="1" w:line="560" w:lineRule="exact"/>
        <w:jc w:val="center"/>
        <w:rPr>
          <w:rFonts w:ascii="宋体" w:hAnsi="宋体" w:eastAsia="宋体" w:cs="宋体"/>
          <w:color w:val="505050"/>
          <w:kern w:val="0"/>
          <w:sz w:val="24"/>
          <w:szCs w:val="24"/>
        </w:rPr>
      </w:pPr>
      <w:bookmarkStart w:id="0" w:name="OLE_LINK1"/>
      <w:r>
        <w:rPr>
          <w:rFonts w:hint="eastAsia" w:ascii="方正小标宋简体" w:hAnsi="Calibri" w:eastAsia="方正小标宋简体" w:cs="Times New Roman"/>
          <w:color w:val="505050"/>
          <w:sz w:val="44"/>
          <w:szCs w:val="44"/>
        </w:rPr>
        <w:t>丰台区发展和改革委员会</w:t>
      </w:r>
    </w:p>
    <w:p>
      <w:pPr>
        <w:widowControl/>
        <w:shd w:val="clear" w:color="auto" w:fill="FFFFFF"/>
        <w:spacing w:before="225" w:after="100" w:afterAutospacing="1" w:line="560" w:lineRule="exact"/>
        <w:jc w:val="center"/>
        <w:rPr>
          <w:rFonts w:ascii="宋体" w:hAnsi="宋体" w:eastAsia="宋体" w:cs="宋体"/>
          <w:color w:val="505050"/>
          <w:kern w:val="0"/>
          <w:sz w:val="24"/>
          <w:szCs w:val="24"/>
        </w:rPr>
      </w:pPr>
      <w:r>
        <w:rPr>
          <w:rFonts w:hint="eastAsia" w:ascii="方正小标宋简体" w:hAnsi="Calibri" w:eastAsia="方正小标宋简体" w:cs="Times New Roman"/>
          <w:color w:val="505050"/>
          <w:sz w:val="44"/>
          <w:szCs w:val="44"/>
        </w:rPr>
        <w:t>201</w:t>
      </w:r>
      <w:r>
        <w:rPr>
          <w:rFonts w:ascii="方正小标宋简体" w:hAnsi="Calibri" w:eastAsia="方正小标宋简体" w:cs="Times New Roman"/>
          <w:color w:val="505050"/>
          <w:sz w:val="44"/>
          <w:szCs w:val="44"/>
        </w:rPr>
        <w:t>8</w:t>
      </w:r>
      <w:r>
        <w:rPr>
          <w:rFonts w:hint="eastAsia" w:ascii="方正小标宋简体" w:hAnsi="Calibri" w:eastAsia="方正小标宋简体" w:cs="Times New Roman"/>
          <w:color w:val="505050"/>
          <w:sz w:val="44"/>
          <w:szCs w:val="44"/>
        </w:rPr>
        <w:t>年政府信息公开工作年度报告</w:t>
      </w:r>
    </w:p>
    <w:p>
      <w:pPr>
        <w:widowControl/>
        <w:shd w:val="clear" w:color="auto" w:fill="FFFFFF"/>
        <w:wordWrap w:val="0"/>
        <w:autoSpaceDE w:val="0"/>
        <w:autoSpaceDN w:val="0"/>
        <w:spacing w:before="225" w:after="100" w:afterAutospacing="1" w:line="560" w:lineRule="exact"/>
        <w:ind w:firstLine="632" w:firstLineChars="200"/>
        <w:rPr>
          <w:rFonts w:ascii="仿宋_GB2312" w:eastAsia="仿宋_GB2312"/>
          <w:color w:val="484848"/>
          <w:spacing w:val="-2"/>
          <w:kern w:val="32"/>
          <w:sz w:val="32"/>
          <w:szCs w:val="32"/>
        </w:rPr>
      </w:pPr>
      <w:r>
        <w:rPr>
          <w:rFonts w:hint="eastAsia" w:ascii="仿宋_GB2312" w:eastAsia="仿宋_GB2312"/>
          <w:color w:val="484848"/>
          <w:spacing w:val="-2"/>
          <w:kern w:val="32"/>
          <w:sz w:val="32"/>
          <w:szCs w:val="32"/>
        </w:rPr>
        <w:t>本年度报告根据《中华人民共和国政府信息公开条例》（以下简称《条例》）要求，由北京市丰台区发展和改革委员会编制。报告中所列数据的统计期限自201</w:t>
      </w:r>
      <w:r>
        <w:rPr>
          <w:rFonts w:ascii="仿宋_GB2312" w:eastAsia="仿宋_GB2312"/>
          <w:color w:val="484848"/>
          <w:spacing w:val="-2"/>
          <w:kern w:val="32"/>
          <w:sz w:val="32"/>
          <w:szCs w:val="32"/>
        </w:rPr>
        <w:t>8</w:t>
      </w:r>
      <w:r>
        <w:rPr>
          <w:rFonts w:hint="eastAsia" w:ascii="仿宋_GB2312" w:eastAsia="仿宋_GB2312"/>
          <w:color w:val="484848"/>
          <w:spacing w:val="-2"/>
          <w:kern w:val="32"/>
          <w:sz w:val="32"/>
          <w:szCs w:val="32"/>
        </w:rPr>
        <w:t>年1月1日起，至201</w:t>
      </w:r>
      <w:r>
        <w:rPr>
          <w:rFonts w:ascii="仿宋_GB2312" w:eastAsia="仿宋_GB2312"/>
          <w:color w:val="484848"/>
          <w:spacing w:val="-2"/>
          <w:kern w:val="32"/>
          <w:sz w:val="32"/>
          <w:szCs w:val="32"/>
        </w:rPr>
        <w:t>8</w:t>
      </w:r>
      <w:r>
        <w:rPr>
          <w:rFonts w:hint="eastAsia" w:ascii="仿宋_GB2312" w:eastAsia="仿宋_GB2312"/>
          <w:color w:val="484848"/>
          <w:spacing w:val="-2"/>
          <w:kern w:val="32"/>
          <w:sz w:val="32"/>
          <w:szCs w:val="32"/>
        </w:rPr>
        <w:t>年12月31日止。本报告全文在首都之窗的信息公开专栏公布（网址：http://www.beijing.gov.cn/zfxxgk/ftq11GG02/zfxxgknb/ft_yjlist.shtml），欢迎查阅。如对本报告有疑问，可与丰台区发展和改革委员会办公室联系（地址：北京市丰台区文体路2号；邮编：100071；联系电话：8365631</w:t>
      </w:r>
      <w:r>
        <w:rPr>
          <w:rFonts w:ascii="仿宋_GB2312" w:eastAsia="仿宋_GB2312"/>
          <w:color w:val="484848"/>
          <w:spacing w:val="-2"/>
          <w:kern w:val="32"/>
          <w:sz w:val="32"/>
          <w:szCs w:val="32"/>
        </w:rPr>
        <w:t>1</w:t>
      </w:r>
      <w:r>
        <w:rPr>
          <w:rFonts w:hint="eastAsia" w:ascii="仿宋_GB2312" w:eastAsia="仿宋_GB2312"/>
          <w:color w:val="484848"/>
          <w:spacing w:val="-2"/>
          <w:kern w:val="32"/>
          <w:sz w:val="32"/>
          <w:szCs w:val="32"/>
        </w:rPr>
        <w:t>)。</w:t>
      </w:r>
    </w:p>
    <w:p>
      <w:pPr>
        <w:widowControl/>
        <w:shd w:val="clear" w:color="auto" w:fill="FFFFFF"/>
        <w:spacing w:before="225" w:after="100" w:afterAutospacing="1" w:line="560" w:lineRule="exact"/>
        <w:ind w:firstLine="640" w:firstLineChars="200"/>
        <w:rPr>
          <w:rFonts w:ascii="宋体" w:hAnsi="宋体" w:eastAsia="宋体" w:cs="宋体"/>
          <w:color w:val="505050"/>
          <w:kern w:val="0"/>
          <w:sz w:val="24"/>
          <w:szCs w:val="24"/>
        </w:rPr>
      </w:pPr>
      <w:r>
        <w:rPr>
          <w:rFonts w:hint="eastAsia" w:ascii="黑体" w:hAnsi="黑体" w:eastAsia="黑体" w:cs="Times New Roman"/>
          <w:color w:val="505050"/>
          <w:sz w:val="32"/>
          <w:szCs w:val="32"/>
        </w:rPr>
        <w:t>一、概述</w:t>
      </w:r>
    </w:p>
    <w:p>
      <w:pPr>
        <w:widowControl/>
        <w:shd w:val="clear" w:color="auto" w:fill="FFFFFF"/>
        <w:spacing w:before="225" w:after="100" w:afterAutospacing="1" w:line="560" w:lineRule="exact"/>
        <w:ind w:firstLine="640" w:firstLineChars="200"/>
        <w:rPr>
          <w:rFonts w:ascii="仿宋_GB2312" w:eastAsia="仿宋_GB2312"/>
          <w:color w:val="484848"/>
          <w:sz w:val="32"/>
          <w:szCs w:val="32"/>
        </w:rPr>
      </w:pPr>
      <w:r>
        <w:rPr>
          <w:rFonts w:hint="eastAsia" w:ascii="仿宋_GB2312" w:eastAsia="仿宋_GB2312"/>
          <w:color w:val="484848"/>
          <w:sz w:val="32"/>
          <w:szCs w:val="32"/>
        </w:rPr>
        <w:t>201</w:t>
      </w:r>
      <w:r>
        <w:rPr>
          <w:rFonts w:ascii="仿宋_GB2312" w:eastAsia="仿宋_GB2312"/>
          <w:color w:val="484848"/>
          <w:sz w:val="32"/>
          <w:szCs w:val="32"/>
        </w:rPr>
        <w:t>8</w:t>
      </w:r>
      <w:r>
        <w:rPr>
          <w:rFonts w:hint="eastAsia" w:ascii="仿宋_GB2312" w:eastAsia="仿宋_GB2312"/>
          <w:color w:val="484848"/>
          <w:sz w:val="32"/>
          <w:szCs w:val="32"/>
        </w:rPr>
        <w:t>年，我委</w:t>
      </w:r>
      <w:r>
        <w:rPr>
          <w:rFonts w:hint="eastAsia" w:ascii="仿宋_GB2312" w:hAnsi="微软雅黑" w:eastAsia="仿宋_GB2312" w:cs="宋体"/>
          <w:color w:val="444444"/>
          <w:kern w:val="0"/>
          <w:sz w:val="32"/>
          <w:szCs w:val="32"/>
        </w:rPr>
        <w:t>认真</w:t>
      </w:r>
      <w:r>
        <w:rPr>
          <w:rFonts w:hint="eastAsia" w:ascii="仿宋_GB2312" w:eastAsia="仿宋_GB2312"/>
          <w:color w:val="484848"/>
          <w:sz w:val="32"/>
          <w:szCs w:val="32"/>
        </w:rPr>
        <w:t>贯彻落实</w:t>
      </w:r>
      <w:r>
        <w:rPr>
          <w:rFonts w:hint="eastAsia" w:eastAsia="仿宋_GB2312"/>
          <w:color w:val="000000"/>
          <w:sz w:val="32"/>
          <w:szCs w:val="32"/>
        </w:rPr>
        <w:t>《中华人民共和国政府信息公开条例》和《北京市政府信息公开规定》</w:t>
      </w:r>
      <w:r>
        <w:rPr>
          <w:rFonts w:hint="eastAsia" w:ascii="仿宋_GB2312" w:eastAsia="仿宋_GB2312"/>
          <w:color w:val="484848"/>
          <w:sz w:val="32"/>
          <w:szCs w:val="32"/>
        </w:rPr>
        <w:t>，不断加强制度建设、畅通公开途径、注重政策解读、积极回应关切，结合部门工作实际狠抓落实，不断推进政府信息公开工作取得实效。</w:t>
      </w:r>
    </w:p>
    <w:p>
      <w:pPr>
        <w:widowControl/>
        <w:shd w:val="clear" w:color="auto" w:fill="FFFFFF"/>
        <w:spacing w:before="225" w:after="100" w:afterAutospacing="1" w:line="560" w:lineRule="exact"/>
        <w:ind w:firstLine="643" w:firstLineChars="200"/>
        <w:rPr>
          <w:rFonts w:ascii="仿宋_GB2312" w:hAnsi="Calibri" w:eastAsia="仿宋_GB2312" w:cs="Times New Roman"/>
          <w:b/>
          <w:bCs/>
          <w:color w:val="505050"/>
          <w:sz w:val="32"/>
          <w:szCs w:val="32"/>
        </w:rPr>
      </w:pPr>
      <w:r>
        <w:rPr>
          <w:rFonts w:hint="eastAsia" w:ascii="仿宋_GB2312" w:hAnsi="Calibri" w:eastAsia="仿宋_GB2312" w:cs="Times New Roman"/>
          <w:b/>
          <w:bCs/>
          <w:color w:val="505050"/>
          <w:sz w:val="32"/>
          <w:szCs w:val="32"/>
        </w:rPr>
        <w:t> (一）加强组织领导，强化信息公开落实。</w:t>
      </w:r>
    </w:p>
    <w:p>
      <w:pPr>
        <w:widowControl/>
        <w:shd w:val="clear" w:color="auto" w:fill="FFFFFF"/>
        <w:spacing w:before="225" w:after="100" w:afterAutospacing="1" w:line="560" w:lineRule="exact"/>
        <w:ind w:firstLine="640" w:firstLineChars="200"/>
        <w:rPr>
          <w:rFonts w:ascii="仿宋_GB2312" w:hAnsi="微软雅黑" w:eastAsia="仿宋_GB2312" w:cs="宋体"/>
          <w:color w:val="444444"/>
          <w:kern w:val="0"/>
          <w:sz w:val="32"/>
          <w:szCs w:val="32"/>
        </w:rPr>
      </w:pPr>
      <w:r>
        <w:rPr>
          <w:rFonts w:hint="eastAsia" w:ascii="仿宋_GB2312" w:hAnsi="微软雅黑" w:eastAsia="仿宋_GB2312" w:cs="宋体"/>
          <w:color w:val="444444"/>
          <w:kern w:val="0"/>
          <w:sz w:val="32"/>
          <w:szCs w:val="32"/>
        </w:rPr>
        <w:t>信息公开工作政策性强、涉及面广，为了保证信息公开工作规范运作、落到实处，我委及时进行部署安排，把信息公开工作列入重要事项来抓。实行委办公室</w:t>
      </w:r>
      <w:r>
        <w:rPr>
          <w:rFonts w:ascii="仿宋_GB2312" w:hAnsi="微软雅黑" w:eastAsia="仿宋_GB2312" w:cs="宋体"/>
          <w:color w:val="444444"/>
          <w:kern w:val="0"/>
          <w:sz w:val="32"/>
          <w:szCs w:val="32"/>
        </w:rPr>
        <w:t>牵头</w:t>
      </w:r>
      <w:r>
        <w:rPr>
          <w:rFonts w:hint="eastAsia" w:ascii="仿宋_GB2312" w:hAnsi="微软雅黑" w:eastAsia="仿宋_GB2312" w:cs="宋体"/>
          <w:color w:val="444444"/>
          <w:kern w:val="0"/>
          <w:sz w:val="32"/>
          <w:szCs w:val="32"/>
        </w:rPr>
        <w:t>并指定</w:t>
      </w:r>
      <w:r>
        <w:rPr>
          <w:rFonts w:ascii="仿宋_GB2312" w:hAnsi="微软雅黑" w:eastAsia="仿宋_GB2312" w:cs="宋体"/>
          <w:color w:val="444444"/>
          <w:kern w:val="0"/>
          <w:sz w:val="32"/>
          <w:szCs w:val="32"/>
        </w:rPr>
        <w:t>专人分管政务公开工作</w:t>
      </w:r>
      <w:r>
        <w:rPr>
          <w:rFonts w:hint="eastAsia" w:ascii="仿宋_GB2312" w:hAnsi="微软雅黑" w:eastAsia="仿宋_GB2312" w:cs="宋体"/>
          <w:color w:val="444444"/>
          <w:kern w:val="0"/>
          <w:sz w:val="32"/>
          <w:szCs w:val="32"/>
        </w:rPr>
        <w:t>，协调</w:t>
      </w:r>
      <w:r>
        <w:rPr>
          <w:rFonts w:ascii="仿宋_GB2312" w:hAnsi="微软雅黑" w:eastAsia="仿宋_GB2312" w:cs="宋体"/>
          <w:color w:val="444444"/>
          <w:kern w:val="0"/>
          <w:sz w:val="32"/>
          <w:szCs w:val="32"/>
        </w:rPr>
        <w:t>督办</w:t>
      </w:r>
      <w:r>
        <w:rPr>
          <w:rFonts w:hint="eastAsia" w:ascii="仿宋_GB2312" w:hAnsi="Calibri" w:eastAsia="仿宋_GB2312" w:cs="Times New Roman"/>
          <w:color w:val="505050"/>
          <w:sz w:val="32"/>
          <w:szCs w:val="32"/>
        </w:rPr>
        <w:t>各科室所政务公开的日常工作; 承办科室加大了公开过程中的协调解决力度，明确具体办理要求，扎实推进工作，为及时、准确、规范完成公开工作提供了坚实有力的保证。</w:t>
      </w:r>
    </w:p>
    <w:p>
      <w:pPr>
        <w:widowControl/>
        <w:shd w:val="clear" w:color="auto" w:fill="FFFFFF"/>
        <w:spacing w:before="225" w:after="100" w:afterAutospacing="1" w:line="560" w:lineRule="exact"/>
        <w:ind w:firstLine="643" w:firstLineChars="200"/>
        <w:rPr>
          <w:rFonts w:ascii="仿宋_GB2312" w:hAnsi="Calibri" w:eastAsia="仿宋_GB2312" w:cs="Times New Roman"/>
          <w:b/>
          <w:bCs/>
          <w:color w:val="505050"/>
          <w:sz w:val="32"/>
          <w:szCs w:val="32"/>
        </w:rPr>
      </w:pPr>
      <w:r>
        <w:rPr>
          <w:rFonts w:hint="eastAsia" w:ascii="仿宋_GB2312" w:hAnsi="Calibri" w:eastAsia="仿宋_GB2312" w:cs="Times New Roman"/>
          <w:b/>
          <w:bCs/>
          <w:color w:val="505050"/>
          <w:sz w:val="32"/>
          <w:szCs w:val="32"/>
        </w:rPr>
        <w:t>（二）完善规章制度，规范信息公开程序。</w:t>
      </w:r>
    </w:p>
    <w:p>
      <w:pPr>
        <w:widowControl/>
        <w:shd w:val="clear" w:color="auto" w:fill="FFFFFF"/>
        <w:spacing w:before="225" w:after="100" w:afterAutospacing="1" w:line="560" w:lineRule="exact"/>
        <w:ind w:firstLine="640" w:firstLineChars="200"/>
        <w:rPr>
          <w:rFonts w:ascii="仿宋_GB2312" w:hAnsi="微软雅黑" w:eastAsia="仿宋_GB2312" w:cs="宋体"/>
          <w:color w:val="444444"/>
          <w:kern w:val="0"/>
          <w:sz w:val="32"/>
          <w:szCs w:val="32"/>
        </w:rPr>
      </w:pPr>
      <w:r>
        <w:rPr>
          <w:rFonts w:hint="eastAsia" w:ascii="仿宋_GB2312" w:hAnsi="微软雅黑" w:eastAsia="仿宋_GB2312" w:cs="宋体"/>
          <w:color w:val="444444"/>
          <w:kern w:val="0"/>
          <w:sz w:val="32"/>
          <w:szCs w:val="32"/>
        </w:rPr>
        <w:t>我委为了使信息公开工作规范化、制度化，依据《信息公开条例》的</w:t>
      </w:r>
      <w:r>
        <w:rPr>
          <w:rFonts w:ascii="仿宋_GB2312" w:hAnsi="微软雅黑" w:eastAsia="仿宋_GB2312" w:cs="宋体"/>
          <w:color w:val="444444"/>
          <w:kern w:val="0"/>
          <w:sz w:val="32"/>
          <w:szCs w:val="32"/>
        </w:rPr>
        <w:t>要求，进一步完善了政府信息公开的制度体系，使各项工作有章可循。建立了保密审查制度，需要公开的事项由相关</w:t>
      </w:r>
      <w:r>
        <w:rPr>
          <w:rFonts w:hint="eastAsia" w:ascii="仿宋_GB2312" w:hAnsi="微软雅黑" w:eastAsia="仿宋_GB2312" w:cs="宋体"/>
          <w:color w:val="444444"/>
          <w:kern w:val="0"/>
          <w:sz w:val="32"/>
          <w:szCs w:val="32"/>
        </w:rPr>
        <w:t>科</w:t>
      </w:r>
      <w:r>
        <w:rPr>
          <w:rFonts w:ascii="仿宋_GB2312" w:hAnsi="微软雅黑" w:eastAsia="仿宋_GB2312" w:cs="宋体"/>
          <w:color w:val="444444"/>
          <w:kern w:val="0"/>
          <w:sz w:val="32"/>
          <w:szCs w:val="32"/>
        </w:rPr>
        <w:t>室制作成公开信息文本，经分管领导审定后报至委办公室，然后在政府网站信息平台进行公开。</w:t>
      </w:r>
      <w:r>
        <w:rPr>
          <w:rFonts w:hint="eastAsia" w:ascii="仿宋_GB2312" w:hAnsi="微软雅黑" w:eastAsia="仿宋_GB2312" w:cs="宋体"/>
          <w:color w:val="444444"/>
          <w:kern w:val="0"/>
          <w:sz w:val="32"/>
          <w:szCs w:val="32"/>
        </w:rPr>
        <w:t>做到按制度规范信息公开程序，确保及时、有效、完整发布政府信息；</w:t>
      </w:r>
    </w:p>
    <w:p>
      <w:pPr>
        <w:widowControl/>
        <w:shd w:val="clear" w:color="auto" w:fill="FFFFFF"/>
        <w:spacing w:before="225" w:after="100" w:afterAutospacing="1" w:line="560" w:lineRule="exact"/>
        <w:ind w:firstLine="643" w:firstLineChars="200"/>
        <w:rPr>
          <w:rFonts w:ascii="仿宋_GB2312" w:hAnsi="Calibri" w:eastAsia="仿宋_GB2312" w:cs="Times New Roman"/>
          <w:b/>
          <w:bCs/>
          <w:color w:val="505050"/>
          <w:sz w:val="32"/>
          <w:szCs w:val="32"/>
        </w:rPr>
      </w:pPr>
      <w:r>
        <w:rPr>
          <w:rFonts w:hint="eastAsia" w:ascii="仿宋_GB2312" w:hAnsi="Calibri" w:eastAsia="仿宋_GB2312" w:cs="Times New Roman"/>
          <w:b/>
          <w:bCs/>
          <w:color w:val="505050"/>
          <w:sz w:val="32"/>
          <w:szCs w:val="32"/>
        </w:rPr>
        <w:t>（三）拓宽</w:t>
      </w:r>
      <w:r>
        <w:rPr>
          <w:rFonts w:ascii="仿宋_GB2312" w:hAnsi="Calibri" w:eastAsia="仿宋_GB2312" w:cs="Times New Roman"/>
          <w:b/>
          <w:bCs/>
          <w:color w:val="505050"/>
          <w:sz w:val="32"/>
          <w:szCs w:val="32"/>
        </w:rPr>
        <w:t>公开渠道，</w:t>
      </w:r>
      <w:r>
        <w:rPr>
          <w:rFonts w:hint="eastAsia" w:ascii="仿宋_GB2312" w:hAnsi="Calibri" w:eastAsia="仿宋_GB2312" w:cs="Times New Roman"/>
          <w:b/>
          <w:bCs/>
          <w:color w:val="505050"/>
          <w:sz w:val="32"/>
          <w:szCs w:val="32"/>
        </w:rPr>
        <w:t>提升</w:t>
      </w:r>
      <w:r>
        <w:rPr>
          <w:rFonts w:ascii="仿宋_GB2312" w:hAnsi="Calibri" w:eastAsia="仿宋_GB2312" w:cs="Times New Roman"/>
          <w:b/>
          <w:bCs/>
          <w:color w:val="505050"/>
          <w:sz w:val="32"/>
          <w:szCs w:val="32"/>
        </w:rPr>
        <w:t>信息公开</w:t>
      </w:r>
      <w:r>
        <w:rPr>
          <w:rFonts w:hint="eastAsia" w:ascii="仿宋_GB2312" w:hAnsi="Calibri" w:eastAsia="仿宋_GB2312" w:cs="Times New Roman"/>
          <w:b/>
          <w:bCs/>
          <w:color w:val="505050"/>
          <w:sz w:val="32"/>
          <w:szCs w:val="32"/>
        </w:rPr>
        <w:t>时效</w:t>
      </w:r>
      <w:r>
        <w:rPr>
          <w:rFonts w:ascii="仿宋_GB2312" w:hAnsi="Calibri" w:eastAsia="仿宋_GB2312" w:cs="Times New Roman"/>
          <w:b/>
          <w:bCs/>
          <w:color w:val="505050"/>
          <w:sz w:val="32"/>
          <w:szCs w:val="32"/>
        </w:rPr>
        <w:t>。</w:t>
      </w:r>
    </w:p>
    <w:p>
      <w:pPr>
        <w:widowControl/>
        <w:shd w:val="clear" w:color="auto" w:fill="FFFFFF"/>
        <w:spacing w:before="225" w:after="100" w:afterAutospacing="1" w:line="560" w:lineRule="exact"/>
        <w:ind w:firstLine="640" w:firstLineChars="200"/>
        <w:rPr>
          <w:rFonts w:ascii="微软雅黑" w:hAnsi="微软雅黑" w:eastAsia="微软雅黑" w:cs="宋体"/>
          <w:color w:val="444444"/>
          <w:kern w:val="0"/>
          <w:sz w:val="23"/>
          <w:szCs w:val="23"/>
        </w:rPr>
      </w:pPr>
      <w:r>
        <w:rPr>
          <w:rFonts w:hint="eastAsia" w:ascii="仿宋_GB2312" w:eastAsia="仿宋_GB2312"/>
          <w:color w:val="484848"/>
          <w:sz w:val="32"/>
          <w:szCs w:val="32"/>
        </w:rPr>
        <w:t>我委围绕主要职能，在抓好信息全面公开的同时，讲求时效，突出重点</w:t>
      </w:r>
      <w:r>
        <w:rPr>
          <w:rFonts w:hint="eastAsia" w:ascii="仿宋_GB2312" w:hAnsi="微软雅黑" w:eastAsia="仿宋_GB2312" w:cs="宋体"/>
          <w:color w:val="444444"/>
          <w:kern w:val="0"/>
          <w:sz w:val="32"/>
          <w:szCs w:val="32"/>
        </w:rPr>
        <w:t>，力求提高信息公开的运作效率。坚持把门户网站作为政府信息公开的第一平台，</w:t>
      </w:r>
      <w:r>
        <w:rPr>
          <w:rFonts w:hint="eastAsia" w:ascii="仿宋_GB2312" w:hAnsi="Calibri" w:eastAsia="仿宋_GB2312" w:cs="Times New Roman"/>
          <w:color w:val="505050"/>
          <w:sz w:val="32"/>
          <w:szCs w:val="32"/>
        </w:rPr>
        <w:t>主动、及时、准确公开了我委主要职责、机构设置、班子成员职责分工，公开财政预算决算、部门权力清单、重大建设项目批准和实施、社会公共事业建设等领域的政府信息，</w:t>
      </w:r>
      <w:r>
        <w:rPr>
          <w:rFonts w:hint="eastAsia" w:ascii="仿宋_GB2312" w:hAnsi="微软雅黑" w:eastAsia="仿宋_GB2312" w:cs="宋体"/>
          <w:color w:val="444444"/>
          <w:kern w:val="0"/>
          <w:sz w:val="32"/>
          <w:szCs w:val="32"/>
        </w:rPr>
        <w:t>并</w:t>
      </w:r>
      <w:r>
        <w:rPr>
          <w:rFonts w:hint="eastAsia" w:ascii="仿宋_GB2312" w:hAnsi="Calibri" w:eastAsia="仿宋_GB2312" w:cs="Times New Roman"/>
          <w:color w:val="505050"/>
          <w:sz w:val="32"/>
          <w:szCs w:val="32"/>
        </w:rPr>
        <w:t>开通电子邮件申请渠道，</w:t>
      </w:r>
      <w:r>
        <w:rPr>
          <w:rFonts w:ascii="仿宋_GB2312" w:hAnsi="微软雅黑" w:eastAsia="仿宋_GB2312" w:cs="宋体"/>
          <w:color w:val="444444"/>
          <w:kern w:val="0"/>
          <w:sz w:val="32"/>
          <w:szCs w:val="32"/>
        </w:rPr>
        <w:t>加大了网上</w:t>
      </w:r>
      <w:r>
        <w:rPr>
          <w:rFonts w:hint="eastAsia" w:ascii="仿宋_GB2312" w:hAnsi="微软雅黑" w:eastAsia="仿宋_GB2312" w:cs="宋体"/>
          <w:color w:val="444444"/>
          <w:kern w:val="0"/>
          <w:sz w:val="32"/>
          <w:szCs w:val="32"/>
        </w:rPr>
        <w:t>处理</w:t>
      </w:r>
      <w:r>
        <w:rPr>
          <w:rFonts w:ascii="仿宋_GB2312" w:hAnsi="微软雅黑" w:eastAsia="仿宋_GB2312" w:cs="宋体"/>
          <w:color w:val="444444"/>
          <w:kern w:val="0"/>
          <w:sz w:val="32"/>
          <w:szCs w:val="32"/>
        </w:rPr>
        <w:t>信息公开力度</w:t>
      </w:r>
      <w:r>
        <w:rPr>
          <w:rFonts w:hint="eastAsia" w:ascii="仿宋_GB2312" w:hAnsi="微软雅黑" w:eastAsia="仿宋_GB2312" w:cs="宋体"/>
          <w:color w:val="444444"/>
          <w:kern w:val="0"/>
          <w:sz w:val="32"/>
          <w:szCs w:val="32"/>
        </w:rPr>
        <w:t>，进一步提升了网站服务水平和对外影响力。</w:t>
      </w:r>
    </w:p>
    <w:p>
      <w:pPr>
        <w:widowControl/>
        <w:shd w:val="clear" w:color="auto" w:fill="FFFFFF"/>
        <w:spacing w:before="225" w:after="100" w:afterAutospacing="1" w:line="560" w:lineRule="exact"/>
        <w:ind w:firstLine="640" w:firstLineChars="200"/>
        <w:rPr>
          <w:rFonts w:ascii="宋体" w:hAnsi="宋体" w:eastAsia="宋体" w:cs="宋体"/>
          <w:color w:val="505050"/>
          <w:kern w:val="0"/>
          <w:sz w:val="24"/>
          <w:szCs w:val="24"/>
        </w:rPr>
      </w:pPr>
      <w:r>
        <w:rPr>
          <w:rFonts w:hint="eastAsia" w:ascii="黑体" w:hAnsi="黑体" w:eastAsia="黑体" w:cs="Times New Roman"/>
          <w:color w:val="505050"/>
          <w:sz w:val="32"/>
          <w:szCs w:val="32"/>
        </w:rPr>
        <w:t>二、主动公开政府信息的情况</w:t>
      </w:r>
    </w:p>
    <w:p>
      <w:pPr>
        <w:widowControl/>
        <w:shd w:val="clear" w:color="auto" w:fill="FFFFFF"/>
        <w:spacing w:before="225" w:after="100" w:afterAutospacing="1" w:line="560" w:lineRule="exact"/>
        <w:ind w:firstLine="643" w:firstLineChars="200"/>
        <w:rPr>
          <w:rFonts w:ascii="宋体" w:hAnsi="宋体" w:eastAsia="宋体" w:cs="宋体"/>
          <w:color w:val="505050"/>
          <w:kern w:val="0"/>
          <w:sz w:val="24"/>
          <w:szCs w:val="24"/>
        </w:rPr>
      </w:pPr>
      <w:r>
        <w:rPr>
          <w:rFonts w:hint="eastAsia" w:ascii="楷体_GB2312" w:hAnsi="Calibri" w:eastAsia="楷体_GB2312" w:cs="Times New Roman"/>
          <w:b/>
          <w:bCs/>
          <w:color w:val="505050"/>
          <w:sz w:val="32"/>
          <w:szCs w:val="32"/>
        </w:rPr>
        <w:t>（一）主动公开政府信息情况</w:t>
      </w:r>
    </w:p>
    <w:p>
      <w:pPr>
        <w:widowControl/>
        <w:shd w:val="clear" w:color="auto" w:fill="FFFFFF"/>
        <w:spacing w:before="225" w:after="100" w:afterAutospacing="1" w:line="560" w:lineRule="exact"/>
        <w:ind w:firstLine="640" w:firstLineChars="200"/>
        <w:contextualSpacing/>
        <w:rPr>
          <w:rFonts w:ascii="仿宋_GB2312" w:hAnsi="Calibri" w:eastAsia="仿宋_GB2312" w:cs="Times New Roman"/>
          <w:color w:val="505050"/>
          <w:sz w:val="32"/>
          <w:szCs w:val="32"/>
        </w:rPr>
      </w:pPr>
      <w:r>
        <w:rPr>
          <w:rFonts w:hint="eastAsia" w:ascii="仿宋_GB2312" w:hAnsi="Calibri" w:eastAsia="仿宋_GB2312" w:cs="Times New Roman"/>
          <w:color w:val="505050"/>
          <w:sz w:val="32"/>
          <w:szCs w:val="32"/>
        </w:rPr>
        <w:t>201</w:t>
      </w:r>
      <w:r>
        <w:rPr>
          <w:rFonts w:ascii="仿宋_GB2312" w:hAnsi="Calibri" w:eastAsia="仿宋_GB2312" w:cs="Times New Roman"/>
          <w:color w:val="505050"/>
          <w:sz w:val="32"/>
          <w:szCs w:val="32"/>
        </w:rPr>
        <w:t>8</w:t>
      </w:r>
      <w:r>
        <w:rPr>
          <w:rFonts w:hint="eastAsia" w:ascii="仿宋_GB2312" w:hAnsi="Calibri" w:eastAsia="仿宋_GB2312" w:cs="Times New Roman"/>
          <w:color w:val="505050"/>
          <w:sz w:val="32"/>
          <w:szCs w:val="32"/>
        </w:rPr>
        <w:t>年，我委</w:t>
      </w:r>
      <w:r>
        <w:rPr>
          <w:rFonts w:ascii="仿宋_GB2312" w:hAnsi="Calibri" w:eastAsia="仿宋_GB2312" w:cs="Times New Roman"/>
          <w:color w:val="505050"/>
          <w:sz w:val="32"/>
          <w:szCs w:val="32"/>
        </w:rPr>
        <w:t>重点领域公开政府信息</w:t>
      </w:r>
      <w:r>
        <w:rPr>
          <w:rFonts w:hint="eastAsia" w:ascii="仿宋_GB2312" w:hAnsi="Calibri" w:eastAsia="仿宋_GB2312" w:cs="Times New Roman"/>
          <w:color w:val="505050"/>
          <w:sz w:val="32"/>
          <w:szCs w:val="32"/>
        </w:rPr>
        <w:t>98条</w:t>
      </w:r>
      <w:r>
        <w:rPr>
          <w:rFonts w:ascii="仿宋_GB2312" w:hAnsi="Calibri" w:eastAsia="仿宋_GB2312" w:cs="Times New Roman"/>
          <w:color w:val="505050"/>
          <w:sz w:val="32"/>
          <w:szCs w:val="32"/>
        </w:rPr>
        <w:t>。其中</w:t>
      </w:r>
      <w:r>
        <w:rPr>
          <w:rFonts w:hint="eastAsia" w:ascii="仿宋_GB2312" w:hAnsi="Calibri" w:eastAsia="仿宋_GB2312" w:cs="Times New Roman"/>
          <w:color w:val="505050"/>
          <w:sz w:val="32"/>
          <w:szCs w:val="32"/>
        </w:rPr>
        <w:t>：主动公开财政预算决算、“三公经费”和行政经费信息</w:t>
      </w:r>
      <w:r>
        <w:rPr>
          <w:rFonts w:ascii="仿宋_GB2312" w:hAnsi="Calibri" w:eastAsia="仿宋_GB2312" w:cs="Times New Roman"/>
          <w:color w:val="505050"/>
          <w:sz w:val="32"/>
          <w:szCs w:val="32"/>
        </w:rPr>
        <w:t>2</w:t>
      </w:r>
      <w:r>
        <w:rPr>
          <w:rFonts w:hint="eastAsia" w:ascii="仿宋_GB2312" w:hAnsi="Calibri" w:eastAsia="仿宋_GB2312" w:cs="Times New Roman"/>
          <w:color w:val="505050"/>
          <w:sz w:val="32"/>
          <w:szCs w:val="32"/>
        </w:rPr>
        <w:t>条；</w:t>
      </w:r>
      <w:r>
        <w:rPr>
          <w:rFonts w:ascii="仿宋_GB2312" w:hAnsi="Calibri" w:eastAsia="仿宋_GB2312" w:cs="Times New Roman"/>
          <w:color w:val="505050"/>
          <w:sz w:val="32"/>
          <w:szCs w:val="32"/>
        </w:rPr>
        <w:t>主动公开保障性安居工程建设计划、项目开工和竣工情况，保障性住房的分配和退出等信息</w:t>
      </w:r>
      <w:r>
        <w:rPr>
          <w:rFonts w:hint="eastAsia" w:ascii="仿宋_GB2312" w:hAnsi="Calibri" w:eastAsia="仿宋_GB2312" w:cs="Times New Roman"/>
          <w:color w:val="505050"/>
          <w:sz w:val="32"/>
          <w:szCs w:val="32"/>
        </w:rPr>
        <w:t>96条。</w:t>
      </w:r>
    </w:p>
    <w:p>
      <w:pPr>
        <w:widowControl/>
        <w:shd w:val="clear" w:color="auto" w:fill="FFFFFF"/>
        <w:spacing w:before="225" w:after="100" w:afterAutospacing="1" w:line="560" w:lineRule="exact"/>
        <w:ind w:firstLine="640" w:firstLineChars="200"/>
        <w:rPr>
          <w:rFonts w:ascii="仿宋_GB2312" w:hAnsi="Calibri" w:eastAsia="仿宋_GB2312" w:cs="Times New Roman"/>
          <w:color w:val="505050"/>
          <w:sz w:val="32"/>
          <w:szCs w:val="32"/>
        </w:rPr>
      </w:pPr>
      <w:r>
        <w:rPr>
          <w:rFonts w:hint="eastAsia" w:ascii="仿宋_GB2312" w:hAnsi="Calibri" w:eastAsia="仿宋_GB2312" w:cs="Times New Roman"/>
          <w:color w:val="505050"/>
          <w:sz w:val="32"/>
          <w:szCs w:val="32"/>
        </w:rPr>
        <w:t>通过“丰台区发改委”门户网站发布公开政府信息</w:t>
      </w:r>
      <w:r>
        <w:rPr>
          <w:rFonts w:ascii="仿宋_GB2312" w:hAnsi="Calibri" w:eastAsia="仿宋_GB2312" w:cs="Times New Roman"/>
          <w:color w:val="505050"/>
          <w:sz w:val="32"/>
          <w:szCs w:val="32"/>
        </w:rPr>
        <w:t>132</w:t>
      </w:r>
      <w:r>
        <w:rPr>
          <w:rFonts w:hint="eastAsia" w:ascii="仿宋_GB2312" w:hAnsi="Calibri" w:eastAsia="仿宋_GB2312" w:cs="Times New Roman"/>
          <w:color w:val="505050"/>
          <w:sz w:val="32"/>
          <w:szCs w:val="32"/>
        </w:rPr>
        <w:t>条。</w:t>
      </w:r>
    </w:p>
    <w:p>
      <w:pPr>
        <w:widowControl/>
        <w:shd w:val="clear" w:color="auto" w:fill="FFFFFF"/>
        <w:spacing w:before="225" w:after="100" w:afterAutospacing="1" w:line="560" w:lineRule="exact"/>
        <w:ind w:firstLine="643" w:firstLineChars="200"/>
        <w:rPr>
          <w:rFonts w:ascii="宋体" w:hAnsi="宋体" w:eastAsia="宋体" w:cs="宋体"/>
          <w:b/>
          <w:color w:val="505050"/>
          <w:kern w:val="0"/>
          <w:sz w:val="24"/>
          <w:szCs w:val="24"/>
        </w:rPr>
      </w:pPr>
      <w:r>
        <w:rPr>
          <w:rFonts w:hint="eastAsia" w:ascii="楷体_GB2312" w:hAnsi="Calibri" w:eastAsia="楷体_GB2312" w:cs="Times New Roman"/>
          <w:b/>
          <w:bCs/>
          <w:color w:val="505050"/>
          <w:sz w:val="32"/>
          <w:szCs w:val="32"/>
        </w:rPr>
        <w:t>（二） 201</w:t>
      </w:r>
      <w:r>
        <w:rPr>
          <w:rFonts w:ascii="楷体_GB2312" w:hAnsi="Calibri" w:eastAsia="楷体_GB2312" w:cs="Times New Roman"/>
          <w:b/>
          <w:bCs/>
          <w:color w:val="505050"/>
          <w:sz w:val="32"/>
          <w:szCs w:val="32"/>
        </w:rPr>
        <w:t>8</w:t>
      </w:r>
      <w:r>
        <w:rPr>
          <w:rFonts w:hint="eastAsia" w:ascii="楷体_GB2312" w:hAnsi="Calibri" w:eastAsia="楷体_GB2312" w:cs="Times New Roman"/>
          <w:b/>
          <w:bCs/>
          <w:color w:val="505050"/>
          <w:sz w:val="32"/>
          <w:szCs w:val="32"/>
        </w:rPr>
        <w:t>年政府信息公开工作要点落实情况</w:t>
      </w:r>
    </w:p>
    <w:p>
      <w:pPr>
        <w:widowControl/>
        <w:shd w:val="clear" w:color="auto" w:fill="FFFFFF"/>
        <w:spacing w:before="225" w:after="100" w:afterAutospacing="1" w:line="560" w:lineRule="exact"/>
        <w:ind w:firstLine="640" w:firstLineChars="200"/>
        <w:rPr>
          <w:rFonts w:ascii="楷体_GB2312" w:hAnsi="Calibri" w:eastAsia="楷体_GB2312" w:cs="Times New Roman"/>
          <w:bCs/>
          <w:color w:val="505050"/>
          <w:sz w:val="32"/>
          <w:szCs w:val="32"/>
        </w:rPr>
      </w:pPr>
      <w:r>
        <w:rPr>
          <w:rFonts w:hint="eastAsia" w:ascii="楷体_GB2312" w:hAnsi="Calibri" w:eastAsia="楷体_GB2312" w:cs="Times New Roman"/>
          <w:bCs/>
          <w:color w:val="505050"/>
          <w:sz w:val="32"/>
          <w:szCs w:val="32"/>
        </w:rPr>
        <w:t>1. 围绕抓好</w:t>
      </w:r>
      <w:r>
        <w:rPr>
          <w:rFonts w:ascii="楷体_GB2312" w:hAnsi="Calibri" w:eastAsia="楷体_GB2312" w:cs="Times New Roman"/>
          <w:bCs/>
          <w:color w:val="505050"/>
          <w:sz w:val="32"/>
          <w:szCs w:val="32"/>
        </w:rPr>
        <w:t>“</w:t>
      </w:r>
      <w:r>
        <w:rPr>
          <w:rFonts w:hint="eastAsia" w:ascii="楷体_GB2312" w:hAnsi="Calibri" w:eastAsia="楷体_GB2312" w:cs="Times New Roman"/>
          <w:bCs/>
          <w:color w:val="505050"/>
          <w:sz w:val="32"/>
          <w:szCs w:val="32"/>
        </w:rPr>
        <w:t>三件大事</w:t>
      </w:r>
      <w:r>
        <w:rPr>
          <w:rFonts w:ascii="楷体_GB2312" w:hAnsi="Calibri" w:eastAsia="楷体_GB2312" w:cs="Times New Roman"/>
          <w:bCs/>
          <w:color w:val="505050"/>
          <w:sz w:val="32"/>
          <w:szCs w:val="32"/>
        </w:rPr>
        <w:t>”</w:t>
      </w:r>
      <w:r>
        <w:rPr>
          <w:rFonts w:hint="eastAsia" w:ascii="楷体_GB2312" w:hAnsi="Calibri" w:eastAsia="楷体_GB2312" w:cs="Times New Roman"/>
          <w:bCs/>
          <w:color w:val="505050"/>
          <w:sz w:val="32"/>
          <w:szCs w:val="32"/>
        </w:rPr>
        <w:t>、打赢</w:t>
      </w:r>
      <w:r>
        <w:rPr>
          <w:rFonts w:ascii="楷体_GB2312" w:hAnsi="Calibri" w:eastAsia="楷体_GB2312" w:cs="Times New Roman"/>
          <w:bCs/>
          <w:color w:val="505050"/>
          <w:sz w:val="32"/>
          <w:szCs w:val="32"/>
        </w:rPr>
        <w:t>“</w:t>
      </w:r>
      <w:r>
        <w:rPr>
          <w:rFonts w:hint="eastAsia" w:ascii="楷体_GB2312" w:hAnsi="Calibri" w:eastAsia="楷体_GB2312" w:cs="Times New Roman"/>
          <w:bCs/>
          <w:color w:val="505050"/>
          <w:sz w:val="32"/>
          <w:szCs w:val="32"/>
        </w:rPr>
        <w:t>三大攻坚战</w:t>
      </w:r>
      <w:r>
        <w:rPr>
          <w:rFonts w:ascii="楷体_GB2312" w:hAnsi="Calibri" w:eastAsia="楷体_GB2312" w:cs="Times New Roman"/>
          <w:bCs/>
          <w:color w:val="505050"/>
          <w:sz w:val="32"/>
          <w:szCs w:val="32"/>
        </w:rPr>
        <w:t>”</w:t>
      </w:r>
      <w:r>
        <w:rPr>
          <w:rFonts w:hint="eastAsia" w:ascii="楷体_GB2312" w:hAnsi="Calibri" w:eastAsia="楷体_GB2312" w:cs="Times New Roman"/>
          <w:bCs/>
          <w:color w:val="505050"/>
          <w:sz w:val="32"/>
          <w:szCs w:val="32"/>
        </w:rPr>
        <w:t>做好信息公开。</w:t>
      </w:r>
    </w:p>
    <w:p>
      <w:pPr>
        <w:widowControl/>
        <w:shd w:val="clear" w:color="auto" w:fill="FFFFFF"/>
        <w:spacing w:before="225" w:after="100" w:afterAutospacing="1" w:line="560" w:lineRule="exact"/>
        <w:ind w:firstLine="640" w:firstLineChars="200"/>
        <w:contextualSpacing/>
        <w:rPr>
          <w:rFonts w:ascii="仿宋_GB2312" w:eastAsia="仿宋_GB2312" w:cs="仿宋_GB2312"/>
          <w:sz w:val="32"/>
          <w:szCs w:val="32"/>
        </w:rPr>
      </w:pPr>
      <w:r>
        <w:rPr>
          <w:rFonts w:hint="eastAsia" w:ascii="仿宋_GB2312" w:eastAsia="仿宋_GB2312" w:cs="仿宋_GB2312"/>
          <w:sz w:val="32"/>
          <w:szCs w:val="32"/>
        </w:rPr>
        <w:t>2018年初将南苑森林湿地公园项目列入市、区2018年重点建设计划。按照市区统一部署，</w:t>
      </w:r>
      <w:r>
        <w:rPr>
          <w:rFonts w:hint="eastAsia" w:eastAsia="仿宋_GB2312"/>
          <w:sz w:val="32"/>
          <w:szCs w:val="32"/>
        </w:rPr>
        <w:t>开展了南中轴及南苑—大红门地区规划设计国际方案征集和</w:t>
      </w:r>
      <w:r>
        <w:rPr>
          <w:rFonts w:hint="eastAsia" w:ascii="仿宋_GB2312" w:eastAsia="仿宋_GB2312" w:cs="仿宋_GB2312"/>
          <w:sz w:val="32"/>
          <w:szCs w:val="32"/>
        </w:rPr>
        <w:t>综合工作，方案征集采用了国际公开征集方式，明确了以文化、国际交往和国际商务为主的功能定位和“北城南苑”的空间布局。征集工作于2018年2月6日面向全球发布，经资格预审，选定5家国内外优秀设计团队参加本次方案征集工作，2</w:t>
      </w:r>
      <w:r>
        <w:rPr>
          <w:rFonts w:ascii="仿宋_GB2312" w:eastAsia="仿宋_GB2312" w:cs="仿宋_GB2312"/>
          <w:sz w:val="32"/>
          <w:szCs w:val="32"/>
        </w:rPr>
        <w:t>018</w:t>
      </w:r>
      <w:r>
        <w:rPr>
          <w:rFonts w:hint="eastAsia" w:ascii="仿宋_GB2312" w:eastAsia="仿宋_GB2312" w:cs="仿宋_GB2312"/>
          <w:sz w:val="32"/>
          <w:szCs w:val="32"/>
        </w:rPr>
        <w:t>年7月19日完成国际方案征集并公开展示。</w:t>
      </w:r>
    </w:p>
    <w:p>
      <w:pPr>
        <w:widowControl/>
        <w:shd w:val="clear" w:color="auto" w:fill="FFFFFF"/>
        <w:spacing w:before="225" w:after="100" w:afterAutospacing="1" w:line="560" w:lineRule="exact"/>
        <w:ind w:firstLine="640" w:firstLineChars="200"/>
        <w:rPr>
          <w:rFonts w:ascii="仿宋_GB2312" w:hAnsi="Calibri" w:eastAsia="仿宋_GB2312" w:cs="Times New Roman"/>
          <w:bCs/>
          <w:color w:val="505050"/>
          <w:sz w:val="32"/>
          <w:szCs w:val="32"/>
        </w:rPr>
      </w:pPr>
      <w:r>
        <w:rPr>
          <w:rFonts w:hint="eastAsia" w:ascii="仿宋_GB2312" w:eastAsia="仿宋_GB2312" w:cs="仿宋_GB2312"/>
          <w:sz w:val="32"/>
          <w:szCs w:val="32"/>
        </w:rPr>
        <w:t>围绕精准扶贫、精准脱贫做好信息公开，制定并出台了《丰台区对口帮扶内蒙</w:t>
      </w:r>
      <w:r>
        <w:rPr>
          <w:rFonts w:hint="eastAsia" w:ascii="仿宋_GB2312" w:eastAsia="仿宋_GB2312" w:cs="仿宋_GB2312"/>
          <w:sz w:val="32"/>
          <w:szCs w:val="32"/>
          <w:lang w:val="en-US" w:eastAsia="zh-CN"/>
        </w:rPr>
        <w:t>古</w:t>
      </w:r>
      <w:r>
        <w:rPr>
          <w:rFonts w:hint="eastAsia" w:ascii="仿宋_GB2312" w:eastAsia="仿宋_GB2312" w:cs="仿宋_GB2312"/>
          <w:sz w:val="32"/>
          <w:szCs w:val="32"/>
        </w:rPr>
        <w:t>河北脱贫攻坚三年行动计划（2018-2020年）》和《丰台区</w:t>
      </w:r>
      <w:r>
        <w:rPr>
          <w:rFonts w:ascii="仿宋_GB2312" w:eastAsia="仿宋_GB2312" w:cs="仿宋_GB2312"/>
          <w:sz w:val="32"/>
          <w:szCs w:val="32"/>
        </w:rPr>
        <w:t>2018</w:t>
      </w:r>
      <w:r>
        <w:rPr>
          <w:rFonts w:hint="eastAsia" w:ascii="仿宋_GB2312" w:eastAsia="仿宋_GB2312" w:cs="仿宋_GB2312"/>
          <w:sz w:val="32"/>
          <w:szCs w:val="32"/>
        </w:rPr>
        <w:t>年扶贫协作和支援合作工作计划》。加大对“万企帮万村”行动的宣传力度，动员百余家企业与54个贫困村签署帮扶协议。积极引导企业到受援地对接超过200家次，17家企业产生实际带贫效果，受益贫困人口9000余人。派驻受援地挂职干部和专业技术人才，实现与受援地在教育、医疗、劳务协作、旅游等领域结对帮扶全覆盖。与受援地保持密切联系，拓宽信息搜集渠道，对于扶贫协作的政策法规、工作动态、重点专题、典型亮点进行广泛宣传，累计被中央、市属媒体和受援地区主流媒体报道近百次，其中，人民日报对于丰台区助力林西县成为</w:t>
      </w:r>
      <w:bookmarkStart w:id="1" w:name="_GoBack"/>
      <w:bookmarkEnd w:id="1"/>
      <w:r>
        <w:rPr>
          <w:rFonts w:hint="eastAsia" w:ascii="仿宋_GB2312" w:eastAsia="仿宋_GB2312" w:cs="仿宋_GB2312"/>
          <w:sz w:val="32"/>
          <w:szCs w:val="32"/>
        </w:rPr>
        <w:t>内蒙古自治区第一个脱贫摘帽贫困县进行报道，北京晚报、北京日报及内蒙古日报等媒体对扶贫协作工作开展情况进行专版报道。</w:t>
      </w:r>
    </w:p>
    <w:p>
      <w:pPr>
        <w:widowControl/>
        <w:shd w:val="clear" w:color="auto" w:fill="FFFFFF"/>
        <w:spacing w:before="225" w:after="100" w:afterAutospacing="1" w:line="560" w:lineRule="exact"/>
        <w:ind w:firstLine="640" w:firstLineChars="200"/>
        <w:rPr>
          <w:rFonts w:ascii="楷体_GB2312" w:hAnsi="Calibri" w:eastAsia="楷体_GB2312" w:cs="Times New Roman"/>
          <w:bCs/>
          <w:color w:val="505050"/>
          <w:sz w:val="32"/>
          <w:szCs w:val="32"/>
        </w:rPr>
      </w:pPr>
      <w:r>
        <w:rPr>
          <w:rFonts w:ascii="楷体_GB2312" w:hAnsi="Calibri" w:eastAsia="楷体_GB2312" w:cs="Times New Roman"/>
          <w:bCs/>
          <w:color w:val="505050"/>
          <w:sz w:val="32"/>
          <w:szCs w:val="32"/>
        </w:rPr>
        <w:t>2</w:t>
      </w:r>
      <w:r>
        <w:rPr>
          <w:rFonts w:hint="eastAsia" w:ascii="楷体_GB2312" w:hAnsi="Calibri" w:eastAsia="楷体_GB2312" w:cs="Times New Roman"/>
          <w:bCs/>
          <w:color w:val="505050"/>
          <w:sz w:val="32"/>
          <w:szCs w:val="32"/>
        </w:rPr>
        <w:t>. 围绕有序推进疏解整治促提升做好信息公开。</w:t>
      </w:r>
    </w:p>
    <w:p>
      <w:pPr>
        <w:widowControl/>
        <w:shd w:val="clear" w:color="auto" w:fill="FFFFFF"/>
        <w:spacing w:before="225" w:after="100" w:afterAutospacing="1" w:line="560" w:lineRule="exact"/>
        <w:ind w:firstLine="640" w:firstLineChars="200"/>
        <w:contextualSpacing/>
        <w:rPr>
          <w:rFonts w:ascii="仿宋_GB2312" w:eastAsia="仿宋_GB2312" w:cs="仿宋_GB2312"/>
          <w:sz w:val="32"/>
          <w:szCs w:val="32"/>
        </w:rPr>
      </w:pPr>
      <w:r>
        <w:rPr>
          <w:rFonts w:hint="eastAsia" w:eastAsia="仿宋_GB2312"/>
          <w:color w:val="000000"/>
          <w:sz w:val="32"/>
          <w:szCs w:val="32"/>
        </w:rPr>
        <w:t>着力推动疏解非首都功能，</w:t>
      </w:r>
      <w:r>
        <w:rPr>
          <w:rFonts w:hint="eastAsia" w:ascii="仿宋_GB2312" w:eastAsia="仿宋_GB2312" w:cs="仿宋_GB2312"/>
          <w:sz w:val="32"/>
          <w:szCs w:val="32"/>
        </w:rPr>
        <w:t>结合“疏解整治促提升”工作扎实推进重点领域信息公开。通过在本委网站和丰台</w:t>
      </w:r>
      <w:r>
        <w:rPr>
          <w:rFonts w:hint="eastAsia" w:ascii="仿宋_GB2312" w:hAnsi="Times New Roman" w:eastAsia="仿宋_GB2312" w:cs="Times New Roman"/>
          <w:sz w:val="32"/>
          <w:szCs w:val="32"/>
        </w:rPr>
        <w:t>区网站两级按季度向社会全面公开权责清单成果。打破“怕麻烦，不想公开；怕监督，不敢公开”的思维定式，建立和完善了统一汇总、合法性审查、多载体的公开机制。</w:t>
      </w:r>
    </w:p>
    <w:p>
      <w:pPr>
        <w:widowControl/>
        <w:shd w:val="clear" w:color="auto" w:fill="FFFFFF"/>
        <w:spacing w:before="225" w:after="100" w:afterAutospacing="1"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严格执行产业禁限目录。督促各部门严格按照产业禁限目录要求开展工作，把好市场准入关。结合《北京市新增产业的禁止和限制目录（2018年版）》的出台，及时组织全区各有关部门进行政策解读培训并做好宣传，确保严格落实。</w:t>
      </w:r>
    </w:p>
    <w:p>
      <w:pPr>
        <w:widowControl/>
        <w:shd w:val="clear" w:color="auto" w:fill="FFFFFF"/>
        <w:spacing w:before="225" w:after="100" w:afterAutospacing="1" w:line="560" w:lineRule="exact"/>
        <w:ind w:firstLine="640" w:firstLineChars="200"/>
        <w:rPr>
          <w:rFonts w:ascii="楷体_GB2312" w:hAnsi="Calibri" w:eastAsia="楷体_GB2312" w:cs="Times New Roman"/>
          <w:bCs/>
          <w:color w:val="505050"/>
          <w:sz w:val="32"/>
          <w:szCs w:val="32"/>
        </w:rPr>
      </w:pPr>
      <w:r>
        <w:rPr>
          <w:rFonts w:ascii="楷体_GB2312" w:hAnsi="Calibri" w:eastAsia="楷体_GB2312" w:cs="Times New Roman"/>
          <w:bCs/>
          <w:color w:val="505050"/>
          <w:sz w:val="32"/>
          <w:szCs w:val="32"/>
        </w:rPr>
        <w:t>3</w:t>
      </w:r>
      <w:r>
        <w:rPr>
          <w:rFonts w:hint="eastAsia" w:ascii="楷体_GB2312" w:hAnsi="Calibri" w:eastAsia="楷体_GB2312" w:cs="Times New Roman"/>
          <w:bCs/>
          <w:color w:val="505050"/>
          <w:sz w:val="32"/>
          <w:szCs w:val="32"/>
        </w:rPr>
        <w:t>. 围绕优化营商环境做好信息公开。</w:t>
      </w:r>
    </w:p>
    <w:p>
      <w:pPr>
        <w:widowControl/>
        <w:shd w:val="clear" w:color="auto" w:fill="FFFFFF"/>
        <w:spacing w:before="225" w:after="100" w:afterAutospacing="1" w:line="560" w:lineRule="exact"/>
        <w:ind w:firstLine="640" w:firstLineChars="200"/>
        <w:contextualSpacing/>
        <w:rPr>
          <w:rFonts w:ascii="仿宋_GB2312" w:eastAsia="仿宋_GB2312" w:cs="仿宋_GB2312"/>
          <w:sz w:val="32"/>
          <w:szCs w:val="32"/>
        </w:rPr>
      </w:pPr>
      <w:r>
        <w:rPr>
          <w:rFonts w:hint="eastAsia" w:ascii="仿宋_GB2312" w:eastAsia="仿宋_GB2312" w:cs="仿宋_GB2312"/>
          <w:sz w:val="32"/>
          <w:szCs w:val="32"/>
        </w:rPr>
        <w:t>严格落实“9+N”系列政策、市级营商环境三年行动计划，研究制定丰台区改革优化营商环境政策二十条、丰台区落实市级行动计划的实施方案，做好三年任务分工，明确责任，强化落实。组织企业开展座谈，了解企业在优化营商环境政策出台后的获益情况和意见建议。做好迎接世行评价、国务院大督查、国务院营商环境督查调研组以及市政府督导关于优化营商环境的检查工作。印制5万册北京市优化营商环境系列政策汇编，发放至辖区企业，做好政策宣传。在区政府网站、区级有关部门官网设立“优化营商环境，丰台在行动”专栏，及时发布优化营商环境政策和工作动态，宣传典型案例。</w:t>
      </w:r>
    </w:p>
    <w:p>
      <w:pPr>
        <w:widowControl/>
        <w:shd w:val="clear" w:color="auto" w:fill="FFFFFF"/>
        <w:spacing w:before="225" w:after="100" w:afterAutospacing="1" w:line="560" w:lineRule="exact"/>
        <w:ind w:firstLine="640" w:firstLineChars="200"/>
        <w:contextualSpacing/>
        <w:rPr>
          <w:rFonts w:ascii="仿宋_GB2312" w:hAnsi="Times New Roman" w:eastAsia="仿宋_GB2312" w:cs="Times New Roman"/>
          <w:sz w:val="32"/>
          <w:szCs w:val="32"/>
        </w:rPr>
      </w:pPr>
      <w:r>
        <w:rPr>
          <w:rFonts w:hint="eastAsia" w:ascii="仿宋_GB2312" w:eastAsia="仿宋_GB2312" w:cs="仿宋_GB2312"/>
          <w:sz w:val="32"/>
          <w:szCs w:val="32"/>
        </w:rPr>
        <w:t>深化“放管服”改革，优化行政审批流程，建立高效、规范、透明、简便的服务体系，持续做好公开工作。仔细解读国家、市级相关政策，</w:t>
      </w:r>
      <w:r>
        <w:rPr>
          <w:rFonts w:hint="eastAsia" w:ascii="仿宋_GB2312" w:hAnsi="Times New Roman" w:eastAsia="仿宋_GB2312" w:cs="Times New Roman"/>
          <w:sz w:val="32"/>
          <w:szCs w:val="32"/>
        </w:rPr>
        <w:t>加强与招商主体单位的联系，形成良性互动。掌握企业需求，提高对接有效性，缩小距离感，促进项目尽快落地。</w:t>
      </w:r>
    </w:p>
    <w:p>
      <w:pPr>
        <w:widowControl/>
        <w:shd w:val="clear" w:color="auto" w:fill="FFFFFF"/>
        <w:spacing w:before="225" w:after="100" w:afterAutospacing="1" w:line="560" w:lineRule="exact"/>
        <w:ind w:firstLine="640" w:firstLineChars="200"/>
        <w:contextualSpacing/>
        <w:rPr>
          <w:rFonts w:ascii="仿宋_GB2312" w:eastAsia="仿宋_GB2312" w:cs="仿宋_GB2312"/>
          <w:sz w:val="32"/>
          <w:szCs w:val="32"/>
        </w:rPr>
      </w:pPr>
      <w:r>
        <w:rPr>
          <w:rFonts w:hint="eastAsia" w:ascii="仿宋_GB2312" w:hAnsi="Times New Roman" w:eastAsia="仿宋_GB2312" w:cs="Times New Roman"/>
          <w:sz w:val="32"/>
          <w:szCs w:val="32"/>
        </w:rPr>
        <w:t>加大</w:t>
      </w:r>
      <w:r>
        <w:rPr>
          <w:rFonts w:ascii="仿宋_GB2312" w:hAnsi="Times New Roman" w:eastAsia="仿宋_GB2312" w:cs="Times New Roman"/>
          <w:sz w:val="32"/>
          <w:szCs w:val="32"/>
        </w:rPr>
        <w:t>网站</w:t>
      </w:r>
      <w:r>
        <w:rPr>
          <w:rFonts w:hint="eastAsia" w:ascii="仿宋_GB2312" w:hAnsi="Times New Roman" w:eastAsia="仿宋_GB2312" w:cs="Times New Roman"/>
          <w:sz w:val="32"/>
          <w:szCs w:val="32"/>
        </w:rPr>
        <w:t>服务</w:t>
      </w:r>
      <w:r>
        <w:rPr>
          <w:rFonts w:ascii="仿宋_GB2312" w:hAnsi="Times New Roman" w:eastAsia="仿宋_GB2312" w:cs="Times New Roman"/>
          <w:sz w:val="32"/>
          <w:szCs w:val="32"/>
        </w:rPr>
        <w:t>力度，</w:t>
      </w:r>
      <w:r>
        <w:rPr>
          <w:rFonts w:hint="eastAsia" w:ascii="仿宋_GB2312" w:hAnsi="Times New Roman" w:eastAsia="仿宋_GB2312" w:cs="Times New Roman"/>
          <w:sz w:val="32"/>
          <w:szCs w:val="32"/>
        </w:rPr>
        <w:t>以互联网载体为平台，及时公布企业投资项目和备案流程，积极建立政务服务事项清单，主动在我委网站上公开各类办事细则十余项，实现政务服务事项标准化，做到同一事项、同一标准、同一编码。推动政务服务向网上办理延伸，公开服务事项和办事指南，加强办理过程和办理结果公开，深化审批信息公开。将事项名称、申报条件、审批材料、办理流程、承诺时限等各项要素按照审批服务标准化规范要求，编制审批服务指南，公开发布实施，对事项办理过程</w:t>
      </w:r>
      <w:r>
        <w:rPr>
          <w:rFonts w:hint="eastAsia" w:ascii="仿宋_GB2312" w:eastAsia="仿宋_GB2312" w:cs="仿宋_GB2312"/>
          <w:sz w:val="32"/>
          <w:szCs w:val="32"/>
        </w:rPr>
        <w:t>开展实时监督，办理进程全程网上留痕，网上实时滚动公示，接受监督。</w:t>
      </w:r>
    </w:p>
    <w:p>
      <w:pPr>
        <w:widowControl/>
        <w:shd w:val="clear" w:color="auto" w:fill="FFFFFF"/>
        <w:spacing w:before="225" w:after="100" w:afterAutospacing="1" w:line="560" w:lineRule="exact"/>
        <w:ind w:firstLine="640" w:firstLineChars="200"/>
        <w:rPr>
          <w:rFonts w:ascii="楷体_GB2312" w:hAnsi="Calibri" w:eastAsia="楷体_GB2312" w:cs="Times New Roman"/>
          <w:bCs/>
          <w:color w:val="505050"/>
          <w:sz w:val="32"/>
          <w:szCs w:val="32"/>
        </w:rPr>
      </w:pPr>
      <w:r>
        <w:rPr>
          <w:rFonts w:hint="eastAsia" w:ascii="仿宋_GB2312" w:eastAsia="仿宋_GB2312" w:cs="仿宋_GB2312"/>
          <w:sz w:val="32"/>
          <w:szCs w:val="32"/>
        </w:rPr>
        <w:t>认真贯彻落实“双公示”工作要求，自觉接受社会监督。2018年共在北京市投资项目在线审批监管平台网上公示26项权限内行政决定内容，具体包括：一是行政许可类22项，主要涉及企业、事业单位、社会团体等投资建设的固定资产投资项目核准和固定资产投资项目节能审查两大类事项；二是行政处罚类4项，主要涉及对经营者违反明码标价规定的行为进行处罚和对经营者利用虚假的或者使人误解的价格手段，诱骗消费者或者其他经营者与其进行交易的行为进行处罚两大类事项。通过</w:t>
      </w:r>
      <w:r>
        <w:rPr>
          <w:rFonts w:ascii="仿宋_GB2312" w:eastAsia="仿宋_GB2312" w:cs="仿宋_GB2312"/>
          <w:sz w:val="32"/>
          <w:szCs w:val="32"/>
        </w:rPr>
        <w:t>公示，</w:t>
      </w:r>
      <w:r>
        <w:rPr>
          <w:rFonts w:hint="eastAsia" w:ascii="仿宋_GB2312" w:eastAsia="仿宋_GB2312" w:cs="仿宋_GB2312"/>
          <w:sz w:val="32"/>
          <w:szCs w:val="32"/>
        </w:rPr>
        <w:t>不断提高行政管理透明度，加强全委行政信息资源整合与共享，打造“阳光政府、阳光政务”，推动市区诚信体系建设。</w:t>
      </w:r>
    </w:p>
    <w:p>
      <w:pPr>
        <w:widowControl/>
        <w:shd w:val="clear" w:color="auto" w:fill="FFFFFF"/>
        <w:spacing w:before="225" w:after="100" w:afterAutospacing="1" w:line="560" w:lineRule="exact"/>
        <w:ind w:firstLine="640" w:firstLineChars="200"/>
        <w:rPr>
          <w:rFonts w:ascii="宋体" w:hAnsi="宋体" w:eastAsia="宋体" w:cs="宋体"/>
          <w:color w:val="505050"/>
          <w:kern w:val="0"/>
          <w:sz w:val="24"/>
          <w:szCs w:val="24"/>
        </w:rPr>
      </w:pPr>
      <w:r>
        <w:rPr>
          <w:rFonts w:hint="eastAsia" w:ascii="黑体" w:hAnsi="黑体" w:eastAsia="黑体" w:cs="Times New Roman"/>
          <w:color w:val="505050"/>
          <w:sz w:val="32"/>
          <w:szCs w:val="32"/>
        </w:rPr>
        <w:t>三、依申请公开情况</w:t>
      </w:r>
    </w:p>
    <w:p>
      <w:pPr>
        <w:widowControl/>
        <w:shd w:val="clear" w:color="auto" w:fill="FFFFFF"/>
        <w:spacing w:before="225" w:after="100" w:afterAutospacing="1" w:line="560" w:lineRule="exact"/>
        <w:ind w:firstLine="643" w:firstLineChars="200"/>
        <w:rPr>
          <w:rFonts w:ascii="宋体" w:hAnsi="宋体" w:eastAsia="宋体" w:cs="宋体"/>
          <w:color w:val="505050"/>
          <w:kern w:val="0"/>
          <w:sz w:val="24"/>
          <w:szCs w:val="24"/>
        </w:rPr>
      </w:pPr>
      <w:r>
        <w:rPr>
          <w:rFonts w:hint="eastAsia" w:ascii="楷体_GB2312" w:hAnsi="Calibri" w:eastAsia="楷体_GB2312" w:cs="Times New Roman"/>
          <w:b/>
          <w:bCs/>
          <w:color w:val="505050"/>
          <w:sz w:val="32"/>
          <w:szCs w:val="32"/>
        </w:rPr>
        <w:t>（一）依申请公开政府信息情况</w:t>
      </w:r>
    </w:p>
    <w:p>
      <w:pPr>
        <w:widowControl/>
        <w:shd w:val="clear" w:color="auto" w:fill="FFFFFF"/>
        <w:spacing w:before="225" w:after="100" w:afterAutospacing="1" w:line="560" w:lineRule="exact"/>
        <w:ind w:firstLine="640" w:firstLineChars="200"/>
        <w:rPr>
          <w:rFonts w:ascii="仿宋_GB2312" w:hAnsi="Calibri" w:eastAsia="仿宋_GB2312" w:cs="Times New Roman"/>
          <w:color w:val="505050"/>
          <w:sz w:val="32"/>
          <w:szCs w:val="32"/>
        </w:rPr>
      </w:pPr>
      <w:r>
        <w:rPr>
          <w:rFonts w:hint="eastAsia" w:ascii="仿宋_GB2312" w:hAnsi="Calibri" w:eastAsia="仿宋_GB2312" w:cs="Times New Roman"/>
          <w:color w:val="505050"/>
          <w:sz w:val="32"/>
          <w:szCs w:val="32"/>
        </w:rPr>
        <w:t>201</w:t>
      </w:r>
      <w:r>
        <w:rPr>
          <w:rFonts w:ascii="仿宋_GB2312" w:hAnsi="Calibri" w:eastAsia="仿宋_GB2312" w:cs="Times New Roman"/>
          <w:color w:val="505050"/>
          <w:sz w:val="32"/>
          <w:szCs w:val="32"/>
        </w:rPr>
        <w:t>8</w:t>
      </w:r>
      <w:r>
        <w:rPr>
          <w:rFonts w:hint="eastAsia" w:ascii="仿宋_GB2312" w:hAnsi="Calibri" w:eastAsia="仿宋_GB2312" w:cs="Times New Roman"/>
          <w:color w:val="505050"/>
          <w:sz w:val="32"/>
          <w:szCs w:val="32"/>
        </w:rPr>
        <w:t>年度我委共收到政府信息公开申请</w:t>
      </w:r>
      <w:r>
        <w:rPr>
          <w:rFonts w:ascii="仿宋_GB2312" w:hAnsi="Calibri" w:eastAsia="仿宋_GB2312" w:cs="Times New Roman"/>
          <w:color w:val="505050"/>
          <w:sz w:val="32"/>
          <w:szCs w:val="32"/>
        </w:rPr>
        <w:t>69</w:t>
      </w:r>
      <w:r>
        <w:rPr>
          <w:rFonts w:hint="eastAsia" w:ascii="仿宋_GB2312" w:hAnsi="Calibri" w:eastAsia="仿宋_GB2312" w:cs="Times New Roman"/>
          <w:color w:val="505050"/>
          <w:sz w:val="32"/>
          <w:szCs w:val="32"/>
        </w:rPr>
        <w:t>件，其中：当面申请数</w:t>
      </w:r>
      <w:r>
        <w:rPr>
          <w:rFonts w:ascii="仿宋_GB2312" w:hAnsi="Calibri" w:eastAsia="仿宋_GB2312" w:cs="Times New Roman"/>
          <w:color w:val="505050"/>
          <w:sz w:val="32"/>
          <w:szCs w:val="32"/>
        </w:rPr>
        <w:t>43</w:t>
      </w:r>
      <w:r>
        <w:rPr>
          <w:rFonts w:hint="eastAsia" w:ascii="仿宋_GB2312" w:hAnsi="Calibri" w:eastAsia="仿宋_GB2312" w:cs="Times New Roman"/>
          <w:color w:val="505050"/>
          <w:sz w:val="32"/>
          <w:szCs w:val="32"/>
        </w:rPr>
        <w:t>件，信函申请数1</w:t>
      </w:r>
      <w:r>
        <w:rPr>
          <w:rFonts w:ascii="仿宋_GB2312" w:hAnsi="Calibri" w:eastAsia="仿宋_GB2312" w:cs="Times New Roman"/>
          <w:color w:val="505050"/>
          <w:sz w:val="32"/>
          <w:szCs w:val="32"/>
        </w:rPr>
        <w:t>9</w:t>
      </w:r>
      <w:r>
        <w:rPr>
          <w:rFonts w:hint="eastAsia" w:ascii="仿宋_GB2312" w:hAnsi="Calibri" w:eastAsia="仿宋_GB2312" w:cs="Times New Roman"/>
          <w:color w:val="505050"/>
          <w:sz w:val="32"/>
          <w:szCs w:val="32"/>
        </w:rPr>
        <w:t>件，电子邮件渠道的申请数</w:t>
      </w:r>
      <w:r>
        <w:rPr>
          <w:rFonts w:ascii="仿宋_GB2312" w:hAnsi="Calibri" w:eastAsia="仿宋_GB2312" w:cs="Times New Roman"/>
          <w:color w:val="505050"/>
          <w:sz w:val="32"/>
          <w:szCs w:val="32"/>
        </w:rPr>
        <w:t>7</w:t>
      </w:r>
      <w:r>
        <w:rPr>
          <w:rFonts w:hint="eastAsia" w:ascii="仿宋_GB2312" w:hAnsi="Calibri" w:eastAsia="仿宋_GB2312" w:cs="Times New Roman"/>
          <w:color w:val="505050"/>
          <w:sz w:val="32"/>
          <w:szCs w:val="32"/>
        </w:rPr>
        <w:t>件。</w:t>
      </w:r>
    </w:p>
    <w:p>
      <w:pPr>
        <w:widowControl/>
        <w:shd w:val="clear" w:color="auto" w:fill="FFFFFF"/>
        <w:spacing w:before="225" w:after="100" w:afterAutospacing="1" w:line="560" w:lineRule="exact"/>
        <w:ind w:firstLine="643" w:firstLineChars="200"/>
        <w:rPr>
          <w:rFonts w:ascii="宋体" w:hAnsi="宋体" w:eastAsia="宋体" w:cs="宋体"/>
          <w:color w:val="505050"/>
          <w:kern w:val="0"/>
          <w:sz w:val="24"/>
          <w:szCs w:val="24"/>
        </w:rPr>
      </w:pPr>
      <w:r>
        <w:rPr>
          <w:rFonts w:hint="eastAsia" w:ascii="楷体_GB2312" w:hAnsi="Calibri" w:eastAsia="楷体_GB2312" w:cs="Times New Roman"/>
          <w:b/>
          <w:bCs/>
          <w:color w:val="505050"/>
          <w:sz w:val="32"/>
          <w:szCs w:val="32"/>
        </w:rPr>
        <w:t>（二）答复情况</w:t>
      </w:r>
    </w:p>
    <w:p>
      <w:pPr>
        <w:widowControl/>
        <w:shd w:val="clear" w:color="auto" w:fill="FFFFFF"/>
        <w:spacing w:before="225" w:after="100" w:afterAutospacing="1" w:line="560" w:lineRule="exact"/>
        <w:ind w:firstLine="640" w:firstLineChars="200"/>
        <w:rPr>
          <w:rFonts w:ascii="宋体" w:hAnsi="宋体" w:eastAsia="宋体" w:cs="宋体"/>
          <w:color w:val="505050"/>
          <w:kern w:val="0"/>
          <w:sz w:val="24"/>
          <w:szCs w:val="24"/>
        </w:rPr>
      </w:pPr>
      <w:r>
        <w:rPr>
          <w:rFonts w:hint="eastAsia" w:ascii="仿宋_GB2312" w:hAnsi="Calibri" w:eastAsia="仿宋_GB2312" w:cs="Times New Roman"/>
          <w:color w:val="505050"/>
          <w:sz w:val="32"/>
          <w:szCs w:val="32"/>
        </w:rPr>
        <w:t>已到答复期限的申请共计</w:t>
      </w:r>
      <w:r>
        <w:rPr>
          <w:rFonts w:ascii="仿宋_GB2312" w:hAnsi="Calibri" w:eastAsia="仿宋_GB2312" w:cs="Times New Roman"/>
          <w:color w:val="505050"/>
          <w:sz w:val="32"/>
          <w:szCs w:val="32"/>
        </w:rPr>
        <w:t>68</w:t>
      </w:r>
      <w:r>
        <w:rPr>
          <w:rFonts w:hint="eastAsia" w:ascii="仿宋_GB2312" w:hAnsi="Calibri" w:eastAsia="仿宋_GB2312" w:cs="Times New Roman"/>
          <w:color w:val="505050"/>
          <w:sz w:val="32"/>
          <w:szCs w:val="32"/>
        </w:rPr>
        <w:t>件,按期答复</w:t>
      </w:r>
      <w:r>
        <w:rPr>
          <w:rFonts w:ascii="仿宋_GB2312" w:hAnsi="Calibri" w:eastAsia="仿宋_GB2312" w:cs="Times New Roman"/>
          <w:color w:val="505050"/>
          <w:sz w:val="32"/>
          <w:szCs w:val="32"/>
        </w:rPr>
        <w:t>65</w:t>
      </w:r>
      <w:r>
        <w:rPr>
          <w:rFonts w:hint="eastAsia" w:ascii="仿宋_GB2312" w:hAnsi="Calibri" w:eastAsia="仿宋_GB2312" w:cs="Times New Roman"/>
          <w:color w:val="505050"/>
          <w:sz w:val="32"/>
          <w:szCs w:val="32"/>
        </w:rPr>
        <w:t>件，延期办结</w:t>
      </w:r>
      <w:r>
        <w:rPr>
          <w:rFonts w:ascii="仿宋_GB2312" w:hAnsi="Calibri" w:eastAsia="仿宋_GB2312" w:cs="Times New Roman"/>
          <w:color w:val="505050"/>
          <w:sz w:val="32"/>
          <w:szCs w:val="32"/>
        </w:rPr>
        <w:t>3</w:t>
      </w:r>
      <w:r>
        <w:rPr>
          <w:rFonts w:hint="eastAsia" w:ascii="仿宋_GB2312" w:hAnsi="Calibri" w:eastAsia="仿宋_GB2312" w:cs="Times New Roman"/>
          <w:color w:val="505050"/>
          <w:sz w:val="32"/>
          <w:szCs w:val="32"/>
        </w:rPr>
        <w:t>件，其中：“属于已主动公开范围”</w:t>
      </w:r>
      <w:r>
        <w:rPr>
          <w:rFonts w:ascii="仿宋_GB2312" w:hAnsi="Calibri" w:eastAsia="仿宋_GB2312" w:cs="Times New Roman"/>
          <w:color w:val="505050"/>
          <w:sz w:val="32"/>
          <w:szCs w:val="32"/>
        </w:rPr>
        <w:t>1</w:t>
      </w:r>
      <w:r>
        <w:rPr>
          <w:rFonts w:hint="eastAsia" w:ascii="仿宋_GB2312" w:hAnsi="Calibri" w:eastAsia="仿宋_GB2312" w:cs="Times New Roman"/>
          <w:color w:val="505050"/>
          <w:sz w:val="32"/>
          <w:szCs w:val="32"/>
        </w:rPr>
        <w:t>件、“同意公开”3</w:t>
      </w:r>
      <w:r>
        <w:rPr>
          <w:rFonts w:ascii="仿宋_GB2312" w:hAnsi="Calibri" w:eastAsia="仿宋_GB2312" w:cs="Times New Roman"/>
          <w:color w:val="505050"/>
          <w:sz w:val="32"/>
          <w:szCs w:val="32"/>
        </w:rPr>
        <w:t>2</w:t>
      </w:r>
      <w:r>
        <w:rPr>
          <w:rFonts w:hint="eastAsia" w:ascii="仿宋_GB2312" w:hAnsi="Calibri" w:eastAsia="仿宋_GB2312" w:cs="Times New Roman"/>
          <w:color w:val="505050"/>
          <w:sz w:val="32"/>
          <w:szCs w:val="32"/>
        </w:rPr>
        <w:t>件，“同意部分公开”1件，“非本机关掌握政府信息”</w:t>
      </w:r>
      <w:r>
        <w:rPr>
          <w:rFonts w:ascii="仿宋_GB2312" w:hAnsi="Calibri" w:eastAsia="仿宋_GB2312" w:cs="Times New Roman"/>
          <w:color w:val="505050"/>
          <w:sz w:val="32"/>
          <w:szCs w:val="32"/>
        </w:rPr>
        <w:t>5</w:t>
      </w:r>
      <w:r>
        <w:rPr>
          <w:rFonts w:hint="eastAsia" w:ascii="仿宋_GB2312" w:hAnsi="Calibri" w:eastAsia="仿宋_GB2312" w:cs="Times New Roman"/>
          <w:color w:val="505050"/>
          <w:sz w:val="32"/>
          <w:szCs w:val="32"/>
        </w:rPr>
        <w:t>件，“申请信息不存在”</w:t>
      </w:r>
      <w:r>
        <w:rPr>
          <w:rFonts w:ascii="仿宋_GB2312" w:hAnsi="Calibri" w:eastAsia="仿宋_GB2312" w:cs="Times New Roman"/>
          <w:color w:val="505050"/>
          <w:sz w:val="32"/>
          <w:szCs w:val="32"/>
        </w:rPr>
        <w:t>22</w:t>
      </w:r>
      <w:r>
        <w:rPr>
          <w:rFonts w:hint="eastAsia" w:ascii="仿宋_GB2312" w:hAnsi="Calibri" w:eastAsia="仿宋_GB2312" w:cs="Times New Roman"/>
          <w:color w:val="505050"/>
          <w:sz w:val="32"/>
          <w:szCs w:val="32"/>
        </w:rPr>
        <w:t>件，“告知做出更改补充”</w:t>
      </w:r>
      <w:r>
        <w:rPr>
          <w:rFonts w:ascii="仿宋_GB2312" w:hAnsi="Calibri" w:eastAsia="仿宋_GB2312" w:cs="Times New Roman"/>
          <w:color w:val="505050"/>
          <w:sz w:val="32"/>
          <w:szCs w:val="32"/>
        </w:rPr>
        <w:t>4</w:t>
      </w:r>
      <w:r>
        <w:rPr>
          <w:rFonts w:hint="eastAsia" w:ascii="仿宋_GB2312" w:hAnsi="Calibri" w:eastAsia="仿宋_GB2312" w:cs="Times New Roman"/>
          <w:color w:val="505050"/>
          <w:sz w:val="32"/>
          <w:szCs w:val="32"/>
        </w:rPr>
        <w:t>件；全部出具了登记回执和政府信息公开告知书。</w:t>
      </w:r>
    </w:p>
    <w:p>
      <w:pPr>
        <w:widowControl/>
        <w:shd w:val="clear" w:color="auto" w:fill="FFFFFF"/>
        <w:spacing w:before="225" w:after="100" w:afterAutospacing="1" w:line="560" w:lineRule="exact"/>
        <w:ind w:firstLine="480" w:firstLineChars="200"/>
        <w:rPr>
          <w:rFonts w:ascii="宋体" w:hAnsi="宋体" w:eastAsia="宋体" w:cs="宋体"/>
          <w:color w:val="505050"/>
          <w:kern w:val="0"/>
          <w:sz w:val="24"/>
          <w:szCs w:val="24"/>
        </w:rPr>
      </w:pPr>
      <w:r>
        <w:rPr>
          <w:rFonts w:ascii="宋体" w:hAnsi="宋体" w:eastAsia="宋体" w:cs="宋体"/>
          <w:color w:val="505050"/>
          <w:kern w:val="0"/>
          <w:sz w:val="24"/>
          <w:szCs w:val="24"/>
        </w:rPr>
        <w:drawing>
          <wp:anchor distT="0" distB="0" distL="114300" distR="114300" simplePos="0" relativeHeight="251659264" behindDoc="0" locked="0" layoutInCell="1" allowOverlap="1">
            <wp:simplePos x="0" y="0"/>
            <wp:positionH relativeFrom="column">
              <wp:posOffset>3810</wp:posOffset>
            </wp:positionH>
            <wp:positionV relativeFrom="paragraph">
              <wp:posOffset>0</wp:posOffset>
            </wp:positionV>
            <wp:extent cx="5274310" cy="3519805"/>
            <wp:effectExtent l="0" t="0" r="2540" b="4445"/>
            <wp:wrapThrough wrapText="bothSides">
              <wp:wrapPolygon>
                <wp:start x="0" y="0"/>
                <wp:lineTo x="0" y="21510"/>
                <wp:lineTo x="21532" y="21510"/>
                <wp:lineTo x="21532" y="0"/>
                <wp:lineTo x="0" y="0"/>
              </wp:wrapPolygon>
            </wp:wrapThrough>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4310" cy="3519805"/>
                    </a:xfrm>
                    <a:prstGeom prst="rect">
                      <a:avLst/>
                    </a:prstGeom>
                  </pic:spPr>
                </pic:pic>
              </a:graphicData>
            </a:graphic>
          </wp:anchor>
        </w:drawing>
      </w:r>
      <w:r>
        <w:rPr>
          <w:rFonts w:hint="eastAsia" w:ascii="楷体_GB2312" w:hAnsi="Calibri" w:eastAsia="楷体_GB2312" w:cs="Times New Roman"/>
          <w:b/>
          <w:bCs/>
          <w:color w:val="505050"/>
          <w:sz w:val="32"/>
          <w:szCs w:val="32"/>
        </w:rPr>
        <w:t>（三）不予公开政府信息情况</w:t>
      </w:r>
    </w:p>
    <w:p>
      <w:pPr>
        <w:widowControl/>
        <w:shd w:val="clear" w:color="auto" w:fill="FFFFFF"/>
        <w:spacing w:before="225" w:after="100" w:afterAutospacing="1" w:line="560" w:lineRule="exact"/>
        <w:ind w:firstLine="640" w:firstLineChars="200"/>
        <w:rPr>
          <w:rFonts w:ascii="仿宋_GB2312" w:hAnsi="Calibri" w:eastAsia="仿宋_GB2312" w:cs="Times New Roman"/>
          <w:color w:val="505050"/>
          <w:sz w:val="32"/>
          <w:szCs w:val="32"/>
        </w:rPr>
      </w:pPr>
      <w:r>
        <w:rPr>
          <w:rFonts w:hint="eastAsia" w:ascii="仿宋_GB2312" w:hAnsi="Calibri" w:eastAsia="仿宋_GB2312" w:cs="Times New Roman"/>
          <w:color w:val="505050"/>
          <w:sz w:val="32"/>
          <w:szCs w:val="32"/>
        </w:rPr>
        <w:t>201</w:t>
      </w:r>
      <w:r>
        <w:rPr>
          <w:rFonts w:ascii="仿宋_GB2312" w:hAnsi="Calibri" w:eastAsia="仿宋_GB2312" w:cs="Times New Roman"/>
          <w:color w:val="505050"/>
          <w:sz w:val="32"/>
          <w:szCs w:val="32"/>
        </w:rPr>
        <w:t>8</w:t>
      </w:r>
      <w:r>
        <w:rPr>
          <w:rFonts w:hint="eastAsia" w:ascii="仿宋_GB2312" w:hAnsi="Calibri" w:eastAsia="仿宋_GB2312" w:cs="Times New Roman"/>
          <w:color w:val="505050"/>
          <w:sz w:val="32"/>
          <w:szCs w:val="32"/>
        </w:rPr>
        <w:t>年度信息公开工作中出现不予公开政府信息3件。其中：</w:t>
      </w:r>
      <w:r>
        <w:rPr>
          <w:rFonts w:ascii="仿宋_GB2312" w:hAnsi="Calibri" w:eastAsia="仿宋_GB2312" w:cs="Times New Roman"/>
          <w:color w:val="505050"/>
          <w:sz w:val="32"/>
          <w:szCs w:val="32"/>
        </w:rPr>
        <w:t>不是《</w:t>
      </w:r>
      <w:r>
        <w:rPr>
          <w:rFonts w:hint="eastAsia" w:ascii="仿宋_GB2312" w:hAnsi="Calibri" w:eastAsia="仿宋_GB2312" w:cs="Times New Roman"/>
          <w:color w:val="505050"/>
          <w:sz w:val="32"/>
          <w:szCs w:val="32"/>
        </w:rPr>
        <w:t>条例</w:t>
      </w:r>
      <w:r>
        <w:rPr>
          <w:rFonts w:ascii="仿宋_GB2312" w:hAnsi="Calibri" w:eastAsia="仿宋_GB2312" w:cs="Times New Roman"/>
          <w:color w:val="505050"/>
          <w:sz w:val="32"/>
          <w:szCs w:val="32"/>
        </w:rPr>
        <w:t>》</w:t>
      </w:r>
      <w:r>
        <w:rPr>
          <w:rFonts w:hint="eastAsia" w:ascii="仿宋_GB2312" w:hAnsi="Calibri" w:eastAsia="仿宋_GB2312" w:cs="Times New Roman"/>
          <w:color w:val="505050"/>
          <w:sz w:val="32"/>
          <w:szCs w:val="32"/>
        </w:rPr>
        <w:t>所指</w:t>
      </w:r>
      <w:r>
        <w:rPr>
          <w:rFonts w:ascii="仿宋_GB2312" w:hAnsi="Calibri" w:eastAsia="仿宋_GB2312" w:cs="Times New Roman"/>
          <w:color w:val="505050"/>
          <w:sz w:val="32"/>
          <w:szCs w:val="32"/>
        </w:rPr>
        <w:t>政府信息</w:t>
      </w:r>
      <w:r>
        <w:rPr>
          <w:rFonts w:hint="eastAsia" w:ascii="仿宋_GB2312" w:hAnsi="Calibri" w:eastAsia="仿宋_GB2312" w:cs="Times New Roman"/>
          <w:color w:val="505050"/>
          <w:sz w:val="32"/>
          <w:szCs w:val="32"/>
        </w:rPr>
        <w:t>3件</w:t>
      </w:r>
      <w:r>
        <w:rPr>
          <w:rFonts w:ascii="仿宋_GB2312" w:hAnsi="Calibri" w:eastAsia="仿宋_GB2312" w:cs="Times New Roman"/>
          <w:color w:val="505050"/>
          <w:sz w:val="32"/>
          <w:szCs w:val="32"/>
        </w:rPr>
        <w:t>。</w:t>
      </w:r>
    </w:p>
    <w:p>
      <w:pPr>
        <w:widowControl/>
        <w:shd w:val="clear" w:color="auto" w:fill="FFFFFF"/>
        <w:spacing w:before="225" w:after="100" w:afterAutospacing="1" w:line="560" w:lineRule="exact"/>
        <w:ind w:firstLine="640" w:firstLineChars="200"/>
        <w:rPr>
          <w:rFonts w:ascii="黑体" w:hAnsi="黑体" w:eastAsia="黑体" w:cs="Times New Roman"/>
          <w:color w:val="505050"/>
          <w:sz w:val="32"/>
          <w:szCs w:val="32"/>
        </w:rPr>
      </w:pPr>
      <w:r>
        <w:rPr>
          <w:rFonts w:hint="eastAsia" w:ascii="黑体" w:hAnsi="黑体" w:eastAsia="黑体" w:cs="Times New Roman"/>
          <w:color w:val="505050"/>
          <w:sz w:val="32"/>
          <w:szCs w:val="32"/>
        </w:rPr>
        <w:t>四、行政复议、行政诉讼情况</w:t>
      </w:r>
    </w:p>
    <w:p>
      <w:pPr>
        <w:widowControl/>
        <w:shd w:val="clear" w:color="auto" w:fill="FFFFFF"/>
        <w:spacing w:before="225" w:after="100" w:afterAutospacing="1" w:line="560" w:lineRule="exact"/>
        <w:ind w:firstLine="640" w:firstLineChars="200"/>
        <w:rPr>
          <w:rFonts w:ascii="仿宋_GB2312" w:hAnsi="Calibri" w:eastAsia="仿宋_GB2312" w:cs="Times New Roman"/>
          <w:color w:val="505050"/>
          <w:sz w:val="32"/>
          <w:szCs w:val="32"/>
        </w:rPr>
      </w:pPr>
      <w:r>
        <w:rPr>
          <w:rFonts w:hint="eastAsia" w:ascii="仿宋_GB2312" w:hAnsi="Calibri" w:eastAsia="仿宋_GB2312" w:cs="Times New Roman"/>
          <w:color w:val="505050"/>
          <w:sz w:val="32"/>
          <w:szCs w:val="32"/>
        </w:rPr>
        <w:t>201</w:t>
      </w:r>
      <w:r>
        <w:rPr>
          <w:rFonts w:ascii="仿宋_GB2312" w:hAnsi="Calibri" w:eastAsia="仿宋_GB2312" w:cs="Times New Roman"/>
          <w:color w:val="505050"/>
          <w:sz w:val="32"/>
          <w:szCs w:val="32"/>
        </w:rPr>
        <w:t>8</w:t>
      </w:r>
      <w:r>
        <w:rPr>
          <w:rFonts w:hint="eastAsia" w:ascii="仿宋_GB2312" w:hAnsi="Calibri" w:eastAsia="仿宋_GB2312" w:cs="Times New Roman"/>
          <w:color w:val="505050"/>
          <w:sz w:val="32"/>
          <w:szCs w:val="32"/>
        </w:rPr>
        <w:t>年我委未出现与政府信息公开有关的行政复议、行政诉讼案件。</w:t>
      </w:r>
    </w:p>
    <w:p>
      <w:pPr>
        <w:widowControl/>
        <w:shd w:val="clear" w:color="auto" w:fill="FFFFFF"/>
        <w:spacing w:before="225" w:after="100" w:afterAutospacing="1" w:line="560" w:lineRule="exact"/>
        <w:ind w:firstLine="640" w:firstLineChars="200"/>
        <w:rPr>
          <w:rFonts w:ascii="黑体" w:hAnsi="黑体" w:eastAsia="黑体" w:cs="Times New Roman"/>
          <w:color w:val="505050"/>
          <w:sz w:val="32"/>
          <w:szCs w:val="32"/>
        </w:rPr>
      </w:pPr>
      <w:r>
        <w:rPr>
          <w:rFonts w:hint="eastAsia" w:ascii="黑体" w:hAnsi="黑体" w:eastAsia="黑体" w:cs="Times New Roman"/>
          <w:color w:val="505050"/>
          <w:sz w:val="32"/>
          <w:szCs w:val="32"/>
        </w:rPr>
        <w:t>五、收费及免除费用的情况</w:t>
      </w:r>
    </w:p>
    <w:p>
      <w:pPr>
        <w:widowControl/>
        <w:shd w:val="clear" w:color="auto" w:fill="FFFFFF"/>
        <w:spacing w:before="225" w:after="100" w:afterAutospacing="1" w:line="560" w:lineRule="exact"/>
        <w:ind w:firstLine="640" w:firstLineChars="200"/>
        <w:rPr>
          <w:rFonts w:ascii="仿宋_GB2312" w:hAnsi="Calibri" w:eastAsia="仿宋_GB2312" w:cs="Times New Roman"/>
          <w:color w:val="505050"/>
          <w:sz w:val="32"/>
          <w:szCs w:val="32"/>
        </w:rPr>
      </w:pPr>
      <w:r>
        <w:rPr>
          <w:rFonts w:hint="eastAsia" w:ascii="仿宋_GB2312" w:hAnsi="Calibri" w:eastAsia="仿宋_GB2312" w:cs="Times New Roman"/>
          <w:color w:val="505050"/>
          <w:sz w:val="32"/>
          <w:szCs w:val="32"/>
        </w:rPr>
        <w:t>201</w:t>
      </w:r>
      <w:r>
        <w:rPr>
          <w:rFonts w:ascii="仿宋_GB2312" w:hAnsi="Calibri" w:eastAsia="仿宋_GB2312" w:cs="Times New Roman"/>
          <w:color w:val="505050"/>
          <w:sz w:val="32"/>
          <w:szCs w:val="32"/>
        </w:rPr>
        <w:t>8</w:t>
      </w:r>
      <w:r>
        <w:rPr>
          <w:rFonts w:hint="eastAsia" w:ascii="仿宋_GB2312" w:hAnsi="Calibri" w:eastAsia="仿宋_GB2312" w:cs="Times New Roman"/>
          <w:color w:val="505050"/>
          <w:sz w:val="32"/>
          <w:szCs w:val="32"/>
        </w:rPr>
        <w:t>年度本单位无政府信息公开收费和减免情况发生。</w:t>
      </w:r>
    </w:p>
    <w:p>
      <w:pPr>
        <w:widowControl/>
        <w:shd w:val="clear" w:color="auto" w:fill="FFFFFF"/>
        <w:spacing w:before="225" w:after="100" w:afterAutospacing="1" w:line="560" w:lineRule="exact"/>
        <w:ind w:firstLine="640" w:firstLineChars="200"/>
        <w:rPr>
          <w:rFonts w:ascii="黑体" w:hAnsi="黑体" w:eastAsia="黑体" w:cs="Times New Roman"/>
          <w:color w:val="505050"/>
          <w:sz w:val="32"/>
          <w:szCs w:val="32"/>
        </w:rPr>
      </w:pPr>
      <w:r>
        <w:rPr>
          <w:rFonts w:hint="eastAsia" w:ascii="黑体" w:hAnsi="黑体" w:eastAsia="黑体" w:cs="Times New Roman"/>
          <w:color w:val="505050"/>
          <w:sz w:val="32"/>
          <w:szCs w:val="32"/>
        </w:rPr>
        <w:t>六、存在问题以及改进情况</w:t>
      </w:r>
    </w:p>
    <w:p>
      <w:pPr>
        <w:widowControl/>
        <w:shd w:val="clear" w:color="auto" w:fill="FFFFFF"/>
        <w:spacing w:before="225" w:after="100" w:afterAutospacing="1" w:line="560" w:lineRule="exact"/>
        <w:ind w:firstLine="640" w:firstLineChars="200"/>
        <w:contextualSpacing/>
        <w:rPr>
          <w:rFonts w:ascii="仿宋_GB2312" w:hAnsi="Calibri" w:eastAsia="仿宋_GB2312" w:cs="Times New Roman"/>
          <w:color w:val="505050"/>
          <w:sz w:val="32"/>
          <w:szCs w:val="32"/>
        </w:rPr>
      </w:pPr>
      <w:r>
        <w:rPr>
          <w:rFonts w:ascii="仿宋_GB2312" w:hAnsi="Calibri" w:eastAsia="仿宋_GB2312" w:cs="Times New Roman"/>
          <w:color w:val="505050"/>
          <w:sz w:val="32"/>
          <w:szCs w:val="32"/>
        </w:rPr>
        <w:t>我委政府信息公开工作虽然取得了一些成绩，但与《条例》有关规定和市</w:t>
      </w:r>
      <w:r>
        <w:rPr>
          <w:rFonts w:hint="eastAsia" w:ascii="仿宋_GB2312" w:hAnsi="Calibri" w:eastAsia="仿宋_GB2312" w:cs="Times New Roman"/>
          <w:color w:val="505050"/>
          <w:sz w:val="32"/>
          <w:szCs w:val="32"/>
        </w:rPr>
        <w:t>、</w:t>
      </w:r>
      <w:r>
        <w:rPr>
          <w:rFonts w:ascii="仿宋_GB2312" w:hAnsi="Calibri" w:eastAsia="仿宋_GB2312" w:cs="Times New Roman"/>
          <w:color w:val="505050"/>
          <w:sz w:val="32"/>
          <w:szCs w:val="32"/>
        </w:rPr>
        <w:t>区有关要求相比，与社会公众需求相比，仍有一定差距。主要体现在政府信息公开工作的广度和深度有待进一步延伸和拓展，信息公开工作力度还需进一步增强，政府信息公开</w:t>
      </w:r>
      <w:r>
        <w:rPr>
          <w:rFonts w:hint="eastAsia" w:ascii="仿宋_GB2312" w:hAnsi="Calibri" w:eastAsia="仿宋_GB2312" w:cs="Times New Roman"/>
          <w:color w:val="505050"/>
          <w:sz w:val="32"/>
          <w:szCs w:val="32"/>
        </w:rPr>
        <w:t>工作人员</w:t>
      </w:r>
      <w:r>
        <w:rPr>
          <w:rFonts w:ascii="仿宋_GB2312" w:hAnsi="Calibri" w:eastAsia="仿宋_GB2312" w:cs="Times New Roman"/>
          <w:color w:val="505050"/>
          <w:sz w:val="32"/>
          <w:szCs w:val="32"/>
        </w:rPr>
        <w:t>的业务能力有待进一步提高等方面。</w:t>
      </w:r>
    </w:p>
    <w:p>
      <w:pPr>
        <w:widowControl/>
        <w:shd w:val="clear" w:color="auto" w:fill="FFFFFF"/>
        <w:spacing w:before="225" w:after="100" w:afterAutospacing="1" w:line="560" w:lineRule="exact"/>
        <w:ind w:firstLine="640" w:firstLineChars="200"/>
        <w:contextualSpacing/>
        <w:rPr>
          <w:rFonts w:ascii="仿宋_GB2312" w:hAnsi="Calibri" w:eastAsia="仿宋_GB2312" w:cs="Times New Roman"/>
          <w:color w:val="505050"/>
          <w:sz w:val="32"/>
          <w:szCs w:val="32"/>
        </w:rPr>
      </w:pPr>
      <w:r>
        <w:rPr>
          <w:rFonts w:ascii="仿宋_GB2312" w:hAnsi="Calibri" w:eastAsia="仿宋_GB2312" w:cs="Times New Roman"/>
          <w:color w:val="505050"/>
          <w:sz w:val="32"/>
          <w:szCs w:val="32"/>
        </w:rPr>
        <w:t>2019年，我委将按照</w:t>
      </w:r>
      <w:r>
        <w:rPr>
          <w:rFonts w:hint="eastAsia" w:ascii="仿宋_GB2312" w:hAnsi="Calibri" w:eastAsia="仿宋_GB2312" w:cs="Times New Roman"/>
          <w:color w:val="505050"/>
          <w:sz w:val="32"/>
          <w:szCs w:val="32"/>
        </w:rPr>
        <w:t>市、</w:t>
      </w:r>
      <w:r>
        <w:rPr>
          <w:rFonts w:ascii="仿宋_GB2312" w:hAnsi="Calibri" w:eastAsia="仿宋_GB2312" w:cs="Times New Roman"/>
          <w:color w:val="505050"/>
          <w:sz w:val="32"/>
          <w:szCs w:val="32"/>
        </w:rPr>
        <w:t>区工作部署，进一步增强公开意识，落实工作责任，从两方面着手做好政府信息公开工作</w:t>
      </w:r>
      <w:r>
        <w:rPr>
          <w:rFonts w:hint="eastAsia" w:ascii="仿宋_GB2312" w:hAnsi="Calibri" w:eastAsia="仿宋_GB2312" w:cs="Times New Roman"/>
          <w:color w:val="505050"/>
          <w:sz w:val="32"/>
          <w:szCs w:val="32"/>
        </w:rPr>
        <w:t>。</w:t>
      </w:r>
    </w:p>
    <w:p>
      <w:pPr>
        <w:widowControl/>
        <w:shd w:val="clear" w:color="auto" w:fill="FFFFFF"/>
        <w:spacing w:before="225" w:after="100" w:afterAutospacing="1" w:line="560" w:lineRule="exact"/>
        <w:ind w:firstLine="643" w:firstLineChars="200"/>
        <w:contextualSpacing/>
        <w:rPr>
          <w:rFonts w:ascii="仿宋_GB2312" w:hAnsi="Calibri" w:eastAsia="仿宋_GB2312" w:cs="Times New Roman"/>
          <w:color w:val="505050"/>
          <w:sz w:val="32"/>
          <w:szCs w:val="32"/>
        </w:rPr>
      </w:pPr>
      <w:r>
        <w:rPr>
          <w:rFonts w:hint="eastAsia" w:ascii="仿宋_GB2312" w:hAnsi="Calibri" w:eastAsia="仿宋_GB2312" w:cs="Times New Roman"/>
          <w:b/>
          <w:color w:val="505050"/>
          <w:sz w:val="32"/>
          <w:szCs w:val="32"/>
        </w:rPr>
        <w:t>一是</w:t>
      </w:r>
      <w:r>
        <w:rPr>
          <w:rFonts w:ascii="仿宋_GB2312" w:hAnsi="Calibri" w:eastAsia="仿宋_GB2312" w:cs="Times New Roman"/>
          <w:color w:val="505050"/>
          <w:sz w:val="32"/>
          <w:szCs w:val="32"/>
        </w:rPr>
        <w:t>认真贯彻落实</w:t>
      </w:r>
      <w:r>
        <w:rPr>
          <w:rFonts w:hint="eastAsia" w:ascii="仿宋_GB2312" w:hAnsi="Calibri" w:eastAsia="仿宋_GB2312" w:cs="Times New Roman"/>
          <w:color w:val="505050"/>
          <w:sz w:val="32"/>
          <w:szCs w:val="32"/>
        </w:rPr>
        <w:t>上级指示精神，</w:t>
      </w:r>
      <w:r>
        <w:rPr>
          <w:rFonts w:ascii="仿宋_GB2312" w:hAnsi="Calibri" w:eastAsia="仿宋_GB2312" w:cs="Times New Roman"/>
          <w:color w:val="505050"/>
          <w:sz w:val="32"/>
          <w:szCs w:val="32"/>
        </w:rPr>
        <w:t>不断完善工作机制，改进工作措施，健全主动公开目录，逐项抓好落实，</w:t>
      </w:r>
      <w:r>
        <w:rPr>
          <w:rFonts w:hint="eastAsia" w:ascii="仿宋_GB2312" w:hAnsi="Calibri" w:eastAsia="仿宋_GB2312" w:cs="Times New Roman"/>
          <w:color w:val="505050"/>
          <w:sz w:val="32"/>
          <w:szCs w:val="32"/>
        </w:rPr>
        <w:t>全面、及时地公开政府信息，确保政府信息公开工作的针对性和实效性。</w:t>
      </w:r>
    </w:p>
    <w:p>
      <w:pPr>
        <w:widowControl/>
        <w:shd w:val="clear" w:color="auto" w:fill="FFFFFF"/>
        <w:spacing w:before="225" w:after="100" w:afterAutospacing="1" w:line="560" w:lineRule="exact"/>
        <w:ind w:firstLine="643" w:firstLineChars="200"/>
        <w:contextualSpacing/>
        <w:rPr>
          <w:rFonts w:ascii="仿宋_GB2312" w:hAnsi="Calibri" w:eastAsia="仿宋_GB2312" w:cs="Times New Roman"/>
          <w:color w:val="505050"/>
          <w:sz w:val="32"/>
          <w:szCs w:val="32"/>
        </w:rPr>
      </w:pPr>
      <w:r>
        <w:rPr>
          <w:rFonts w:ascii="仿宋_GB2312" w:hAnsi="Calibri" w:eastAsia="仿宋_GB2312" w:cs="Times New Roman"/>
          <w:b/>
          <w:color w:val="505050"/>
          <w:sz w:val="32"/>
          <w:szCs w:val="32"/>
        </w:rPr>
        <w:t>二是</w:t>
      </w:r>
      <w:r>
        <w:rPr>
          <w:rFonts w:ascii="仿宋_GB2312" w:hAnsi="Calibri" w:eastAsia="仿宋_GB2312" w:cs="Times New Roman"/>
          <w:color w:val="505050"/>
          <w:sz w:val="32"/>
          <w:szCs w:val="32"/>
        </w:rPr>
        <w:t>加大教育培训力度。继续做好对机关工作人员的教育培训，把做好</w:t>
      </w:r>
      <w:r>
        <w:rPr>
          <w:rFonts w:hint="eastAsia" w:ascii="仿宋_GB2312" w:hAnsi="Calibri" w:eastAsia="仿宋_GB2312" w:cs="Times New Roman"/>
          <w:color w:val="505050"/>
          <w:sz w:val="32"/>
          <w:szCs w:val="32"/>
        </w:rPr>
        <w:t>政府信息</w:t>
      </w:r>
      <w:r>
        <w:rPr>
          <w:rFonts w:ascii="仿宋_GB2312" w:hAnsi="Calibri" w:eastAsia="仿宋_GB2312" w:cs="Times New Roman"/>
          <w:color w:val="505050"/>
          <w:sz w:val="32"/>
          <w:szCs w:val="32"/>
        </w:rPr>
        <w:t>公开工作作为推动法治机关建设、促进依法行政的重要抓手和执政为民、服务群众的重要举措，不断增强履职过程中的公开意识，切实提高服务公众的能力和水平。</w:t>
      </w:r>
    </w:p>
    <w:p>
      <w:pPr>
        <w:widowControl/>
        <w:shd w:val="clear" w:color="auto" w:fill="FFFFFF"/>
        <w:spacing w:before="225" w:after="100" w:afterAutospacing="1" w:line="560" w:lineRule="exact"/>
        <w:ind w:firstLine="640" w:firstLineChars="200"/>
        <w:rPr>
          <w:rFonts w:ascii="仿宋_GB2312" w:hAnsi="Calibri" w:eastAsia="仿宋_GB2312" w:cs="Times New Roman"/>
          <w:color w:val="505050"/>
          <w:sz w:val="32"/>
          <w:szCs w:val="32"/>
        </w:rPr>
      </w:pPr>
    </w:p>
    <w:p>
      <w:pPr>
        <w:widowControl/>
        <w:shd w:val="clear" w:color="auto" w:fill="FFFFFF"/>
        <w:spacing w:before="225" w:after="100" w:afterAutospacing="1" w:line="560" w:lineRule="exact"/>
        <w:ind w:firstLine="640" w:firstLineChars="200"/>
        <w:rPr>
          <w:rFonts w:ascii="仿宋_GB2312" w:hAnsi="Calibri" w:eastAsia="仿宋_GB2312" w:cs="Times New Roman"/>
          <w:color w:val="505050"/>
          <w:sz w:val="32"/>
          <w:szCs w:val="32"/>
        </w:rPr>
      </w:pPr>
    </w:p>
    <w:p>
      <w:pPr>
        <w:widowControl/>
        <w:shd w:val="clear" w:color="auto" w:fill="FFFFFF"/>
        <w:spacing w:before="225" w:after="100" w:afterAutospacing="1" w:line="560" w:lineRule="exact"/>
        <w:ind w:firstLine="640" w:firstLineChars="200"/>
        <w:rPr>
          <w:rFonts w:ascii="仿宋_GB2312" w:hAnsi="Calibri" w:eastAsia="仿宋_GB2312" w:cs="Times New Roman"/>
          <w:color w:val="505050"/>
          <w:sz w:val="32"/>
          <w:szCs w:val="32"/>
        </w:rPr>
      </w:pPr>
    </w:p>
    <w:p>
      <w:pPr>
        <w:widowControl/>
        <w:shd w:val="clear" w:color="auto" w:fill="FFFFFF"/>
        <w:spacing w:before="225" w:after="100" w:afterAutospacing="1" w:line="560" w:lineRule="exact"/>
        <w:ind w:firstLine="640" w:firstLineChars="200"/>
        <w:rPr>
          <w:rFonts w:ascii="仿宋_GB2312" w:hAnsi="Calibri" w:eastAsia="仿宋_GB2312" w:cs="Times New Roman"/>
          <w:color w:val="505050"/>
          <w:sz w:val="32"/>
          <w:szCs w:val="32"/>
        </w:rPr>
      </w:pPr>
    </w:p>
    <w:p>
      <w:pPr>
        <w:widowControl/>
        <w:shd w:val="clear" w:color="auto" w:fill="FFFFFF"/>
        <w:spacing w:before="225" w:after="100" w:afterAutospacing="1" w:line="560" w:lineRule="exact"/>
        <w:ind w:firstLine="640" w:firstLineChars="200"/>
        <w:rPr>
          <w:rFonts w:ascii="仿宋_GB2312" w:hAnsi="Calibri" w:eastAsia="仿宋_GB2312" w:cs="Times New Roman"/>
          <w:color w:val="505050"/>
          <w:sz w:val="32"/>
          <w:szCs w:val="32"/>
        </w:rPr>
      </w:pPr>
    </w:p>
    <w:p>
      <w:pPr>
        <w:widowControl/>
        <w:shd w:val="clear" w:color="auto" w:fill="FFFFFF"/>
        <w:spacing w:before="225" w:after="100" w:afterAutospacing="1" w:line="560" w:lineRule="exact"/>
        <w:ind w:firstLine="640" w:firstLineChars="200"/>
        <w:rPr>
          <w:rFonts w:ascii="仿宋_GB2312" w:hAnsi="Calibri" w:eastAsia="仿宋_GB2312" w:cs="Times New Roman"/>
          <w:color w:val="505050"/>
          <w:sz w:val="32"/>
          <w:szCs w:val="32"/>
        </w:rPr>
      </w:pPr>
    </w:p>
    <w:p>
      <w:pPr>
        <w:widowControl/>
        <w:shd w:val="clear" w:color="auto" w:fill="FFFFFF"/>
        <w:spacing w:before="225" w:after="100" w:afterAutospacing="1" w:line="560" w:lineRule="exact"/>
        <w:ind w:firstLine="640" w:firstLineChars="200"/>
        <w:rPr>
          <w:rFonts w:ascii="仿宋_GB2312" w:hAnsi="Calibri" w:eastAsia="仿宋_GB2312" w:cs="Times New Roman"/>
          <w:color w:val="505050"/>
          <w:sz w:val="32"/>
          <w:szCs w:val="32"/>
        </w:rPr>
      </w:pPr>
    </w:p>
    <w:p>
      <w:pPr>
        <w:widowControl/>
        <w:shd w:val="clear" w:color="auto" w:fill="FFFFFF"/>
        <w:spacing w:before="225" w:after="100" w:afterAutospacing="1" w:line="560" w:lineRule="exact"/>
        <w:rPr>
          <w:rFonts w:ascii="仿宋_GB2312" w:hAnsi="Calibri" w:eastAsia="仿宋_GB2312" w:cs="Times New Roman"/>
          <w:color w:val="505050"/>
          <w:sz w:val="32"/>
          <w:szCs w:val="32"/>
        </w:rPr>
      </w:pPr>
      <w:r>
        <w:rPr>
          <w:rFonts w:hint="eastAsia" w:ascii="仿宋_GB2312" w:eastAsia="仿宋_GB2312" w:cs="Calibri"/>
          <w:color w:val="505050"/>
          <w:sz w:val="32"/>
          <w:szCs w:val="32"/>
        </w:rPr>
        <w:t>附表：</w:t>
      </w:r>
    </w:p>
    <w:tbl>
      <w:tblPr>
        <w:tblStyle w:val="7"/>
        <w:tblW w:w="0" w:type="auto"/>
        <w:tblInd w:w="30" w:type="dxa"/>
        <w:tblLayout w:type="autofit"/>
        <w:tblCellMar>
          <w:top w:w="0" w:type="dxa"/>
          <w:left w:w="108" w:type="dxa"/>
          <w:bottom w:w="0" w:type="dxa"/>
          <w:right w:w="108" w:type="dxa"/>
        </w:tblCellMar>
      </w:tblPr>
      <w:tblGrid>
        <w:gridCol w:w="6349"/>
        <w:gridCol w:w="852"/>
        <w:gridCol w:w="1070"/>
      </w:tblGrid>
      <w:tr>
        <w:tblPrEx>
          <w:tblCellMar>
            <w:top w:w="0" w:type="dxa"/>
            <w:left w:w="108" w:type="dxa"/>
            <w:bottom w:w="0" w:type="dxa"/>
            <w:right w:w="108" w:type="dxa"/>
          </w:tblCellMar>
        </w:tblPrEx>
        <w:trPr>
          <w:trHeight w:val="799" w:hRule="atLeast"/>
        </w:trPr>
        <w:tc>
          <w:tcPr>
            <w:tcW w:w="0" w:type="auto"/>
            <w:gridSpan w:val="3"/>
            <w:tcBorders>
              <w:top w:val="nil"/>
              <w:left w:val="nil"/>
              <w:bottom w:val="nil"/>
              <w:right w:val="nil"/>
            </w:tcBorders>
            <w:shd w:val="clear" w:color="000000" w:fill="auto"/>
            <w:vAlign w:val="bottom"/>
          </w:tcPr>
          <w:p>
            <w:pPr>
              <w:widowControl/>
              <w:jc w:val="center"/>
              <w:rPr>
                <w:rFonts w:ascii="Arial" w:hAnsi="Arial" w:eastAsia="宋体" w:cs="Arial"/>
                <w:b/>
                <w:bCs/>
                <w:color w:val="FF8080"/>
                <w:kern w:val="0"/>
                <w:sz w:val="24"/>
                <w:szCs w:val="24"/>
              </w:rPr>
            </w:pPr>
            <w:r>
              <w:rPr>
                <w:rFonts w:ascii="Arial" w:hAnsi="Arial" w:eastAsia="宋体" w:cs="Arial"/>
                <w:b/>
                <w:bCs/>
                <w:color w:val="FF8080"/>
                <w:kern w:val="0"/>
                <w:sz w:val="24"/>
                <w:szCs w:val="24"/>
              </w:rPr>
              <w:t xml:space="preserve">     </w:t>
            </w:r>
            <w:r>
              <w:rPr>
                <w:rFonts w:ascii="Times New Roman" w:hAnsi="Times New Roman" w:eastAsia="宋体" w:cs="Times New Roman"/>
                <w:b/>
                <w:bCs/>
                <w:kern w:val="0"/>
                <w:sz w:val="36"/>
                <w:szCs w:val="36"/>
              </w:rPr>
              <w:t>政府信息公开情况统计表</w:t>
            </w:r>
            <w:r>
              <w:rPr>
                <w:rFonts w:ascii="Times New Roman" w:hAnsi="Times New Roman" w:eastAsia="宋体" w:cs="Times New Roman"/>
                <w:b/>
                <w:bCs/>
                <w:kern w:val="0"/>
                <w:sz w:val="36"/>
                <w:szCs w:val="36"/>
              </w:rPr>
              <w:br w:type="textWrapping"/>
            </w:r>
            <w:r>
              <w:rPr>
                <w:rFonts w:ascii="Arial" w:hAnsi="Arial" w:eastAsia="宋体" w:cs="Arial"/>
                <w:b/>
                <w:bCs/>
                <w:color w:val="FF8080"/>
                <w:kern w:val="0"/>
                <w:sz w:val="24"/>
                <w:szCs w:val="24"/>
              </w:rPr>
              <w:br w:type="textWrapping"/>
            </w:r>
            <w:r>
              <w:rPr>
                <w:rFonts w:ascii="Arial" w:hAnsi="Arial" w:eastAsia="宋体" w:cs="Arial"/>
                <w:b/>
                <w:bCs/>
                <w:kern w:val="0"/>
                <w:sz w:val="24"/>
                <w:szCs w:val="24"/>
              </w:rPr>
              <w:t>（2018年度）</w:t>
            </w:r>
          </w:p>
        </w:tc>
      </w:tr>
      <w:tr>
        <w:tblPrEx>
          <w:tblCellMar>
            <w:top w:w="0" w:type="dxa"/>
            <w:left w:w="108" w:type="dxa"/>
            <w:bottom w:w="0" w:type="dxa"/>
            <w:right w:w="108" w:type="dxa"/>
          </w:tblCellMar>
        </w:tblPrEx>
        <w:trPr>
          <w:trHeight w:val="255" w:hRule="atLeast"/>
        </w:trPr>
        <w:tc>
          <w:tcPr>
            <w:tcW w:w="6349" w:type="dxa"/>
            <w:tcBorders>
              <w:top w:val="nil"/>
              <w:left w:val="nil"/>
              <w:bottom w:val="nil"/>
              <w:right w:val="nil"/>
            </w:tcBorders>
            <w:shd w:val="clear" w:color="auto" w:fill="auto"/>
            <w:noWrap/>
            <w:vAlign w:val="bottom"/>
          </w:tcPr>
          <w:p>
            <w:pPr>
              <w:widowControl/>
              <w:jc w:val="center"/>
              <w:rPr>
                <w:rFonts w:ascii="等线" w:hAnsi="Arial" w:eastAsia="等线" w:cs="Arial"/>
                <w:b/>
                <w:bCs/>
                <w:color w:val="000000"/>
                <w:kern w:val="0"/>
                <w:sz w:val="36"/>
                <w:szCs w:val="36"/>
              </w:rPr>
            </w:pPr>
          </w:p>
        </w:tc>
        <w:tc>
          <w:tcPr>
            <w:tcW w:w="852" w:type="dxa"/>
            <w:tcBorders>
              <w:top w:val="nil"/>
              <w:left w:val="nil"/>
              <w:bottom w:val="nil"/>
              <w:right w:val="nil"/>
            </w:tcBorders>
            <w:shd w:val="clear" w:color="000000" w:fill="FFFFFF"/>
            <w:vAlign w:val="center"/>
          </w:tcPr>
          <w:p>
            <w:pPr>
              <w:widowControl/>
              <w:jc w:val="center"/>
              <w:rPr>
                <w:rFonts w:ascii="等线" w:hAnsi="Arial" w:eastAsia="等线" w:cs="Arial"/>
                <w:b/>
                <w:bCs/>
                <w:color w:val="000000"/>
                <w:kern w:val="0"/>
                <w:sz w:val="36"/>
                <w:szCs w:val="36"/>
              </w:rPr>
            </w:pPr>
            <w:r>
              <w:rPr>
                <w:rFonts w:hint="eastAsia" w:ascii="等线" w:hAnsi="Arial" w:eastAsia="等线" w:cs="Arial"/>
                <w:b/>
                <w:bCs/>
                <w:color w:val="000000"/>
                <w:kern w:val="0"/>
                <w:sz w:val="36"/>
                <w:szCs w:val="36"/>
              </w:rPr>
              <w:t>　</w:t>
            </w:r>
          </w:p>
        </w:tc>
        <w:tc>
          <w:tcPr>
            <w:tcW w:w="1070" w:type="dxa"/>
            <w:tcBorders>
              <w:top w:val="nil"/>
              <w:left w:val="nil"/>
              <w:bottom w:val="nil"/>
              <w:right w:val="nil"/>
            </w:tcBorders>
            <w:shd w:val="clear" w:color="000000" w:fill="FFFFFF"/>
            <w:vAlign w:val="center"/>
          </w:tcPr>
          <w:p>
            <w:pPr>
              <w:widowControl/>
              <w:jc w:val="center"/>
              <w:rPr>
                <w:rFonts w:ascii="等线" w:hAnsi="Arial" w:eastAsia="等线" w:cs="Arial"/>
                <w:b/>
                <w:bCs/>
                <w:color w:val="000000"/>
                <w:kern w:val="0"/>
                <w:sz w:val="36"/>
                <w:szCs w:val="36"/>
              </w:rPr>
            </w:pPr>
            <w:r>
              <w:rPr>
                <w:rFonts w:hint="eastAsia" w:ascii="等线" w:hAnsi="Arial" w:eastAsia="等线" w:cs="Arial"/>
                <w:b/>
                <w:bCs/>
                <w:color w:val="000000"/>
                <w:kern w:val="0"/>
                <w:sz w:val="36"/>
                <w:szCs w:val="36"/>
              </w:rPr>
              <w:t>　</w:t>
            </w:r>
          </w:p>
        </w:tc>
      </w:tr>
      <w:tr>
        <w:tblPrEx>
          <w:tblCellMar>
            <w:top w:w="0" w:type="dxa"/>
            <w:left w:w="108" w:type="dxa"/>
            <w:bottom w:w="0" w:type="dxa"/>
            <w:right w:w="108" w:type="dxa"/>
          </w:tblCellMar>
        </w:tblPrEx>
        <w:trPr>
          <w:trHeight w:val="255" w:hRule="atLeast"/>
        </w:trPr>
        <w:tc>
          <w:tcPr>
            <w:tcW w:w="6349" w:type="dxa"/>
            <w:tcBorders>
              <w:top w:val="nil"/>
              <w:left w:val="nil"/>
              <w:bottom w:val="nil"/>
              <w:right w:val="nil"/>
            </w:tcBorders>
            <w:shd w:val="clear" w:color="auto" w:fill="auto"/>
            <w:noWrap/>
            <w:vAlign w:val="bottom"/>
          </w:tcPr>
          <w:p>
            <w:pPr>
              <w:widowControl/>
              <w:jc w:val="left"/>
              <w:rPr>
                <w:rFonts w:hint="eastAsia" w:ascii="Arial" w:hAnsi="Arial" w:eastAsia="宋体" w:cs="Arial"/>
                <w:kern w:val="0"/>
                <w:sz w:val="20"/>
                <w:szCs w:val="20"/>
              </w:rPr>
            </w:pPr>
            <w:r>
              <w:rPr>
                <w:rFonts w:ascii="Arial" w:hAnsi="Arial" w:eastAsia="宋体" w:cs="Arial"/>
                <w:kern w:val="0"/>
                <w:sz w:val="20"/>
                <w:szCs w:val="20"/>
              </w:rPr>
              <w:t>填报单位（盖章）：</w:t>
            </w:r>
            <w:r>
              <w:rPr>
                <w:rFonts w:hint="eastAsia" w:ascii="Arial" w:hAnsi="Arial" w:eastAsia="宋体" w:cs="Arial"/>
                <w:kern w:val="0"/>
                <w:sz w:val="20"/>
                <w:szCs w:val="20"/>
              </w:rPr>
              <w:t>丰台区</w:t>
            </w:r>
            <w:r>
              <w:rPr>
                <w:rFonts w:ascii="Arial" w:hAnsi="Arial" w:eastAsia="宋体" w:cs="Arial"/>
                <w:kern w:val="0"/>
                <w:sz w:val="20"/>
                <w:szCs w:val="20"/>
              </w:rPr>
              <w:t>发展和改革委员会</w:t>
            </w:r>
          </w:p>
        </w:tc>
        <w:tc>
          <w:tcPr>
            <w:tcW w:w="852" w:type="dxa"/>
            <w:tcBorders>
              <w:top w:val="nil"/>
              <w:left w:val="nil"/>
              <w:bottom w:val="nil"/>
              <w:right w:val="nil"/>
            </w:tcBorders>
            <w:shd w:val="clear" w:color="000000" w:fill="FFFFFF"/>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70" w:type="dxa"/>
            <w:tcBorders>
              <w:top w:val="nil"/>
              <w:left w:val="nil"/>
              <w:bottom w:val="nil"/>
              <w:right w:val="nil"/>
            </w:tcBorders>
            <w:shd w:val="clear" w:color="000000" w:fill="FFFFFF"/>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435" w:hRule="atLeast"/>
        </w:trPr>
        <w:tc>
          <w:tcPr>
            <w:tcW w:w="63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等线" w:hAnsi="Arial" w:eastAsia="等线" w:cs="Arial"/>
                <w:b/>
                <w:bCs/>
                <w:color w:val="000000"/>
                <w:kern w:val="0"/>
                <w:sz w:val="22"/>
              </w:rPr>
            </w:pPr>
            <w:r>
              <w:rPr>
                <w:rFonts w:hint="eastAsia" w:ascii="等线" w:hAnsi="Arial" w:eastAsia="等线" w:cs="Arial"/>
                <w:b/>
                <w:bCs/>
                <w:color w:val="000000"/>
                <w:kern w:val="0"/>
                <w:sz w:val="22"/>
              </w:rPr>
              <w:t>统 计 指 标</w:t>
            </w:r>
          </w:p>
        </w:tc>
        <w:tc>
          <w:tcPr>
            <w:tcW w:w="852"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等线" w:hAnsi="Arial" w:eastAsia="等线" w:cs="Arial"/>
                <w:b/>
                <w:bCs/>
                <w:color w:val="000000"/>
                <w:kern w:val="0"/>
                <w:sz w:val="22"/>
              </w:rPr>
            </w:pPr>
            <w:r>
              <w:rPr>
                <w:rFonts w:hint="eastAsia" w:ascii="等线" w:hAnsi="Arial" w:eastAsia="等线" w:cs="Arial"/>
                <w:b/>
                <w:bCs/>
                <w:color w:val="000000"/>
                <w:kern w:val="0"/>
                <w:sz w:val="22"/>
              </w:rPr>
              <w:t>单位</w:t>
            </w:r>
          </w:p>
        </w:tc>
        <w:tc>
          <w:tcPr>
            <w:tcW w:w="1070" w:type="dxa"/>
            <w:tcBorders>
              <w:top w:val="single" w:color="000000" w:sz="4" w:space="0"/>
              <w:left w:val="nil"/>
              <w:bottom w:val="single" w:color="000000" w:sz="4" w:space="0"/>
              <w:right w:val="single" w:color="000000" w:sz="4" w:space="0"/>
            </w:tcBorders>
            <w:shd w:val="clear" w:color="auto" w:fill="auto"/>
            <w:noWrap/>
            <w:vAlign w:val="bottom"/>
          </w:tcPr>
          <w:p>
            <w:pPr>
              <w:widowControl/>
              <w:jc w:val="center"/>
              <w:rPr>
                <w:rFonts w:ascii="等线" w:hAnsi="Arial" w:eastAsia="等线" w:cs="Arial"/>
                <w:b/>
                <w:bCs/>
                <w:color w:val="000000"/>
                <w:kern w:val="0"/>
                <w:sz w:val="22"/>
              </w:rPr>
            </w:pPr>
            <w:r>
              <w:rPr>
                <w:rFonts w:ascii="等线" w:hAnsi="Arial" w:eastAsia="等线" w:cs="Arial"/>
                <w:b/>
                <w:bCs/>
                <w:color w:val="000000"/>
                <w:kern w:val="0"/>
                <w:sz w:val="22"/>
              </w:rPr>
              <w:t>统计数</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一、主动公开情况</w:t>
            </w:r>
          </w:p>
        </w:tc>
        <w:tc>
          <w:tcPr>
            <w:tcW w:w="852" w:type="dxa"/>
            <w:tcBorders>
              <w:top w:val="nil"/>
              <w:left w:val="nil"/>
              <w:bottom w:val="nil"/>
              <w:right w:val="nil"/>
            </w:tcBorders>
            <w:shd w:val="clear" w:color="000000" w:fill="FFFFFF"/>
            <w:noWrap/>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70"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360"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（一）主动公开政府信息数（不同渠道和方式公开相同信息计1条）</w:t>
            </w:r>
          </w:p>
        </w:tc>
        <w:tc>
          <w:tcPr>
            <w:tcW w:w="852" w:type="dxa"/>
            <w:tcBorders>
              <w:top w:val="single" w:color="000000" w:sz="4" w:space="0"/>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60"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其中：主动公开规范性文件数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制发规范性文件总数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（二）重点领域公开政府信息数（不同渠道和方式公开相同信息计1条）</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98</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其中：主动公开财政预算决算、“三公经费”和行政经费信息数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主动公开保障性安居工程建设计划、项目开工和竣工情况，保障性住房的分配和退出等信息数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96</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主动公开食品安全标准，食品生产经营许可、专项检查整治等信息数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主动公开环境核查审批、环境状况公报和重特大突发环境事件等信息数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主动公开招投标违法违规行为及处理情况、国有资金占控股或者主导地位依法应当招标的项目等信息数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主动公开生产安全事故的政府举措、处置进展、风险预警、防范措施等信息数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主动公开农用地转为建设用地批准、征收集体土地批准、征地公告征地补偿安置公示、集体土地征收结案等信息数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60"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主动公开政府指导价、政府定价和收费标准调整的项目、价格、依据、执行时间和范围等信息数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360"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主动公开本市企业信用信息系统中的警示信息和良好信息等信息数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主动公开政府部门预算执行审计结果等信息数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主动公开行政机关对与人民群众利益密切相关的公共企事业单位进行监督管理的信息数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主动公开市人民政府决定主动公开的其他信息数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（三）通过不同渠道和方式公开政府信息的情况</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1.政府公报公开政府信息数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2.政府网站公开政府信息数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132</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3.政务微博公开政府信息数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4.政务微信公开政府信息数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5.其他方式公开政府信息数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条</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二、回应解读情况</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（一）回应公众关注热点或重大舆情数（不同方式回应同一热点或舆情计1次）</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（二）通过不同渠道和方式回应解读的情况</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1.参加或举办新闻发布会总次数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其中：主要负责同志参加新闻发布会次数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2.政府网站在线访谈次数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其中：主要负责同志参加政府网站在线访谈次数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3.政策解读稿件发布数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篇</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4.微博微信回应事件数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5.其他方式回应事件数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三、依申请公开情况</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（一）收到申请数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69</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1.当面申请数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43</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2.传真申请数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3.网络申请数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7</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4.信函申请数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19</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（二）申请办结数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68</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1.按时办结数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65</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2.延期办结数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（三）申请答复数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68</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1.属于已主动公开范围数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2.同意公开答复数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32</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3.同意部分公开答复数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4.不同意公开答复数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其中：涉及国家秘密</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涉及商业秘密</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涉及个人隐私</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危及国家安全、公共安全、经济安全和社会稳定</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不是《条例》所指政府信息</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3</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法律法规规定的其他情形</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5.不属于本行政机关公开数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5</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6.申请信息不存在数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22</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7.告知作出更改补充数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4</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8.告知通过其他途径办理数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四、行政复议数量</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（一）维持具体行政行为数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（二）被依法纠错数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（三）其他情形数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五、行政诉讼数量</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0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（一）维持具体行政行为或者驳回原告诉讼请求数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（二）被依法纠错数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（三）其他情形数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六、举报投诉数量</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件</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七、依申请公开信息收取的费用</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元</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hint="eastAsia" w:ascii="Arial" w:hAnsi="Arial" w:eastAsia="宋体" w:cs="Arial"/>
                <w:kern w:val="0"/>
                <w:sz w:val="20"/>
                <w:szCs w:val="20"/>
              </w:rPr>
              <w:t>0</w:t>
            </w:r>
            <w:r>
              <w:rPr>
                <w:rFonts w:ascii="Arial" w:hAnsi="Arial" w:eastAsia="宋体" w:cs="Arial"/>
                <w:kern w:val="0"/>
                <w:sz w:val="20"/>
                <w:szCs w:val="20"/>
              </w:rPr>
              <w:t>　</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八、机构建设和保障经费情况</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（一）政府信息公开工作专门机构数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个</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（二）设置政府信息公开查阅点数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个</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（三）从事政府信息公开工作人员数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人</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1.专职人员数（不包括政府公报及政府网站工作人员数）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人</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2.兼职人员数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人</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（四）政府信息公开专项经费（不包括用于政府公报编辑管理及政府网站建设维护等方面的经费）</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元</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九、政府信息公开会议和培训情况</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　</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（一）召开政府信息公开工作会议或专题会议数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次</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（二）举办各类培训班数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次</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0</w:t>
            </w:r>
          </w:p>
        </w:tc>
      </w:tr>
      <w:tr>
        <w:tblPrEx>
          <w:tblCellMar>
            <w:top w:w="0" w:type="dxa"/>
            <w:left w:w="108" w:type="dxa"/>
            <w:bottom w:w="0" w:type="dxa"/>
            <w:right w:w="108" w:type="dxa"/>
          </w:tblCellMar>
        </w:tblPrEx>
        <w:trPr>
          <w:trHeight w:val="435" w:hRule="atLeast"/>
        </w:trPr>
        <w:tc>
          <w:tcPr>
            <w:tcW w:w="6349" w:type="dxa"/>
            <w:tcBorders>
              <w:top w:val="nil"/>
              <w:left w:val="single" w:color="000000" w:sz="4" w:space="0"/>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 xml:space="preserve">  （三）接受培训人员数</w:t>
            </w:r>
          </w:p>
        </w:tc>
        <w:tc>
          <w:tcPr>
            <w:tcW w:w="852" w:type="dxa"/>
            <w:tcBorders>
              <w:top w:val="nil"/>
              <w:left w:val="nil"/>
              <w:bottom w:val="single" w:color="000000" w:sz="4" w:space="0"/>
              <w:right w:val="single" w:color="000000" w:sz="4" w:space="0"/>
            </w:tcBorders>
            <w:shd w:val="clear" w:color="000000" w:fill="FFFFFF"/>
            <w:vAlign w:val="center"/>
          </w:tcPr>
          <w:p>
            <w:pPr>
              <w:widowControl/>
              <w:jc w:val="center"/>
              <w:rPr>
                <w:rFonts w:ascii="Arial" w:hAnsi="Arial" w:eastAsia="宋体" w:cs="Arial"/>
                <w:kern w:val="0"/>
                <w:sz w:val="20"/>
                <w:szCs w:val="20"/>
              </w:rPr>
            </w:pPr>
            <w:r>
              <w:rPr>
                <w:rFonts w:ascii="Arial" w:hAnsi="Arial" w:eastAsia="宋体" w:cs="Arial"/>
                <w:kern w:val="0"/>
                <w:sz w:val="20"/>
                <w:szCs w:val="20"/>
              </w:rPr>
              <w:t>人次</w:t>
            </w:r>
          </w:p>
        </w:tc>
        <w:tc>
          <w:tcPr>
            <w:tcW w:w="1070" w:type="dxa"/>
            <w:tcBorders>
              <w:top w:val="nil"/>
              <w:left w:val="nil"/>
              <w:bottom w:val="single" w:color="000000" w:sz="4" w:space="0"/>
              <w:right w:val="single" w:color="000000" w:sz="4" w:space="0"/>
            </w:tcBorders>
            <w:shd w:val="clear" w:color="auto" w:fill="auto"/>
            <w:noWrap/>
            <w:vAlign w:val="bottom"/>
          </w:tcPr>
          <w:p>
            <w:pPr>
              <w:widowControl/>
              <w:jc w:val="left"/>
              <w:rPr>
                <w:rFonts w:ascii="Arial" w:hAnsi="Arial" w:eastAsia="宋体" w:cs="Arial"/>
                <w:kern w:val="0"/>
                <w:sz w:val="20"/>
                <w:szCs w:val="20"/>
              </w:rPr>
            </w:pPr>
            <w:r>
              <w:rPr>
                <w:rFonts w:ascii="Arial" w:hAnsi="Arial" w:eastAsia="宋体" w:cs="Arial"/>
                <w:kern w:val="0"/>
                <w:sz w:val="20"/>
                <w:szCs w:val="20"/>
              </w:rPr>
              <w:t>10</w:t>
            </w:r>
          </w:p>
        </w:tc>
      </w:tr>
      <w:bookmarkEnd w:id="0"/>
    </w:tbl>
    <w:p>
      <w:pPr>
        <w:widowControl/>
        <w:shd w:val="clear" w:color="auto" w:fill="FFFFFF"/>
        <w:spacing w:before="225" w:after="100" w:afterAutospacing="1" w:line="560" w:lineRule="exact"/>
        <w:ind w:firstLine="640" w:firstLineChars="200"/>
        <w:rPr>
          <w:rFonts w:ascii="仿宋_GB2312" w:hAnsi="Calibri" w:eastAsia="仿宋_GB2312" w:cs="Times New Roman"/>
          <w:color w:val="50505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roman"/>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wZmZjOTc5NTQ5YTFkN2NhZTc2MzE3OWJhYjZhMTYifQ=="/>
    <w:docVar w:name="KSO_WPS_MARK_KEY" w:val="28a7ace8-8694-4b61-a6e6-f6a06f71ee0f"/>
  </w:docVars>
  <w:rsids>
    <w:rsidRoot w:val="00164824"/>
    <w:rsid w:val="0000163E"/>
    <w:rsid w:val="00005F66"/>
    <w:rsid w:val="000213AA"/>
    <w:rsid w:val="00025B00"/>
    <w:rsid w:val="000466CA"/>
    <w:rsid w:val="0004742A"/>
    <w:rsid w:val="00047A97"/>
    <w:rsid w:val="00066FB9"/>
    <w:rsid w:val="0007065C"/>
    <w:rsid w:val="00072AF7"/>
    <w:rsid w:val="00081029"/>
    <w:rsid w:val="00081F3B"/>
    <w:rsid w:val="000971F1"/>
    <w:rsid w:val="000C0762"/>
    <w:rsid w:val="000C1583"/>
    <w:rsid w:val="000C2C35"/>
    <w:rsid w:val="000C2F37"/>
    <w:rsid w:val="000C4E23"/>
    <w:rsid w:val="000C4E52"/>
    <w:rsid w:val="000D16CD"/>
    <w:rsid w:val="000D6BE2"/>
    <w:rsid w:val="000D7E3B"/>
    <w:rsid w:val="000E648F"/>
    <w:rsid w:val="000F47EB"/>
    <w:rsid w:val="00103024"/>
    <w:rsid w:val="0010585D"/>
    <w:rsid w:val="00147800"/>
    <w:rsid w:val="00154F1B"/>
    <w:rsid w:val="00162EC9"/>
    <w:rsid w:val="0016370E"/>
    <w:rsid w:val="00164824"/>
    <w:rsid w:val="0016658B"/>
    <w:rsid w:val="001731B1"/>
    <w:rsid w:val="00175318"/>
    <w:rsid w:val="00181998"/>
    <w:rsid w:val="00181A10"/>
    <w:rsid w:val="00184DA4"/>
    <w:rsid w:val="00185701"/>
    <w:rsid w:val="00190FA1"/>
    <w:rsid w:val="00191C8E"/>
    <w:rsid w:val="001A0CB4"/>
    <w:rsid w:val="001A17FC"/>
    <w:rsid w:val="001A1E4A"/>
    <w:rsid w:val="001A3124"/>
    <w:rsid w:val="001A792E"/>
    <w:rsid w:val="001B16AB"/>
    <w:rsid w:val="001B6AB6"/>
    <w:rsid w:val="001D16F9"/>
    <w:rsid w:val="001D429B"/>
    <w:rsid w:val="001E018E"/>
    <w:rsid w:val="001E318A"/>
    <w:rsid w:val="00204371"/>
    <w:rsid w:val="0021737C"/>
    <w:rsid w:val="00221E48"/>
    <w:rsid w:val="002232B7"/>
    <w:rsid w:val="002265D9"/>
    <w:rsid w:val="00235D52"/>
    <w:rsid w:val="00245847"/>
    <w:rsid w:val="0024641D"/>
    <w:rsid w:val="002622B9"/>
    <w:rsid w:val="00264D8C"/>
    <w:rsid w:val="00270997"/>
    <w:rsid w:val="002778EE"/>
    <w:rsid w:val="002A3EBB"/>
    <w:rsid w:val="002A6AF3"/>
    <w:rsid w:val="002B7764"/>
    <w:rsid w:val="002D21E8"/>
    <w:rsid w:val="002D48C4"/>
    <w:rsid w:val="002F162C"/>
    <w:rsid w:val="002F36CD"/>
    <w:rsid w:val="003052DF"/>
    <w:rsid w:val="00314FB1"/>
    <w:rsid w:val="00321BB1"/>
    <w:rsid w:val="00327148"/>
    <w:rsid w:val="003364A3"/>
    <w:rsid w:val="00350E11"/>
    <w:rsid w:val="003534DB"/>
    <w:rsid w:val="003540F5"/>
    <w:rsid w:val="003740DC"/>
    <w:rsid w:val="00377E42"/>
    <w:rsid w:val="00391691"/>
    <w:rsid w:val="003A62D5"/>
    <w:rsid w:val="003C08EA"/>
    <w:rsid w:val="003C5A3B"/>
    <w:rsid w:val="003C5F88"/>
    <w:rsid w:val="003C6FD2"/>
    <w:rsid w:val="003D124F"/>
    <w:rsid w:val="003D16B6"/>
    <w:rsid w:val="003D6A71"/>
    <w:rsid w:val="003F37B3"/>
    <w:rsid w:val="00405804"/>
    <w:rsid w:val="0041032F"/>
    <w:rsid w:val="00412265"/>
    <w:rsid w:val="0041589F"/>
    <w:rsid w:val="00417294"/>
    <w:rsid w:val="004223B1"/>
    <w:rsid w:val="004306A5"/>
    <w:rsid w:val="004309F2"/>
    <w:rsid w:val="004310FC"/>
    <w:rsid w:val="004340F0"/>
    <w:rsid w:val="00440276"/>
    <w:rsid w:val="00440921"/>
    <w:rsid w:val="00447340"/>
    <w:rsid w:val="00450A6D"/>
    <w:rsid w:val="00464CB8"/>
    <w:rsid w:val="00466024"/>
    <w:rsid w:val="004662C8"/>
    <w:rsid w:val="00471507"/>
    <w:rsid w:val="00471988"/>
    <w:rsid w:val="00474EC6"/>
    <w:rsid w:val="004862E4"/>
    <w:rsid w:val="00486677"/>
    <w:rsid w:val="004B5E4F"/>
    <w:rsid w:val="004B7149"/>
    <w:rsid w:val="004C3821"/>
    <w:rsid w:val="004D595D"/>
    <w:rsid w:val="004E3C59"/>
    <w:rsid w:val="004F1EF6"/>
    <w:rsid w:val="005034A8"/>
    <w:rsid w:val="00505A2C"/>
    <w:rsid w:val="00507714"/>
    <w:rsid w:val="00512782"/>
    <w:rsid w:val="00517EF3"/>
    <w:rsid w:val="0052312F"/>
    <w:rsid w:val="00523DE7"/>
    <w:rsid w:val="00555792"/>
    <w:rsid w:val="005562A7"/>
    <w:rsid w:val="00566E2E"/>
    <w:rsid w:val="0057407F"/>
    <w:rsid w:val="00583AB2"/>
    <w:rsid w:val="00583BE1"/>
    <w:rsid w:val="00585EFB"/>
    <w:rsid w:val="00586E48"/>
    <w:rsid w:val="0059440D"/>
    <w:rsid w:val="005A692E"/>
    <w:rsid w:val="005B19DB"/>
    <w:rsid w:val="005C6947"/>
    <w:rsid w:val="005D06A8"/>
    <w:rsid w:val="005D567B"/>
    <w:rsid w:val="005D6740"/>
    <w:rsid w:val="005E620E"/>
    <w:rsid w:val="006104D5"/>
    <w:rsid w:val="00611E0A"/>
    <w:rsid w:val="0062549B"/>
    <w:rsid w:val="006265B3"/>
    <w:rsid w:val="006266EE"/>
    <w:rsid w:val="00627781"/>
    <w:rsid w:val="006303E9"/>
    <w:rsid w:val="00644660"/>
    <w:rsid w:val="006524F4"/>
    <w:rsid w:val="00655467"/>
    <w:rsid w:val="006556AC"/>
    <w:rsid w:val="006613F7"/>
    <w:rsid w:val="006617BC"/>
    <w:rsid w:val="006734D8"/>
    <w:rsid w:val="00683808"/>
    <w:rsid w:val="00694917"/>
    <w:rsid w:val="006A02E2"/>
    <w:rsid w:val="006A381E"/>
    <w:rsid w:val="006A3B75"/>
    <w:rsid w:val="006A4187"/>
    <w:rsid w:val="006B2FCB"/>
    <w:rsid w:val="006B72C2"/>
    <w:rsid w:val="006C3738"/>
    <w:rsid w:val="006C4B13"/>
    <w:rsid w:val="006C64A2"/>
    <w:rsid w:val="006D7545"/>
    <w:rsid w:val="006E3752"/>
    <w:rsid w:val="006E56E9"/>
    <w:rsid w:val="006F02E5"/>
    <w:rsid w:val="006F3930"/>
    <w:rsid w:val="00710CCE"/>
    <w:rsid w:val="0071143D"/>
    <w:rsid w:val="00715628"/>
    <w:rsid w:val="00717FA7"/>
    <w:rsid w:val="0072315E"/>
    <w:rsid w:val="0072693A"/>
    <w:rsid w:val="00731437"/>
    <w:rsid w:val="00734CF6"/>
    <w:rsid w:val="00745E9F"/>
    <w:rsid w:val="0074798E"/>
    <w:rsid w:val="00747E4B"/>
    <w:rsid w:val="00754A50"/>
    <w:rsid w:val="007567D0"/>
    <w:rsid w:val="00764357"/>
    <w:rsid w:val="00767C79"/>
    <w:rsid w:val="00770D62"/>
    <w:rsid w:val="00772615"/>
    <w:rsid w:val="0079741A"/>
    <w:rsid w:val="007A335B"/>
    <w:rsid w:val="007A42CE"/>
    <w:rsid w:val="007A63B8"/>
    <w:rsid w:val="007A786E"/>
    <w:rsid w:val="007D33CC"/>
    <w:rsid w:val="007E0992"/>
    <w:rsid w:val="007E5C69"/>
    <w:rsid w:val="007E7E7A"/>
    <w:rsid w:val="007F6E1C"/>
    <w:rsid w:val="0080324D"/>
    <w:rsid w:val="00804FED"/>
    <w:rsid w:val="00812752"/>
    <w:rsid w:val="00815F85"/>
    <w:rsid w:val="00816CDB"/>
    <w:rsid w:val="00821A15"/>
    <w:rsid w:val="008226A0"/>
    <w:rsid w:val="00842153"/>
    <w:rsid w:val="00843F83"/>
    <w:rsid w:val="00846BDC"/>
    <w:rsid w:val="008542DF"/>
    <w:rsid w:val="00855E3D"/>
    <w:rsid w:val="00860C9F"/>
    <w:rsid w:val="00873515"/>
    <w:rsid w:val="00881B36"/>
    <w:rsid w:val="00881CCF"/>
    <w:rsid w:val="00883927"/>
    <w:rsid w:val="008954FC"/>
    <w:rsid w:val="008A712F"/>
    <w:rsid w:val="008B3836"/>
    <w:rsid w:val="008C6396"/>
    <w:rsid w:val="008D0F53"/>
    <w:rsid w:val="008D7A28"/>
    <w:rsid w:val="0090654C"/>
    <w:rsid w:val="00911D06"/>
    <w:rsid w:val="0091746B"/>
    <w:rsid w:val="009422F9"/>
    <w:rsid w:val="00952D8C"/>
    <w:rsid w:val="00953B31"/>
    <w:rsid w:val="00954244"/>
    <w:rsid w:val="00967C57"/>
    <w:rsid w:val="009729F2"/>
    <w:rsid w:val="00972B5E"/>
    <w:rsid w:val="00973FF3"/>
    <w:rsid w:val="00976D30"/>
    <w:rsid w:val="00993FCC"/>
    <w:rsid w:val="009951F6"/>
    <w:rsid w:val="009B0E6F"/>
    <w:rsid w:val="009B6098"/>
    <w:rsid w:val="009D5201"/>
    <w:rsid w:val="009E1F6C"/>
    <w:rsid w:val="009E382C"/>
    <w:rsid w:val="009E4269"/>
    <w:rsid w:val="00A038F6"/>
    <w:rsid w:val="00A03AB1"/>
    <w:rsid w:val="00A03B34"/>
    <w:rsid w:val="00A11121"/>
    <w:rsid w:val="00A17115"/>
    <w:rsid w:val="00A221A7"/>
    <w:rsid w:val="00A226D2"/>
    <w:rsid w:val="00A4212E"/>
    <w:rsid w:val="00A460E5"/>
    <w:rsid w:val="00A77AA6"/>
    <w:rsid w:val="00A900AE"/>
    <w:rsid w:val="00A920A8"/>
    <w:rsid w:val="00A96CC5"/>
    <w:rsid w:val="00AA1540"/>
    <w:rsid w:val="00AA16BA"/>
    <w:rsid w:val="00AC18D7"/>
    <w:rsid w:val="00AC6183"/>
    <w:rsid w:val="00B063C6"/>
    <w:rsid w:val="00B11C60"/>
    <w:rsid w:val="00B13A9A"/>
    <w:rsid w:val="00B200CA"/>
    <w:rsid w:val="00B268FA"/>
    <w:rsid w:val="00B27D50"/>
    <w:rsid w:val="00B357B7"/>
    <w:rsid w:val="00B41B02"/>
    <w:rsid w:val="00B422DE"/>
    <w:rsid w:val="00B647AB"/>
    <w:rsid w:val="00B67B6C"/>
    <w:rsid w:val="00B70A20"/>
    <w:rsid w:val="00B72C2A"/>
    <w:rsid w:val="00B72C46"/>
    <w:rsid w:val="00B757A0"/>
    <w:rsid w:val="00B87860"/>
    <w:rsid w:val="00B91C1F"/>
    <w:rsid w:val="00B92388"/>
    <w:rsid w:val="00B952D0"/>
    <w:rsid w:val="00B969BB"/>
    <w:rsid w:val="00BA6013"/>
    <w:rsid w:val="00BA7342"/>
    <w:rsid w:val="00BB1F28"/>
    <w:rsid w:val="00BB5511"/>
    <w:rsid w:val="00BC5774"/>
    <w:rsid w:val="00BD19D0"/>
    <w:rsid w:val="00BD74A1"/>
    <w:rsid w:val="00BF6E05"/>
    <w:rsid w:val="00BF7342"/>
    <w:rsid w:val="00C11CB6"/>
    <w:rsid w:val="00C11EC3"/>
    <w:rsid w:val="00C209BC"/>
    <w:rsid w:val="00C43D1B"/>
    <w:rsid w:val="00C6256A"/>
    <w:rsid w:val="00C70F85"/>
    <w:rsid w:val="00C74EBE"/>
    <w:rsid w:val="00C7793A"/>
    <w:rsid w:val="00C91017"/>
    <w:rsid w:val="00CA2033"/>
    <w:rsid w:val="00CA4A5D"/>
    <w:rsid w:val="00CA795B"/>
    <w:rsid w:val="00CB393A"/>
    <w:rsid w:val="00CB4FB4"/>
    <w:rsid w:val="00CB6D80"/>
    <w:rsid w:val="00CC6318"/>
    <w:rsid w:val="00CD2B4A"/>
    <w:rsid w:val="00CD72A2"/>
    <w:rsid w:val="00CE4096"/>
    <w:rsid w:val="00CF5213"/>
    <w:rsid w:val="00D00BA3"/>
    <w:rsid w:val="00D11DF8"/>
    <w:rsid w:val="00D33AAF"/>
    <w:rsid w:val="00D44DE6"/>
    <w:rsid w:val="00D55BE7"/>
    <w:rsid w:val="00D56973"/>
    <w:rsid w:val="00D61BAB"/>
    <w:rsid w:val="00D74D93"/>
    <w:rsid w:val="00D911F6"/>
    <w:rsid w:val="00D93A61"/>
    <w:rsid w:val="00D96F10"/>
    <w:rsid w:val="00DA54B2"/>
    <w:rsid w:val="00DA7B70"/>
    <w:rsid w:val="00DB2978"/>
    <w:rsid w:val="00DB44CA"/>
    <w:rsid w:val="00DB7D01"/>
    <w:rsid w:val="00DC2C5C"/>
    <w:rsid w:val="00DC304E"/>
    <w:rsid w:val="00DD556D"/>
    <w:rsid w:val="00DE031E"/>
    <w:rsid w:val="00DE1300"/>
    <w:rsid w:val="00DE3DD2"/>
    <w:rsid w:val="00DF23BF"/>
    <w:rsid w:val="00DF6DB8"/>
    <w:rsid w:val="00DF6FBC"/>
    <w:rsid w:val="00E07E77"/>
    <w:rsid w:val="00E129D9"/>
    <w:rsid w:val="00E16373"/>
    <w:rsid w:val="00E228D5"/>
    <w:rsid w:val="00E41AEB"/>
    <w:rsid w:val="00E4546B"/>
    <w:rsid w:val="00E51FFB"/>
    <w:rsid w:val="00E72435"/>
    <w:rsid w:val="00E72C87"/>
    <w:rsid w:val="00E80237"/>
    <w:rsid w:val="00E8496E"/>
    <w:rsid w:val="00EA5698"/>
    <w:rsid w:val="00EB4A58"/>
    <w:rsid w:val="00EC1F62"/>
    <w:rsid w:val="00EC72F8"/>
    <w:rsid w:val="00ED25CA"/>
    <w:rsid w:val="00ED5FE2"/>
    <w:rsid w:val="00EE174F"/>
    <w:rsid w:val="00F01F7A"/>
    <w:rsid w:val="00F0787E"/>
    <w:rsid w:val="00F36F59"/>
    <w:rsid w:val="00F41F11"/>
    <w:rsid w:val="00F437BD"/>
    <w:rsid w:val="00F4536F"/>
    <w:rsid w:val="00F47726"/>
    <w:rsid w:val="00F62BAE"/>
    <w:rsid w:val="00F64487"/>
    <w:rsid w:val="00F7675A"/>
    <w:rsid w:val="00F83756"/>
    <w:rsid w:val="00F83E3B"/>
    <w:rsid w:val="00F95F90"/>
    <w:rsid w:val="00FA157A"/>
    <w:rsid w:val="00FB5499"/>
    <w:rsid w:val="00FB7370"/>
    <w:rsid w:val="00FC3A72"/>
    <w:rsid w:val="00FC6B5B"/>
    <w:rsid w:val="00FD052F"/>
    <w:rsid w:val="00FD57B7"/>
    <w:rsid w:val="00FD5973"/>
    <w:rsid w:val="00FF4647"/>
    <w:rsid w:val="00FF76E2"/>
    <w:rsid w:val="577A3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5"/>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uiPriority w:val="99"/>
    <w:rPr>
      <w:color w:val="0000FF"/>
      <w:u w:val="single"/>
    </w:rPr>
  </w:style>
  <w:style w:type="character" w:customStyle="1" w:styleId="11">
    <w:name w:val="页眉 Char"/>
    <w:basedOn w:val="8"/>
    <w:link w:val="5"/>
    <w:uiPriority w:val="99"/>
    <w:rPr>
      <w:sz w:val="18"/>
      <w:szCs w:val="18"/>
    </w:rPr>
  </w:style>
  <w:style w:type="character" w:customStyle="1" w:styleId="12">
    <w:name w:val="页脚 Char"/>
    <w:basedOn w:val="8"/>
    <w:link w:val="4"/>
    <w:uiPriority w:val="99"/>
    <w:rPr>
      <w:sz w:val="18"/>
      <w:szCs w:val="18"/>
    </w:rPr>
  </w:style>
  <w:style w:type="character" w:customStyle="1" w:styleId="13">
    <w:name w:val="标题 2 Char"/>
    <w:basedOn w:val="8"/>
    <w:link w:val="2"/>
    <w:uiPriority w:val="9"/>
    <w:rPr>
      <w:rFonts w:ascii="宋体" w:hAnsi="宋体" w:eastAsia="宋体" w:cs="宋体"/>
      <w:b/>
      <w:bCs/>
      <w:kern w:val="0"/>
      <w:sz w:val="36"/>
      <w:szCs w:val="36"/>
    </w:rPr>
  </w:style>
  <w:style w:type="paragraph" w:customStyle="1" w:styleId="14">
    <w:name w:val="Defaul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15">
    <w:name w:val="批注框文本 Char"/>
    <w:basedOn w:val="8"/>
    <w:link w:val="3"/>
    <w:semiHidden/>
    <w:uiPriority w:val="99"/>
    <w:rPr>
      <w:sz w:val="18"/>
      <w:szCs w:val="18"/>
    </w:rPr>
  </w:style>
  <w:style w:type="paragraph" w:styleId="1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4D58B-7C06-49C4-A259-BA386FC0A86C}">
  <ds:schemaRefs/>
</ds:datastoreItem>
</file>

<file path=docProps/app.xml><?xml version="1.0" encoding="utf-8"?>
<Properties xmlns="http://schemas.openxmlformats.org/officeDocument/2006/extended-properties" xmlns:vt="http://schemas.openxmlformats.org/officeDocument/2006/docPropsVTypes">
  <Template>Normal</Template>
  <Pages>11</Pages>
  <Words>4904</Words>
  <Characters>5115</Characters>
  <Lines>42</Lines>
  <Paragraphs>11</Paragraphs>
  <TotalTime>686</TotalTime>
  <ScaleCrop>false</ScaleCrop>
  <LinksUpToDate>false</LinksUpToDate>
  <CharactersWithSpaces>5570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2019-02-11T01:24:00Z</dcterms:created>
  <dc:creator>asus</dc:creator>
  <cp:lastModifiedBy>血月舞殇</cp:lastModifiedBy>
  <cp:lastPrinted>2019-02-15T03:29:00Z</cp:lastPrinted>
  <dcterms:modified xsi:type="dcterms:W3CDTF">2024-10-31T01:36:48Z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8B310484CE72442FBE62F9FF3BCE158F</vt:lpwstr>
  </property>
</Properties>
</file>