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北京市丰台区教育委员会</w:t>
      </w:r>
    </w:p>
    <w:p>
      <w:pPr>
        <w:spacing w:line="560" w:lineRule="exact"/>
        <w:jc w:val="center"/>
        <w:rPr>
          <w:sz w:val="44"/>
          <w:szCs w:val="44"/>
        </w:rPr>
      </w:pPr>
      <w:r>
        <w:rPr>
          <w:rFonts w:hint="eastAsia" w:ascii="方正小标宋简体" w:hAnsi="方正小标宋简体" w:eastAsia="方正小标宋简体" w:cs="方正小标宋简体"/>
          <w:sz w:val="44"/>
          <w:szCs w:val="44"/>
          <w:lang w:bidi="ar"/>
        </w:rPr>
        <w:t>2023年政府信息公开工作年度报告</w:t>
      </w: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widowControl/>
        <w:spacing w:line="560" w:lineRule="exact"/>
        <w:jc w:val="left"/>
        <w:rPr>
          <w:rFonts w:hint="eastAsia" w:ascii="微软雅黑" w:hAnsi="微软雅黑" w:eastAsia="微软雅黑" w:cs="宋体"/>
          <w:color w:val="404040"/>
          <w:kern w:val="0"/>
          <w:sz w:val="32"/>
          <w:szCs w:val="32"/>
          <w:lang w:bidi="ar"/>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2023年</w:t>
      </w:r>
      <w:r>
        <w:rPr>
          <w:rFonts w:hint="eastAsia" w:ascii="仿宋_GB2312" w:hAnsi="宋体" w:eastAsia="仿宋_GB2312" w:cs="宋体"/>
          <w:spacing w:val="8"/>
          <w:kern w:val="0"/>
          <w:sz w:val="32"/>
          <w:szCs w:val="32"/>
          <w:lang w:eastAsia="zh-CN" w:bidi="ar"/>
        </w:rPr>
        <w:t>，我委</w:t>
      </w:r>
      <w:r>
        <w:rPr>
          <w:rFonts w:hint="eastAsia" w:ascii="仿宋_GB2312" w:hAnsi="宋体" w:eastAsia="仿宋_GB2312" w:cs="宋体"/>
          <w:spacing w:val="8"/>
          <w:kern w:val="0"/>
          <w:sz w:val="32"/>
          <w:szCs w:val="32"/>
          <w:lang w:bidi="ar"/>
        </w:rPr>
        <w:t>坚持以习近平新时代中国特色社会主义思想为指导，全面学习党的二十大、二十届二中全会精神，贯彻习近平总书记关于加快建设教育强国的重要论述和市区重大决策部署，进一步落实立德树人根本任务，按照区政府</w:t>
      </w:r>
      <w:r>
        <w:rPr>
          <w:rFonts w:hint="eastAsia" w:ascii="仿宋_GB2312" w:hAnsi="宋体" w:eastAsia="仿宋_GB2312" w:cs="宋体"/>
          <w:spacing w:val="8"/>
          <w:kern w:val="0"/>
          <w:sz w:val="32"/>
          <w:szCs w:val="32"/>
          <w:lang w:eastAsia="zh-CN" w:bidi="ar"/>
        </w:rPr>
        <w:t>关于政府信息公开</w:t>
      </w:r>
      <w:r>
        <w:rPr>
          <w:rFonts w:hint="eastAsia" w:ascii="仿宋_GB2312" w:hAnsi="宋体" w:eastAsia="仿宋_GB2312" w:cs="宋体"/>
          <w:spacing w:val="8"/>
          <w:kern w:val="0"/>
          <w:sz w:val="32"/>
          <w:szCs w:val="32"/>
          <w:lang w:bidi="ar"/>
        </w:rPr>
        <w:t>工作</w:t>
      </w:r>
      <w:r>
        <w:rPr>
          <w:rFonts w:hint="eastAsia" w:ascii="仿宋_GB2312" w:hAnsi="宋体" w:eastAsia="仿宋_GB2312" w:cs="宋体"/>
          <w:spacing w:val="8"/>
          <w:kern w:val="0"/>
          <w:sz w:val="32"/>
          <w:szCs w:val="32"/>
          <w:lang w:eastAsia="zh-CN" w:bidi="ar"/>
        </w:rPr>
        <w:t>的</w:t>
      </w:r>
      <w:r>
        <w:rPr>
          <w:rFonts w:hint="eastAsia" w:ascii="仿宋_GB2312" w:hAnsi="宋体" w:eastAsia="仿宋_GB2312" w:cs="宋体"/>
          <w:spacing w:val="8"/>
          <w:kern w:val="0"/>
          <w:sz w:val="32"/>
          <w:szCs w:val="32"/>
          <w:lang w:bidi="ar"/>
        </w:rPr>
        <w:t>要求，</w:t>
      </w:r>
      <w:r>
        <w:rPr>
          <w:rFonts w:hint="eastAsia" w:ascii="仿宋_GB2312" w:hAnsi="宋体" w:eastAsia="仿宋_GB2312" w:cs="宋体"/>
          <w:spacing w:val="8"/>
          <w:kern w:val="0"/>
          <w:sz w:val="32"/>
          <w:szCs w:val="32"/>
          <w:lang w:eastAsia="zh-CN" w:bidi="ar"/>
        </w:rPr>
        <w:t>持续</w:t>
      </w:r>
      <w:r>
        <w:rPr>
          <w:rFonts w:hint="eastAsia" w:ascii="仿宋_GB2312" w:hAnsi="宋体" w:eastAsia="仿宋_GB2312" w:cs="宋体"/>
          <w:spacing w:val="8"/>
          <w:kern w:val="0"/>
          <w:sz w:val="32"/>
          <w:szCs w:val="32"/>
          <w:lang w:bidi="ar"/>
        </w:rPr>
        <w:t>推进教育领域</w:t>
      </w:r>
      <w:r>
        <w:rPr>
          <w:rFonts w:hint="eastAsia" w:ascii="仿宋_GB2312" w:hAnsi="宋体" w:eastAsia="仿宋_GB2312" w:cs="宋体"/>
          <w:spacing w:val="8"/>
          <w:kern w:val="0"/>
          <w:sz w:val="32"/>
          <w:szCs w:val="32"/>
          <w:lang w:eastAsia="zh-CN" w:bidi="ar"/>
        </w:rPr>
        <w:t>政府信息</w:t>
      </w:r>
      <w:r>
        <w:rPr>
          <w:rFonts w:hint="eastAsia" w:ascii="仿宋_GB2312" w:hAnsi="宋体" w:eastAsia="仿宋_GB2312" w:cs="宋体"/>
          <w:spacing w:val="8"/>
          <w:kern w:val="0"/>
          <w:sz w:val="32"/>
          <w:szCs w:val="32"/>
          <w:lang w:bidi="ar"/>
        </w:rPr>
        <w:t>公开，</w:t>
      </w:r>
      <w:r>
        <w:rPr>
          <w:rFonts w:hint="eastAsia" w:ascii="仿宋_GB2312" w:hAnsi="宋体" w:eastAsia="仿宋_GB2312" w:cs="宋体"/>
          <w:spacing w:val="8"/>
          <w:kern w:val="0"/>
          <w:sz w:val="32"/>
          <w:szCs w:val="32"/>
          <w:lang w:eastAsia="zh-CN" w:bidi="ar"/>
        </w:rPr>
        <w:t>将政府信息公开作为密切联系群众的重要桥梁，加强政府信息管理，</w:t>
      </w:r>
      <w:r>
        <w:rPr>
          <w:rFonts w:hint="eastAsia" w:ascii="仿宋_GB2312" w:hAnsi="宋体" w:eastAsia="仿宋_GB2312" w:cs="宋体"/>
          <w:spacing w:val="8"/>
          <w:kern w:val="0"/>
          <w:sz w:val="32"/>
          <w:szCs w:val="32"/>
          <w:lang w:bidi="ar"/>
        </w:rPr>
        <w:t>为推进丰台教育高质量发展提供有力支撑。</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38" w:firstLineChars="190"/>
        <w:textAlignment w:val="auto"/>
        <w:rPr>
          <w:rFonts w:hint="eastAsia" w:ascii="楷体_GB2312" w:hAnsi="楷体_GB2312" w:eastAsia="楷体_GB2312" w:cs="楷体_GB2312"/>
          <w:spacing w:val="8"/>
          <w:kern w:val="0"/>
          <w:sz w:val="32"/>
          <w:szCs w:val="32"/>
          <w:lang w:eastAsia="zh-CN" w:bidi="ar"/>
        </w:rPr>
      </w:pPr>
      <w:r>
        <w:rPr>
          <w:rFonts w:hint="eastAsia" w:ascii="楷体_GB2312" w:hAnsi="楷体_GB2312" w:eastAsia="楷体_GB2312" w:cs="楷体_GB2312"/>
          <w:spacing w:val="8"/>
          <w:kern w:val="0"/>
          <w:sz w:val="32"/>
          <w:szCs w:val="32"/>
          <w:lang w:eastAsia="zh-CN" w:bidi="ar"/>
        </w:rPr>
        <w:t>加强组织领导</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eastAsia"/>
          <w:sz w:val="32"/>
          <w:szCs w:val="32"/>
          <w:highlight w:val="yellow"/>
          <w:lang w:eastAsia="zh-CN"/>
        </w:rPr>
      </w:pPr>
      <w:r>
        <w:rPr>
          <w:rFonts w:hint="eastAsia" w:ascii="仿宋_GB2312" w:hAnsi="宋体" w:eastAsia="仿宋_GB2312" w:cs="宋体"/>
          <w:spacing w:val="8"/>
          <w:kern w:val="0"/>
          <w:sz w:val="32"/>
          <w:szCs w:val="32"/>
          <w:lang w:val="en-US" w:eastAsia="zh-CN" w:bidi="ar"/>
        </w:rPr>
        <w:t>加强机制建设，形成“主要领导亲自抓，分管领导具体抓，职能科室抓落实”的工作机制。落实主体责任，明确分工，形成以办公室牵头、各有关科室和部门为主体的联动体系，为区教委政府信息公开工作提供组织保障。</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38" w:firstLineChars="190"/>
        <w:textAlignment w:val="auto"/>
        <w:rPr>
          <w:rFonts w:hint="eastAsia" w:ascii="楷体_GB2312" w:hAnsi="楷体_GB2312" w:eastAsia="楷体_GB2312" w:cs="楷体_GB2312"/>
          <w:spacing w:val="8"/>
          <w:kern w:val="0"/>
          <w:sz w:val="32"/>
          <w:szCs w:val="32"/>
          <w:lang w:eastAsia="zh-CN" w:bidi="ar"/>
        </w:rPr>
      </w:pPr>
      <w:r>
        <w:rPr>
          <w:rFonts w:hint="eastAsia" w:ascii="楷体_GB2312" w:hAnsi="楷体_GB2312" w:eastAsia="楷体_GB2312" w:cs="楷体_GB2312"/>
          <w:spacing w:val="8"/>
          <w:kern w:val="0"/>
          <w:sz w:val="32"/>
          <w:szCs w:val="32"/>
          <w:lang w:eastAsia="zh-CN" w:bidi="ar"/>
        </w:rPr>
        <w:t>持续推进主动公开</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依据《政府信息公开条例》</w:t>
      </w:r>
      <w:r>
        <w:rPr>
          <w:rFonts w:hint="eastAsia" w:ascii="仿宋_GB2312" w:hAnsi="宋体" w:eastAsia="仿宋_GB2312" w:cs="宋体"/>
          <w:spacing w:val="8"/>
          <w:kern w:val="0"/>
          <w:sz w:val="32"/>
          <w:szCs w:val="32"/>
          <w:highlight w:val="none"/>
          <w:lang w:val="en-US" w:eastAsia="zh-CN" w:bidi="ar"/>
        </w:rPr>
        <w:t>、</w:t>
      </w:r>
      <w:r>
        <w:rPr>
          <w:rFonts w:hint="eastAsia" w:ascii="仿宋_GB2312" w:hAnsi="仿宋_GB2312" w:eastAsia="仿宋_GB2312" w:cs="仿宋_GB2312"/>
          <w:i w:val="0"/>
          <w:caps w:val="0"/>
          <w:color w:val="auto"/>
          <w:spacing w:val="0"/>
          <w:sz w:val="32"/>
          <w:szCs w:val="32"/>
          <w:highlight w:val="none"/>
          <w:shd w:val="clear" w:color="auto" w:fill="FFFFFF"/>
        </w:rPr>
        <w:t>《丰台区202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年政务公开工作要点》</w:t>
      </w:r>
      <w:r>
        <w:rPr>
          <w:rFonts w:hint="eastAsia" w:ascii="仿宋_GB2312" w:hAnsi="仿宋_GB2312" w:eastAsia="仿宋_GB2312" w:cs="仿宋_GB2312"/>
          <w:i w:val="0"/>
          <w:caps w:val="0"/>
          <w:color w:val="auto"/>
          <w:spacing w:val="0"/>
          <w:sz w:val="32"/>
          <w:szCs w:val="32"/>
          <w:highlight w:val="none"/>
          <w:shd w:val="clear" w:color="auto" w:fill="FFFFFF"/>
          <w:lang w:eastAsia="zh-CN"/>
        </w:rPr>
        <w:t>和政府信息主动</w:t>
      </w:r>
      <w:r>
        <w:rPr>
          <w:rFonts w:hint="eastAsia" w:ascii="仿宋_GB2312" w:hAnsi="仿宋_GB2312" w:eastAsia="仿宋_GB2312" w:cs="仿宋_GB2312"/>
          <w:i w:val="0"/>
          <w:caps w:val="0"/>
          <w:color w:val="auto"/>
          <w:spacing w:val="0"/>
          <w:sz w:val="32"/>
          <w:szCs w:val="32"/>
          <w:highlight w:val="none"/>
          <w:shd w:val="clear" w:color="auto" w:fill="FFFFFF"/>
        </w:rPr>
        <w:t>公开清单</w:t>
      </w:r>
      <w:r>
        <w:rPr>
          <w:rFonts w:hint="eastAsia" w:ascii="仿宋_GB2312" w:hAnsi="宋体" w:eastAsia="仿宋_GB2312" w:cs="宋体"/>
          <w:spacing w:val="8"/>
          <w:kern w:val="0"/>
          <w:sz w:val="32"/>
          <w:szCs w:val="32"/>
          <w:highlight w:val="none"/>
          <w:lang w:val="en-US" w:eastAsia="zh-CN" w:bidi="ar"/>
        </w:rPr>
        <w:t>，</w:t>
      </w:r>
      <w:r>
        <w:rPr>
          <w:rFonts w:hint="eastAsia" w:ascii="仿宋_GB2312" w:hAnsi="宋体" w:eastAsia="仿宋_GB2312" w:cs="宋体"/>
          <w:spacing w:val="8"/>
          <w:kern w:val="0"/>
          <w:sz w:val="32"/>
          <w:szCs w:val="32"/>
          <w:lang w:val="en-US" w:eastAsia="zh-CN" w:bidi="ar"/>
        </w:rPr>
        <w:t>围绕持续保障和改善民生，进一步加大主动公开力度，提升公开质量，稳步推进政府信息公开各项工作落位。</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38" w:firstLineChars="190"/>
        <w:textAlignment w:val="auto"/>
        <w:rPr>
          <w:rFonts w:hint="eastAsia" w:ascii="楷体_GB2312" w:hAnsi="楷体_GB2312" w:eastAsia="楷体_GB2312" w:cs="楷体_GB2312"/>
          <w:spacing w:val="8"/>
          <w:kern w:val="0"/>
          <w:sz w:val="32"/>
          <w:szCs w:val="32"/>
          <w:lang w:eastAsia="zh-CN" w:bidi="ar"/>
        </w:rPr>
      </w:pPr>
      <w:r>
        <w:rPr>
          <w:rFonts w:hint="eastAsia" w:ascii="楷体_GB2312" w:hAnsi="楷体_GB2312" w:eastAsia="楷体_GB2312" w:cs="楷体_GB2312"/>
          <w:spacing w:val="8"/>
          <w:kern w:val="0"/>
          <w:sz w:val="32"/>
          <w:szCs w:val="32"/>
          <w:lang w:eastAsia="zh-CN" w:bidi="ar"/>
        </w:rPr>
        <w:t>规范依申请公开办理</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2023年共收到申请15件，上年结转1件。通过加强单位内部科室部门研究会商，14件已在规定时间内答复完毕，做到规范受理、依法研判、及时处理、精准答复，结转办理2件。未发生信息公开相关行政复议或诉讼。</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38" w:firstLineChars="190"/>
        <w:textAlignment w:val="auto"/>
        <w:rPr>
          <w:rFonts w:hint="eastAsia" w:ascii="楷体_GB2312" w:hAnsi="楷体_GB2312" w:eastAsia="楷体_GB2312" w:cs="楷体_GB2312"/>
          <w:spacing w:val="8"/>
          <w:kern w:val="0"/>
          <w:sz w:val="32"/>
          <w:szCs w:val="32"/>
          <w:lang w:eastAsia="zh-CN" w:bidi="ar"/>
        </w:rPr>
      </w:pPr>
      <w:r>
        <w:rPr>
          <w:rFonts w:hint="eastAsia" w:ascii="楷体_GB2312" w:hAnsi="楷体_GB2312" w:eastAsia="楷体_GB2312" w:cs="楷体_GB2312"/>
          <w:spacing w:val="8"/>
          <w:kern w:val="0"/>
          <w:sz w:val="32"/>
          <w:szCs w:val="32"/>
          <w:lang w:eastAsia="zh-CN" w:bidi="ar"/>
        </w:rPr>
        <w:t>加强政府信息管理</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明确政府信息公开责任分工，将主动公开清单作为公开政府信息的重要依据，对政府信息实行动态管理。严格落实政府信息发布审核制度，遵循“先审核、后公开”，“谁主管、谁负责；谁公开、谁审查”的原则，未经审核的信息一律不准公开，坚决杜绝涉密信息上网，确保公民个人隐私和敏感信息不泄露。</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38" w:firstLineChars="190"/>
        <w:textAlignment w:val="auto"/>
        <w:rPr>
          <w:rFonts w:hint="eastAsia" w:ascii="楷体_GB2312" w:hAnsi="楷体_GB2312" w:eastAsia="楷体_GB2312" w:cs="楷体_GB2312"/>
          <w:spacing w:val="8"/>
          <w:kern w:val="0"/>
          <w:sz w:val="32"/>
          <w:szCs w:val="32"/>
          <w:lang w:eastAsia="zh-CN" w:bidi="ar"/>
        </w:rPr>
      </w:pPr>
      <w:r>
        <w:rPr>
          <w:rFonts w:hint="eastAsia" w:ascii="楷体_GB2312" w:hAnsi="楷体_GB2312" w:eastAsia="楷体_GB2312" w:cs="楷体_GB2312"/>
          <w:spacing w:val="8"/>
          <w:kern w:val="0"/>
          <w:sz w:val="32"/>
          <w:szCs w:val="32"/>
          <w:lang w:eastAsia="zh-CN" w:bidi="ar"/>
        </w:rPr>
        <w:t>做好政府信息公开平台建设维护</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在区政府网站、“丰台教育”公众号发布教育信息，方便查阅，在丰台区招生考试中心网站发布入学、转学、考试等信息。按要求及时做好栏目维护及内容更新工作。</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38" w:firstLineChars="190"/>
        <w:textAlignment w:val="auto"/>
        <w:rPr>
          <w:rFonts w:hint="eastAsia" w:ascii="楷体_GB2312" w:hAnsi="楷体_GB2312" w:eastAsia="楷体_GB2312" w:cs="楷体_GB2312"/>
          <w:spacing w:val="8"/>
          <w:kern w:val="0"/>
          <w:sz w:val="32"/>
          <w:szCs w:val="32"/>
          <w:lang w:eastAsia="zh-CN" w:bidi="ar"/>
        </w:rPr>
      </w:pPr>
      <w:r>
        <w:rPr>
          <w:rFonts w:hint="eastAsia" w:ascii="楷体_GB2312" w:hAnsi="楷体_GB2312" w:eastAsia="楷体_GB2312" w:cs="楷体_GB2312"/>
          <w:spacing w:val="8"/>
          <w:kern w:val="0"/>
          <w:sz w:val="32"/>
          <w:szCs w:val="32"/>
          <w:lang w:eastAsia="zh-CN" w:bidi="ar"/>
        </w:rPr>
        <w:t>教育培训及监督保障情况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lang w:val="en-US" w:eastAsia="zh-CN"/>
        </w:rPr>
        <w:t>按要求参与区级部门组织的政府信息公开培训会。围绕《政府信息公开条例》开展工作部署，</w:t>
      </w:r>
      <w:r>
        <w:rPr>
          <w:rFonts w:hint="eastAsia" w:ascii="仿宋_GB2312" w:hAnsi="宋体" w:eastAsia="仿宋_GB2312" w:cs="宋体"/>
          <w:color w:val="auto"/>
          <w:kern w:val="0"/>
          <w:sz w:val="32"/>
          <w:szCs w:val="32"/>
          <w:highlight w:val="none"/>
          <w:lang w:eastAsia="zh-CN"/>
        </w:rPr>
        <w:t>将</w:t>
      </w:r>
      <w:r>
        <w:rPr>
          <w:rFonts w:hint="eastAsia" w:ascii="仿宋_GB2312" w:hAnsi="宋体" w:eastAsia="仿宋_GB2312" w:cs="宋体"/>
          <w:color w:val="auto"/>
          <w:kern w:val="0"/>
          <w:sz w:val="32"/>
          <w:szCs w:val="32"/>
          <w:highlight w:val="none"/>
        </w:rPr>
        <w:t>政府信息公开工作纳入机关业务培训重要内容，</w:t>
      </w:r>
      <w:r>
        <w:rPr>
          <w:rFonts w:hint="eastAsia" w:ascii="仿宋_GB2312" w:hAnsi="宋体" w:eastAsia="仿宋_GB2312" w:cs="宋体"/>
          <w:color w:val="auto"/>
          <w:kern w:val="0"/>
          <w:sz w:val="32"/>
          <w:szCs w:val="32"/>
          <w:highlight w:val="none"/>
          <w:lang w:eastAsia="zh-CN"/>
        </w:rPr>
        <w:t>邀请单位</w:t>
      </w:r>
      <w:r>
        <w:rPr>
          <w:rFonts w:hint="eastAsia" w:ascii="仿宋_GB2312" w:hAnsi="宋体" w:eastAsia="仿宋_GB2312" w:cs="宋体"/>
          <w:color w:val="auto"/>
          <w:kern w:val="0"/>
          <w:sz w:val="32"/>
          <w:szCs w:val="32"/>
          <w:highlight w:val="none"/>
        </w:rPr>
        <w:t>法律顾问对具体承接依申请公开事项的承办</w:t>
      </w:r>
      <w:r>
        <w:rPr>
          <w:rFonts w:hint="eastAsia" w:ascii="仿宋_GB2312" w:hAnsi="宋体" w:eastAsia="仿宋_GB2312" w:cs="宋体"/>
          <w:color w:val="auto"/>
          <w:kern w:val="0"/>
          <w:sz w:val="32"/>
          <w:szCs w:val="32"/>
          <w:highlight w:val="none"/>
          <w:lang w:eastAsia="zh-CN"/>
        </w:rPr>
        <w:t>科室和部门进行培训，</w:t>
      </w:r>
      <w:r>
        <w:rPr>
          <w:rFonts w:hint="eastAsia" w:ascii="仿宋_GB2312" w:hAnsi="宋体" w:eastAsia="仿宋_GB2312" w:cs="宋体"/>
          <w:color w:val="auto"/>
          <w:kern w:val="0"/>
          <w:sz w:val="32"/>
          <w:szCs w:val="32"/>
          <w:highlight w:val="none"/>
        </w:rPr>
        <w:t>稳步提升本单位工作人员的政府信息公开</w:t>
      </w:r>
      <w:r>
        <w:rPr>
          <w:rFonts w:hint="eastAsia" w:ascii="仿宋_GB2312" w:hAnsi="宋体" w:eastAsia="仿宋_GB2312" w:cs="宋体"/>
          <w:color w:val="auto"/>
          <w:kern w:val="0"/>
          <w:sz w:val="32"/>
          <w:szCs w:val="32"/>
          <w:highlight w:val="none"/>
          <w:lang w:eastAsia="zh-CN"/>
        </w:rPr>
        <w:t>工作能力</w:t>
      </w:r>
      <w:r>
        <w:rPr>
          <w:rFonts w:hint="eastAsia" w:ascii="仿宋_GB2312" w:hAnsi="宋体" w:eastAsia="仿宋_GB2312" w:cs="宋体"/>
          <w:color w:val="auto"/>
          <w:kern w:val="0"/>
          <w:sz w:val="32"/>
          <w:szCs w:val="32"/>
          <w:highlight w:val="none"/>
        </w:rPr>
        <w:t>。</w:t>
      </w:r>
    </w:p>
    <w:p>
      <w:pPr>
        <w:numPr>
          <w:ilvl w:val="0"/>
          <w:numId w:val="2"/>
        </w:numPr>
        <w:spacing w:line="560" w:lineRule="exact"/>
        <w:ind w:firstLine="640"/>
        <w:rPr>
          <w:rFonts w:hint="eastAsia" w:ascii="黑体" w:hAnsi="宋体" w:eastAsia="黑体" w:cs="黑体"/>
          <w:sz w:val="32"/>
          <w:szCs w:val="32"/>
          <w:lang w:bidi="ar"/>
        </w:rPr>
      </w:pPr>
      <w:r>
        <w:rPr>
          <w:rFonts w:hint="eastAsia" w:ascii="黑体" w:hAnsi="宋体" w:eastAsia="黑体" w:cs="黑体"/>
          <w:sz w:val="32"/>
          <w:szCs w:val="32"/>
          <w:lang w:bidi="ar"/>
        </w:rPr>
        <w:t>主动公开政府信息情况</w:t>
      </w:r>
    </w:p>
    <w:p>
      <w:pPr>
        <w:pStyle w:val="2"/>
        <w:widowControl/>
      </w:pPr>
    </w:p>
    <w:tbl>
      <w:tblPr>
        <w:tblStyle w:val="7"/>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3</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3</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cs="Calibri"/>
                <w:kern w:val="0"/>
                <w:szCs w:val="21"/>
                <w:lang w:val="en-US" w:eastAsia="zh-CN" w:bidi="ar"/>
              </w:rPr>
              <w:t>15</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eastAsia="宋体"/>
                <w:lang w:val="en-US" w:eastAsia="zh-CN"/>
              </w:rPr>
            </w:pPr>
            <w:r>
              <w:rPr>
                <w:rFonts w:cs="Calibri"/>
                <w:kern w:val="0"/>
                <w:szCs w:val="21"/>
                <w:lang w:bidi="ar"/>
              </w:rPr>
              <w:t> </w:t>
            </w:r>
            <w:r>
              <w:rPr>
                <w:rFonts w:hint="eastAsia" w:cs="Calibri"/>
                <w:kern w:val="0"/>
                <w:szCs w:val="21"/>
                <w:lang w:val="en-US" w:eastAsia="zh-CN" w:bidi="ar"/>
              </w:rPr>
              <w:t>1483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hAnsi="Times New Roman" w:eastAsia="宋体" w:cs="宋体"/>
                <w:sz w:val="24"/>
                <w:lang w:val="en-US" w:eastAsia="zh-CN"/>
              </w:rPr>
            </w:pPr>
            <w:r>
              <w:rPr>
                <w:rFonts w:hint="eastAsia" w:ascii="宋体" w:cs="宋体"/>
                <w:sz w:val="24"/>
                <w:lang w:val="en-US" w:eastAsia="zh-CN"/>
              </w:rPr>
              <w:t>0</w:t>
            </w:r>
          </w:p>
        </w:tc>
      </w:tr>
    </w:tbl>
    <w:p>
      <w:pPr>
        <w:pStyle w:val="2"/>
        <w:widowControl/>
      </w:pPr>
    </w:p>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57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714"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714"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15</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cs="宋体"/>
                <w:sz w:val="20"/>
                <w:szCs w:val="20"/>
                <w:lang w:val="en-US" w:eastAsia="zh-CN"/>
              </w:rPr>
            </w:pPr>
            <w:r>
              <w:rPr>
                <w:rFonts w:hint="eastAsia" w:ascii="宋体" w:hAnsi="宋体" w:cs="宋体"/>
                <w:sz w:val="20"/>
                <w:szCs w:val="20"/>
                <w:lang w:val="en-US" w:eastAsia="zh-CN"/>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cs="宋体"/>
                <w:sz w:val="20"/>
                <w:szCs w:val="20"/>
                <w:lang w:val="en-US" w:eastAsia="zh-CN"/>
              </w:rPr>
            </w:pPr>
            <w:r>
              <w:rPr>
                <w:rFonts w:hint="eastAsia" w:ascii="宋体" w:hAnsi="宋体" w:cs="宋体"/>
                <w:sz w:val="20"/>
                <w:szCs w:val="20"/>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cs="宋体"/>
                <w:sz w:val="20"/>
                <w:szCs w:val="20"/>
                <w:lang w:val="en-US" w:eastAsia="zh-CN"/>
              </w:rPr>
            </w:pPr>
            <w:r>
              <w:rPr>
                <w:rFonts w:hint="eastAsia" w:ascii="宋体" w:hAnsi="宋体" w:cs="宋体"/>
                <w:sz w:val="20"/>
                <w:szCs w:val="20"/>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6</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cs="宋体"/>
                <w:sz w:val="20"/>
                <w:szCs w:val="20"/>
                <w:lang w:val="en-US" w:eastAsia="zh-CN"/>
              </w:rPr>
            </w:pPr>
            <w:r>
              <w:rPr>
                <w:rFonts w:hint="eastAsia" w:ascii="宋体" w:hAnsi="宋体" w:cs="宋体"/>
                <w:sz w:val="20"/>
                <w:szCs w:val="20"/>
                <w:lang w:val="en-US" w:eastAsia="zh-CN"/>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cs="宋体"/>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cs="宋体"/>
                <w:kern w:val="0"/>
                <w:sz w:val="20"/>
                <w:szCs w:val="20"/>
                <w:lang w:val="en-US" w:eastAsia="zh-CN" w:bidi="ar"/>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cs="宋体"/>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cs="宋体"/>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cs="宋体"/>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14</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r>
    </w:tbl>
    <w:p>
      <w:pPr>
        <w:pStyle w:val="2"/>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bookmarkStart w:id="0" w:name="_GoBack"/>
            <w:bookmarkEnd w:id="0"/>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cs="宋体"/>
                <w:sz w:val="24"/>
              </w:rPr>
            </w:pPr>
            <w:r>
              <w:rPr>
                <w:rFonts w:hint="eastAsia" w:ascii="黑体" w:hAnsi="宋体" w:eastAsia="黑体" w:cs="黑体"/>
                <w:kern w:val="0"/>
                <w:sz w:val="20"/>
                <w:szCs w:val="20"/>
                <w:lang w:val="en-US" w:eastAsia="zh-CN" w:bidi="ar"/>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keepNext w:val="0"/>
        <w:keepLines w:val="0"/>
        <w:pageBreakBefore w:val="0"/>
        <w:numPr>
          <w:ilvl w:val="0"/>
          <w:numId w:val="0"/>
        </w:numPr>
        <w:tabs>
          <w:tab w:val="left" w:pos="993"/>
        </w:tabs>
        <w:kinsoku/>
        <w:wordWrap/>
        <w:overflowPunct/>
        <w:topLinePunct w:val="0"/>
        <w:autoSpaceDE/>
        <w:autoSpaceDN/>
        <w:bidi w:val="0"/>
        <w:adjustRightInd/>
        <w:snapToGrid/>
        <w:spacing w:line="520" w:lineRule="exact"/>
        <w:ind w:left="3" w:leftChars="0" w:firstLine="640" w:firstLineChars="200"/>
        <w:textAlignment w:val="auto"/>
        <w:rPr>
          <w:rFonts w:hint="eastAsia" w:ascii="仿宋_GB2312" w:hAnsi="仿宋" w:eastAsia="仿宋_GB2312" w:cs="Times New Roman"/>
          <w:color w:val="auto"/>
          <w:sz w:val="32"/>
          <w:szCs w:val="32"/>
        </w:rPr>
      </w:pPr>
      <w:r>
        <w:rPr>
          <w:rFonts w:hint="default" w:ascii="仿宋_GB2312" w:hAnsi="仿宋" w:eastAsia="仿宋_GB2312" w:cs="Times New Roman"/>
          <w:color w:val="auto"/>
          <w:sz w:val="32"/>
          <w:szCs w:val="32"/>
        </w:rPr>
        <w:t>202</w:t>
      </w:r>
      <w:r>
        <w:rPr>
          <w:rFonts w:hint="eastAsia" w:ascii="仿宋_GB2312" w:hAnsi="仿宋" w:eastAsia="仿宋_GB2312" w:cs="Times New Roman"/>
          <w:color w:val="auto"/>
          <w:sz w:val="32"/>
          <w:szCs w:val="32"/>
          <w:lang w:val="en-US" w:eastAsia="zh-CN"/>
        </w:rPr>
        <w:t>3</w:t>
      </w:r>
      <w:r>
        <w:rPr>
          <w:rFonts w:hint="default" w:ascii="仿宋_GB2312" w:hAnsi="仿宋" w:eastAsia="仿宋_GB2312" w:cs="Times New Roman"/>
          <w:color w:val="auto"/>
          <w:sz w:val="32"/>
          <w:szCs w:val="32"/>
        </w:rPr>
        <w:t>年，</w:t>
      </w:r>
      <w:r>
        <w:rPr>
          <w:rFonts w:hint="eastAsia" w:ascii="仿宋_GB2312" w:hAnsi="仿宋" w:eastAsia="仿宋_GB2312" w:cs="Times New Roman"/>
          <w:color w:val="auto"/>
          <w:sz w:val="32"/>
          <w:szCs w:val="32"/>
          <w:lang w:eastAsia="zh-CN"/>
        </w:rPr>
        <w:t>我委</w:t>
      </w:r>
      <w:r>
        <w:rPr>
          <w:rFonts w:hint="default" w:ascii="仿宋_GB2312" w:hAnsi="仿宋" w:eastAsia="仿宋_GB2312" w:cs="Times New Roman"/>
          <w:color w:val="auto"/>
          <w:sz w:val="32"/>
          <w:szCs w:val="32"/>
        </w:rPr>
        <w:t>在推进政府信息公开工作上取得了一定成效，但仍存在一些薄弱环节，主要表现在政策解读形式、渠道和内容还有待丰富。</w:t>
      </w:r>
    </w:p>
    <w:p>
      <w:pPr>
        <w:keepNext w:val="0"/>
        <w:keepLines w:val="0"/>
        <w:pageBreakBefore w:val="0"/>
        <w:numPr>
          <w:ilvl w:val="0"/>
          <w:numId w:val="0"/>
        </w:numPr>
        <w:tabs>
          <w:tab w:val="left" w:pos="993"/>
        </w:tabs>
        <w:kinsoku/>
        <w:wordWrap/>
        <w:overflowPunct/>
        <w:topLinePunct w:val="0"/>
        <w:autoSpaceDE/>
        <w:autoSpaceDN/>
        <w:bidi w:val="0"/>
        <w:adjustRightInd/>
        <w:snapToGrid/>
        <w:spacing w:line="520" w:lineRule="exact"/>
        <w:ind w:left="3" w:leftChars="0" w:firstLine="640" w:firstLineChars="200"/>
        <w:textAlignment w:val="auto"/>
        <w:rPr>
          <w:rFonts w:hint="default" w:ascii="仿宋_GB2312" w:hAnsi="仿宋" w:eastAsia="仿宋_GB2312" w:cs="Times New Roman"/>
          <w:color w:val="auto"/>
          <w:sz w:val="32"/>
          <w:szCs w:val="32"/>
        </w:rPr>
      </w:pPr>
      <w:r>
        <w:rPr>
          <w:rFonts w:hint="default" w:ascii="仿宋_GB2312" w:hAnsi="仿宋" w:eastAsia="仿宋_GB2312" w:cs="Times New Roman"/>
          <w:color w:val="auto"/>
          <w:sz w:val="32"/>
          <w:szCs w:val="32"/>
        </w:rPr>
        <w:t>202</w:t>
      </w:r>
      <w:r>
        <w:rPr>
          <w:rFonts w:hint="eastAsia" w:ascii="仿宋_GB2312" w:hAnsi="仿宋" w:eastAsia="仿宋_GB2312" w:cs="Times New Roman"/>
          <w:color w:val="auto"/>
          <w:sz w:val="32"/>
          <w:szCs w:val="32"/>
          <w:lang w:val="en-US" w:eastAsia="zh-CN"/>
        </w:rPr>
        <w:t>4</w:t>
      </w:r>
      <w:r>
        <w:rPr>
          <w:rFonts w:hint="default" w:ascii="仿宋_GB2312" w:hAnsi="仿宋" w:eastAsia="仿宋_GB2312" w:cs="Times New Roman"/>
          <w:color w:val="auto"/>
          <w:sz w:val="32"/>
          <w:szCs w:val="32"/>
        </w:rPr>
        <w:t>年，</w:t>
      </w:r>
      <w:r>
        <w:rPr>
          <w:rFonts w:hint="eastAsia" w:ascii="仿宋_GB2312" w:hAnsi="仿宋" w:eastAsia="仿宋_GB2312" w:cs="Times New Roman"/>
          <w:color w:val="auto"/>
          <w:sz w:val="32"/>
          <w:szCs w:val="32"/>
          <w:lang w:eastAsia="zh-CN"/>
        </w:rPr>
        <w:t>我委</w:t>
      </w:r>
      <w:r>
        <w:rPr>
          <w:rFonts w:hint="default" w:ascii="仿宋_GB2312" w:hAnsi="仿宋" w:eastAsia="仿宋_GB2312" w:cs="Times New Roman"/>
          <w:color w:val="auto"/>
          <w:sz w:val="32"/>
          <w:szCs w:val="32"/>
        </w:rPr>
        <w:t>将继续深入推进政府信息公开工作，</w:t>
      </w:r>
      <w:r>
        <w:rPr>
          <w:rFonts w:hint="eastAsia" w:ascii="仿宋_GB2312" w:hAnsi="仿宋" w:eastAsia="仿宋_GB2312" w:cs="Times New Roman"/>
          <w:color w:val="auto"/>
          <w:sz w:val="32"/>
          <w:szCs w:val="32"/>
          <w:lang w:eastAsia="zh-CN"/>
        </w:rPr>
        <w:t>积极</w:t>
      </w:r>
      <w:r>
        <w:rPr>
          <w:rFonts w:hint="default" w:ascii="仿宋_GB2312" w:hAnsi="仿宋" w:eastAsia="仿宋_GB2312" w:cs="Times New Roman"/>
          <w:color w:val="auto"/>
          <w:sz w:val="32"/>
          <w:szCs w:val="32"/>
        </w:rPr>
        <w:t>拓展政策解读形式和渠道，采用网民喜闻乐见、更易接受理解的宣传方式提高解读材料的时效性、通俗性，提升解读内容的接受度。</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keepNext w:val="0"/>
        <w:keepLines w:val="0"/>
        <w:pageBreakBefore w:val="0"/>
        <w:numPr>
          <w:ilvl w:val="0"/>
          <w:numId w:val="0"/>
        </w:numPr>
        <w:tabs>
          <w:tab w:val="left" w:pos="993"/>
        </w:tabs>
        <w:kinsoku/>
        <w:wordWrap/>
        <w:overflowPunct/>
        <w:topLinePunct w:val="0"/>
        <w:autoSpaceDE/>
        <w:autoSpaceDN/>
        <w:bidi w:val="0"/>
        <w:adjustRightInd/>
        <w:snapToGrid/>
        <w:spacing w:line="520" w:lineRule="exact"/>
        <w:ind w:left="3" w:leftChars="0" w:firstLine="640" w:firstLineChars="200"/>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根据</w:t>
      </w:r>
      <w:r>
        <w:rPr>
          <w:rFonts w:hint="eastAsia" w:ascii="仿宋_GB2312" w:hAnsi="仿宋" w:eastAsia="仿宋_GB2312" w:cs="Times New Roman"/>
          <w:color w:val="auto"/>
          <w:sz w:val="32"/>
          <w:szCs w:val="32"/>
        </w:rPr>
        <w:t>《政府信息公开信息处理费管理办法》</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202</w:t>
      </w:r>
      <w:r>
        <w:rPr>
          <w:rFonts w:hint="eastAsia" w:ascii="仿宋_GB2312" w:hAnsi="仿宋" w:eastAsia="仿宋_GB2312" w:cs="Times New Roman"/>
          <w:color w:val="auto"/>
          <w:sz w:val="32"/>
          <w:szCs w:val="32"/>
          <w:lang w:val="en-US" w:eastAsia="zh-CN"/>
        </w:rPr>
        <w:t>3</w:t>
      </w:r>
      <w:r>
        <w:rPr>
          <w:rFonts w:hint="eastAsia" w:ascii="仿宋_GB2312" w:hAnsi="仿宋" w:eastAsia="仿宋_GB2312" w:cs="Times New Roman"/>
          <w:color w:val="auto"/>
          <w:sz w:val="32"/>
          <w:szCs w:val="32"/>
        </w:rPr>
        <w:t>年本单位发出收费通知的件数和总金额以及实际收取的总金额均为0。</w:t>
      </w:r>
    </w:p>
    <w:p>
      <w:pPr>
        <w:widowControl/>
        <w:spacing w:line="560" w:lineRule="exact"/>
        <w:jc w:val="left"/>
        <w:rPr>
          <w:rFonts w:hint="eastAsia" w:ascii="仿宋_GB2312" w:hAnsi="宋体" w:eastAsia="仿宋_GB2312" w:cs="宋体"/>
          <w:color w:val="9BC2E6"/>
          <w:spacing w:val="8"/>
          <w:kern w:val="0"/>
          <w:sz w:val="32"/>
          <w:szCs w:val="32"/>
        </w:rPr>
      </w:pPr>
    </w:p>
    <w:p>
      <w:pPr>
        <w:pStyle w:val="2"/>
        <w:widowControl/>
        <w:spacing w:line="560" w:lineRule="exact"/>
      </w:pPr>
      <w:r>
        <w:rPr>
          <w:rFonts w:ascii="微软雅黑" w:hAnsi="微软雅黑" w:eastAsia="微软雅黑" w:cs="宋体"/>
          <w:color w:val="404040"/>
          <w:kern w:val="0"/>
          <w:sz w:val="32"/>
          <w:szCs w:val="32"/>
        </w:rPr>
        <w:t xml:space="preserve"> </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3103D"/>
    <w:multiLevelType w:val="singleLevel"/>
    <w:tmpl w:val="A3C3103D"/>
    <w:lvl w:ilvl="0" w:tentative="0">
      <w:start w:val="1"/>
      <w:numFmt w:val="chineseCounting"/>
      <w:suff w:val="nothing"/>
      <w:lvlText w:val="（%1）"/>
      <w:lvlJc w:val="left"/>
      <w:rPr>
        <w:rFonts w:hint="eastAsia"/>
      </w:rPr>
    </w:lvl>
  </w:abstractNum>
  <w:abstractNum w:abstractNumId="1">
    <w:nsid w:val="BA9DE897"/>
    <w:multiLevelType w:val="multilevel"/>
    <w:tmpl w:val="BA9DE897"/>
    <w:lvl w:ilvl="0" w:tentative="0">
      <w:start w:val="2"/>
      <w:numFmt w:val="chineseCounting"/>
      <w:suff w:val="nothing"/>
      <w:lvlText w:val="%1、"/>
      <w:lvlJc w:val="left"/>
      <w:pPr>
        <w:ind w:left="-10" w:firstLine="0"/>
      </w:pPr>
      <w:rPr>
        <w:rFonts w:hint="eastAsia" w:ascii="黑体" w:hAnsi="黑体" w:eastAsia="黑体" w:cs="黑体"/>
        <w:sz w:val="32"/>
        <w:szCs w:val="3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B6E2A"/>
    <w:rsid w:val="03FD4168"/>
    <w:rsid w:val="0B5B6E2A"/>
    <w:rsid w:val="0DBF68FD"/>
    <w:rsid w:val="0F841601"/>
    <w:rsid w:val="11072BC3"/>
    <w:rsid w:val="12FE714B"/>
    <w:rsid w:val="1DAD5CC1"/>
    <w:rsid w:val="1F983263"/>
    <w:rsid w:val="20A879D3"/>
    <w:rsid w:val="2EE12975"/>
    <w:rsid w:val="2F2B2ABE"/>
    <w:rsid w:val="32BE5267"/>
    <w:rsid w:val="398C207A"/>
    <w:rsid w:val="3FA4683E"/>
    <w:rsid w:val="42195744"/>
    <w:rsid w:val="42220D71"/>
    <w:rsid w:val="47531291"/>
    <w:rsid w:val="4BD642F8"/>
    <w:rsid w:val="53A72D40"/>
    <w:rsid w:val="5FD849CF"/>
    <w:rsid w:val="702249EF"/>
    <w:rsid w:val="768F16E6"/>
    <w:rsid w:val="77623533"/>
    <w:rsid w:val="77CC2A1C"/>
    <w:rsid w:val="794C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toc 3"/>
    <w:basedOn w:val="1"/>
    <w:next w:val="1"/>
    <w:unhideWhenUsed/>
    <w:qFormat/>
    <w:uiPriority w:val="39"/>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2024-01-02T10:18:00Z</dcterms:created>
  <dc:creator>Ren$hiro</dc:creator>
  <cp:lastModifiedBy>625001</cp:lastModifiedBy>
  <dcterms:modified xsi:type="dcterms:W3CDTF">2024-05-22T03:21:32Z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2CE85D57F1AF48EB93787A55E05929E0</vt:lpwstr>
  </property>
</Properties>
</file>