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Calibri" w:eastAsia="仿宋_GB2312" w:cs="Times New Roman"/>
          <w:bCs/>
          <w:sz w:val="32"/>
          <w:szCs w:val="22"/>
          <w:lang w:eastAsia="zh-CN"/>
        </w:rPr>
      </w:pPr>
    </w:p>
    <w:p>
      <w:pPr>
        <w:jc w:val="center"/>
        <w:rPr>
          <w:rFonts w:hint="eastAsia" w:ascii="仿宋_GB2312" w:hAnsi="Calibri" w:eastAsia="仿宋_GB2312" w:cs="Times New Roman"/>
          <w:bCs/>
          <w:sz w:val="32"/>
          <w:szCs w:val="22"/>
          <w:lang w:eastAsia="zh-CN"/>
        </w:rPr>
      </w:pPr>
    </w:p>
    <w:p>
      <w:pPr>
        <w:jc w:val="center"/>
        <w:rPr>
          <w:rFonts w:hint="eastAsia" w:ascii="仿宋_GB2312" w:hAnsi="Calibri" w:eastAsia="仿宋_GB2312" w:cs="Times New Roman"/>
          <w:bCs/>
          <w:sz w:val="32"/>
          <w:szCs w:val="2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lang w:eastAsia="zh-CN"/>
        </w:rPr>
        <w:t>北京市</w:t>
      </w:r>
      <w:r>
        <w:rPr>
          <w:rFonts w:hint="eastAsia" w:ascii="方正小标宋_GBK" w:hAnsi="宋体" w:eastAsia="方正小标宋_GBK" w:cs="宋体"/>
          <w:kern w:val="0"/>
          <w:sz w:val="44"/>
          <w:szCs w:val="44"/>
        </w:rPr>
        <w:t>丰台区科学技术和信息化局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方正小标宋_GBK" w:hAnsi="宋体" w:eastAsia="方正小标宋_GBK" w:cs="宋体"/>
          <w:kern w:val="0"/>
          <w:sz w:val="44"/>
          <w:szCs w:val="44"/>
        </w:rPr>
        <w:t>2019年政府信息公开工作年度报告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依据《中华人民共和国政府信息公开条例》第五十条之规定，制作本报告。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333333"/>
          <w:kern w:val="0"/>
          <w:sz w:val="32"/>
          <w:szCs w:val="32"/>
        </w:rPr>
      </w:pPr>
      <w:r>
        <w:rPr>
          <w:rFonts w:hint="eastAsia" w:ascii="黑体" w:hAnsi="黑体" w:eastAsia="黑体" w:cs="黑体"/>
          <w:color w:val="333333"/>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333333"/>
          <w:kern w:val="0"/>
          <w:sz w:val="32"/>
          <w:szCs w:val="32"/>
        </w:rPr>
      </w:pPr>
      <w:r>
        <w:rPr>
          <w:rFonts w:hint="eastAsia" w:ascii="楷体_GB2312" w:hAnsi="楷体_GB2312" w:eastAsia="楷体_GB2312" w:cs="楷体_GB2312"/>
          <w:b w:val="0"/>
          <w:bCs w:val="0"/>
          <w:color w:val="333333"/>
          <w:kern w:val="0"/>
          <w:sz w:val="32"/>
          <w:szCs w:val="32"/>
          <w:lang w:val="en-US" w:eastAsia="zh-CN"/>
        </w:rPr>
        <w:t>1.</w:t>
      </w:r>
      <w:r>
        <w:rPr>
          <w:rFonts w:hint="eastAsia" w:ascii="楷体_GB2312" w:hAnsi="楷体_GB2312" w:eastAsia="楷体_GB2312" w:cs="楷体_GB2312"/>
          <w:b w:val="0"/>
          <w:bCs w:val="0"/>
          <w:color w:val="333333"/>
          <w:kern w:val="0"/>
          <w:sz w:val="32"/>
          <w:szCs w:val="32"/>
        </w:rPr>
        <w:t>主动公开情况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lang w:val="en-US" w:eastAsia="zh-CN"/>
        </w:rPr>
        <w:t>2019年，北京市丰台区科学技术和信息化局累计</w:t>
      </w:r>
      <w:r>
        <w:rPr>
          <w:rFonts w:hint="eastAsia" w:ascii="仿宋_GB2312" w:hAnsi="宋体" w:eastAsia="仿宋_GB2312" w:cs="宋体"/>
          <w:color w:val="333333"/>
          <w:kern w:val="0"/>
          <w:sz w:val="32"/>
          <w:szCs w:val="32"/>
        </w:rPr>
        <w:t>主动公开信息162条，其中，机构职能类12条，占比7.41%，法规文件类2条，占比1.23%</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规划计划类16条，占比9.88%，行政职责类2条，占比1.23%，业务动态类130条，占比80.25%</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“丰台V科技”官方微信共发布信息</w:t>
      </w:r>
      <w:r>
        <w:rPr>
          <w:rFonts w:hint="eastAsia" w:ascii="仿宋_GB2312" w:hAnsi="宋体" w:eastAsia="仿宋_GB2312" w:cs="宋体"/>
          <w:color w:val="auto"/>
          <w:kern w:val="0"/>
          <w:sz w:val="32"/>
          <w:szCs w:val="32"/>
          <w:lang w:val="en-US" w:eastAsia="zh-CN"/>
        </w:rPr>
        <w:t>233</w:t>
      </w:r>
      <w:r>
        <w:rPr>
          <w:rFonts w:hint="eastAsia" w:ascii="仿宋_GB2312" w:hAnsi="宋体" w:eastAsia="仿宋_GB2312" w:cs="宋体"/>
          <w:color w:val="333333"/>
          <w:kern w:val="0"/>
          <w:sz w:val="32"/>
          <w:szCs w:val="32"/>
        </w:rPr>
        <w:t>条</w:t>
      </w:r>
      <w:r>
        <w:rPr>
          <w:rFonts w:hint="eastAsia" w:ascii="仿宋_GB2312" w:hAnsi="宋体" w:eastAsia="仿宋_GB2312" w:cs="宋体"/>
          <w:color w:val="333333"/>
          <w:kern w:val="0"/>
          <w:sz w:val="32"/>
          <w:szCs w:val="32"/>
          <w:lang w:val="en-US" w:eastAsia="zh-CN"/>
        </w:rPr>
        <w:t>,原创采访42篇。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lang w:val="en-US" w:eastAsia="zh-CN"/>
        </w:rPr>
        <w:t>2.</w:t>
      </w:r>
      <w:r>
        <w:rPr>
          <w:rFonts w:hint="eastAsia" w:ascii="楷体_GB2312" w:hAnsi="楷体_GB2312" w:eastAsia="楷体_GB2312" w:cs="楷体_GB2312"/>
          <w:color w:val="333333"/>
          <w:kern w:val="0"/>
          <w:sz w:val="32"/>
          <w:szCs w:val="32"/>
        </w:rPr>
        <w:t>依申请公开办理情况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2019年，北京市丰台区科学技术和信息化局共受理依申请公开1件，信息公开申请人为自然人，按照《中华人民共和国政府信息公开条例》依申请公开流程和要求，已依法予以答复。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lang w:val="en-US" w:eastAsia="zh-CN"/>
        </w:rPr>
        <w:t>3.</w:t>
      </w:r>
      <w:r>
        <w:rPr>
          <w:rFonts w:hint="eastAsia" w:ascii="楷体_GB2312" w:hAnsi="楷体_GB2312" w:eastAsia="楷体_GB2312" w:cs="楷体_GB2312"/>
          <w:color w:val="333333"/>
          <w:kern w:val="0"/>
          <w:sz w:val="32"/>
          <w:szCs w:val="32"/>
        </w:rPr>
        <w:t>政府信息资源的规范化、标准化管理情况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我局</w:t>
      </w:r>
      <w:r>
        <w:rPr>
          <w:rFonts w:hint="eastAsia" w:ascii="仿宋_GB2312" w:hAnsi="宋体" w:eastAsia="仿宋_GB2312" w:cs="宋体"/>
          <w:color w:val="333333"/>
          <w:kern w:val="0"/>
          <w:sz w:val="32"/>
          <w:szCs w:val="32"/>
        </w:rPr>
        <w:t>严格落实信息公开</w:t>
      </w:r>
      <w:r>
        <w:rPr>
          <w:rFonts w:hint="eastAsia" w:ascii="仿宋_GB2312" w:hAnsi="宋体" w:eastAsia="仿宋_GB2312" w:cs="宋体"/>
          <w:color w:val="333333"/>
          <w:kern w:val="0"/>
          <w:sz w:val="32"/>
          <w:szCs w:val="32"/>
          <w:lang w:eastAsia="zh-CN"/>
        </w:rPr>
        <w:t>工作</w:t>
      </w:r>
      <w:r>
        <w:rPr>
          <w:rFonts w:hint="eastAsia" w:ascii="仿宋_GB2312" w:hAnsi="宋体" w:eastAsia="仿宋_GB2312" w:cs="宋体"/>
          <w:color w:val="333333"/>
          <w:kern w:val="0"/>
          <w:sz w:val="32"/>
          <w:szCs w:val="32"/>
        </w:rPr>
        <w:t>的</w:t>
      </w:r>
      <w:r>
        <w:rPr>
          <w:rFonts w:hint="eastAsia" w:ascii="仿宋_GB2312" w:hAnsi="宋体" w:eastAsia="仿宋_GB2312" w:cs="宋体"/>
          <w:color w:val="333333"/>
          <w:kern w:val="0"/>
          <w:sz w:val="32"/>
          <w:szCs w:val="32"/>
          <w:lang w:eastAsia="zh-CN"/>
        </w:rPr>
        <w:t>各项规定和要求，狠抓工作的流程</w:t>
      </w:r>
      <w:r>
        <w:rPr>
          <w:rFonts w:hint="eastAsia" w:ascii="仿宋_GB2312" w:hAnsi="宋体" w:eastAsia="仿宋_GB2312" w:cs="宋体"/>
          <w:color w:val="333333"/>
          <w:kern w:val="0"/>
          <w:sz w:val="32"/>
          <w:szCs w:val="32"/>
        </w:rPr>
        <w:t>和</w:t>
      </w:r>
      <w:r>
        <w:rPr>
          <w:rFonts w:hint="eastAsia" w:ascii="仿宋_GB2312" w:hAnsi="宋体" w:eastAsia="仿宋_GB2312" w:cs="宋体"/>
          <w:color w:val="333333"/>
          <w:kern w:val="0"/>
          <w:sz w:val="32"/>
          <w:szCs w:val="32"/>
          <w:lang w:eastAsia="zh-CN"/>
        </w:rPr>
        <w:t>审批环节</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凡是需要公开的信息，责任</w:t>
      </w:r>
      <w:r>
        <w:rPr>
          <w:rFonts w:hint="eastAsia" w:ascii="仿宋_GB2312" w:hAnsi="宋体" w:eastAsia="仿宋_GB2312" w:cs="宋体"/>
          <w:color w:val="333333"/>
          <w:kern w:val="0"/>
          <w:sz w:val="32"/>
          <w:szCs w:val="32"/>
        </w:rPr>
        <w:t>科室负责人、主管领导</w:t>
      </w:r>
      <w:r>
        <w:rPr>
          <w:rFonts w:hint="eastAsia" w:ascii="仿宋_GB2312" w:hAnsi="宋体" w:eastAsia="仿宋_GB2312" w:cs="宋体"/>
          <w:color w:val="333333"/>
          <w:kern w:val="0"/>
          <w:sz w:val="32"/>
          <w:szCs w:val="32"/>
          <w:lang w:eastAsia="zh-CN"/>
        </w:rPr>
        <w:t>层层把关、校对审核，按照公文签批的规定进行办理和发布，切实增强信息公开工作的引导力和公信力</w:t>
      </w:r>
      <w:r>
        <w:rPr>
          <w:rFonts w:hint="eastAsia" w:ascii="仿宋_GB2312" w:hAnsi="宋体" w:eastAsia="仿宋_GB2312" w:cs="宋体"/>
          <w:color w:val="333333"/>
          <w:kern w:val="0"/>
          <w:sz w:val="32"/>
          <w:szCs w:val="32"/>
        </w:rPr>
        <w:t>，使信息公开工作</w:t>
      </w:r>
      <w:r>
        <w:rPr>
          <w:rFonts w:hint="eastAsia" w:ascii="仿宋_GB2312" w:hAnsi="宋体" w:eastAsia="仿宋_GB2312" w:cs="宋体"/>
          <w:color w:val="333333"/>
          <w:kern w:val="0"/>
          <w:sz w:val="32"/>
          <w:szCs w:val="32"/>
          <w:lang w:eastAsia="zh-CN"/>
        </w:rPr>
        <w:t>更加</w:t>
      </w:r>
      <w:r>
        <w:rPr>
          <w:rFonts w:hint="eastAsia" w:ascii="仿宋_GB2312" w:hAnsi="宋体" w:eastAsia="仿宋_GB2312" w:cs="宋体"/>
          <w:color w:val="333333"/>
          <w:kern w:val="0"/>
          <w:sz w:val="32"/>
          <w:szCs w:val="32"/>
        </w:rPr>
        <w:t>科学规范、严谨细致，确保信息资源的规范化、标准化。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lang w:val="en-US" w:eastAsia="zh-CN"/>
        </w:rPr>
        <w:t>4.</w:t>
      </w:r>
      <w:r>
        <w:rPr>
          <w:rFonts w:hint="eastAsia" w:ascii="楷体_GB2312" w:hAnsi="楷体_GB2312" w:eastAsia="楷体_GB2312" w:cs="楷体_GB2312"/>
          <w:color w:val="333333"/>
          <w:kern w:val="0"/>
          <w:sz w:val="32"/>
          <w:szCs w:val="32"/>
        </w:rPr>
        <w:t>政府信息公开平台建设情况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我局认真做好政府信息管理集约化平台的维护工作，</w:t>
      </w:r>
      <w:r>
        <w:rPr>
          <w:rFonts w:hint="eastAsia" w:ascii="仿宋_GB2312" w:hAnsi="宋体" w:eastAsia="仿宋_GB2312" w:cs="宋体"/>
          <w:color w:val="333333"/>
          <w:kern w:val="0"/>
          <w:sz w:val="32"/>
          <w:szCs w:val="32"/>
        </w:rPr>
        <w:t>今年机构改革完成后，及时更新了机构职能、行政职责</w:t>
      </w:r>
      <w:r>
        <w:rPr>
          <w:rFonts w:hint="eastAsia" w:ascii="仿宋_GB2312" w:hAnsi="宋体" w:eastAsia="仿宋_GB2312" w:cs="宋体"/>
          <w:color w:val="333333"/>
          <w:kern w:val="0"/>
          <w:sz w:val="32"/>
          <w:szCs w:val="32"/>
          <w:lang w:eastAsia="zh-CN"/>
        </w:rPr>
        <w:t>、领导介绍</w:t>
      </w:r>
      <w:r>
        <w:rPr>
          <w:rFonts w:hint="eastAsia" w:ascii="仿宋_GB2312" w:hAnsi="宋体" w:eastAsia="仿宋_GB2312" w:cs="宋体"/>
          <w:color w:val="333333"/>
          <w:kern w:val="0"/>
          <w:sz w:val="32"/>
          <w:szCs w:val="32"/>
        </w:rPr>
        <w:t>等</w:t>
      </w:r>
      <w:r>
        <w:rPr>
          <w:rFonts w:hint="eastAsia" w:ascii="仿宋_GB2312" w:hAnsi="宋体" w:eastAsia="仿宋_GB2312" w:cs="宋体"/>
          <w:color w:val="333333"/>
          <w:kern w:val="0"/>
          <w:sz w:val="32"/>
          <w:szCs w:val="32"/>
          <w:lang w:eastAsia="zh-CN"/>
        </w:rPr>
        <w:t>信息</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及时发布业务动态、政策解读等人民群众较为关注的信息，不断提高信息公开工作的质量和影响力</w:t>
      </w:r>
      <w:r>
        <w:rPr>
          <w:rFonts w:hint="eastAsia" w:ascii="仿宋_GB2312" w:hAnsi="宋体" w:eastAsia="仿宋_GB2312" w:cs="宋体"/>
          <w:color w:val="333333"/>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333333"/>
          <w:kern w:val="0"/>
          <w:sz w:val="32"/>
          <w:szCs w:val="32"/>
        </w:rPr>
      </w:pPr>
      <w:r>
        <w:rPr>
          <w:rFonts w:hint="eastAsia" w:ascii="楷体_GB2312" w:hAnsi="楷体_GB2312" w:eastAsia="楷体_GB2312" w:cs="楷体_GB2312"/>
          <w:color w:val="333333"/>
          <w:kern w:val="0"/>
          <w:sz w:val="32"/>
          <w:szCs w:val="32"/>
          <w:lang w:val="en-US" w:eastAsia="zh-CN"/>
        </w:rPr>
        <w:t>5.</w:t>
      </w:r>
      <w:r>
        <w:rPr>
          <w:rFonts w:hint="eastAsia" w:ascii="楷体_GB2312" w:hAnsi="楷体_GB2312" w:eastAsia="楷体_GB2312" w:cs="楷体_GB2312"/>
          <w:color w:val="333333"/>
          <w:kern w:val="0"/>
          <w:sz w:val="32"/>
          <w:szCs w:val="32"/>
        </w:rPr>
        <w:t>政府信息公开监督保障及教育培训情况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我局</w:t>
      </w:r>
      <w:r>
        <w:rPr>
          <w:rFonts w:hint="eastAsia" w:ascii="仿宋_GB2312" w:hAnsi="宋体" w:eastAsia="仿宋_GB2312" w:cs="宋体"/>
          <w:color w:val="333333"/>
          <w:kern w:val="0"/>
          <w:sz w:val="32"/>
          <w:szCs w:val="32"/>
        </w:rPr>
        <w:t>成立了</w:t>
      </w:r>
      <w:r>
        <w:rPr>
          <w:rFonts w:hint="eastAsia" w:ascii="仿宋_GB2312" w:hAnsi="宋体" w:eastAsia="仿宋_GB2312" w:cs="宋体"/>
          <w:color w:val="333333"/>
          <w:kern w:val="0"/>
          <w:sz w:val="32"/>
          <w:szCs w:val="32"/>
          <w:lang w:eastAsia="zh-CN"/>
        </w:rPr>
        <w:t>信息</w:t>
      </w:r>
      <w:r>
        <w:rPr>
          <w:rFonts w:hint="eastAsia" w:ascii="仿宋_GB2312" w:hAnsi="宋体" w:eastAsia="仿宋_GB2312" w:cs="宋体"/>
          <w:color w:val="333333"/>
          <w:kern w:val="0"/>
          <w:sz w:val="32"/>
          <w:szCs w:val="32"/>
        </w:rPr>
        <w:t>公开领导小组，建立健全政务公开工作制度，加强工作的协调统筹，明确分工，压实责任。</w:t>
      </w:r>
      <w:r>
        <w:rPr>
          <w:rFonts w:hint="eastAsia" w:ascii="仿宋" w:hAnsi="仿宋" w:eastAsia="仿宋"/>
          <w:sz w:val="32"/>
          <w:szCs w:val="32"/>
        </w:rPr>
        <w:t>信息公开领导小组定期</w:t>
      </w:r>
      <w:r>
        <w:rPr>
          <w:rFonts w:hint="eastAsia" w:ascii="仿宋" w:hAnsi="仿宋" w:eastAsia="仿宋"/>
          <w:sz w:val="32"/>
          <w:szCs w:val="32"/>
          <w:lang w:eastAsia="zh-CN"/>
        </w:rPr>
        <w:t>监督</w:t>
      </w:r>
      <w:r>
        <w:rPr>
          <w:rFonts w:hint="eastAsia" w:ascii="仿宋" w:hAnsi="仿宋" w:eastAsia="仿宋"/>
          <w:sz w:val="32"/>
          <w:szCs w:val="32"/>
        </w:rPr>
        <w:t>检查信息公开</w:t>
      </w:r>
      <w:r>
        <w:rPr>
          <w:rFonts w:hint="eastAsia" w:ascii="仿宋" w:hAnsi="仿宋" w:eastAsia="仿宋"/>
          <w:sz w:val="32"/>
          <w:szCs w:val="32"/>
          <w:lang w:eastAsia="zh-CN"/>
        </w:rPr>
        <w:t>工作</w:t>
      </w:r>
      <w:r>
        <w:rPr>
          <w:rFonts w:hint="eastAsia" w:ascii="仿宋" w:hAnsi="仿宋" w:eastAsia="仿宋"/>
          <w:sz w:val="32"/>
          <w:szCs w:val="32"/>
        </w:rPr>
        <w:t>情况，</w:t>
      </w:r>
      <w:r>
        <w:rPr>
          <w:rFonts w:hint="eastAsia" w:ascii="仿宋" w:hAnsi="仿宋" w:eastAsia="仿宋"/>
          <w:sz w:val="32"/>
          <w:szCs w:val="32"/>
          <w:lang w:eastAsia="zh-CN"/>
        </w:rPr>
        <w:t>及时发现工作中存在的薄弱环节和问题，积极整改，不断提高信息公开工作水平。</w:t>
      </w:r>
      <w:r>
        <w:rPr>
          <w:rFonts w:hint="eastAsia" w:ascii="仿宋_GB2312" w:hAnsi="宋体" w:eastAsia="仿宋_GB2312" w:cs="宋体"/>
          <w:color w:val="333333"/>
          <w:kern w:val="0"/>
          <w:sz w:val="32"/>
          <w:szCs w:val="32"/>
          <w:lang w:eastAsia="zh-CN"/>
        </w:rPr>
        <w:t>积极</w:t>
      </w:r>
      <w:r>
        <w:rPr>
          <w:rFonts w:hint="eastAsia" w:ascii="仿宋_GB2312" w:hAnsi="宋体" w:eastAsia="仿宋_GB2312" w:cs="宋体"/>
          <w:color w:val="333333"/>
          <w:kern w:val="0"/>
          <w:sz w:val="32"/>
          <w:szCs w:val="32"/>
        </w:rPr>
        <w:t>学习新修订的《中华人民共和国政府信息公开条例》和区委区政府有关文件精神，</w:t>
      </w:r>
      <w:r>
        <w:rPr>
          <w:rFonts w:hint="eastAsia" w:ascii="仿宋_GB2312" w:hAnsi="宋体" w:eastAsia="仿宋_GB2312" w:cs="宋体"/>
          <w:color w:val="333333"/>
          <w:kern w:val="0"/>
          <w:sz w:val="32"/>
          <w:szCs w:val="32"/>
          <w:lang w:eastAsia="zh-CN"/>
        </w:rPr>
        <w:t>全年开展了多次业务培训，不断增强工作人员的业务能力和素质，为全面做好信息公开工作打下了坚实的基础</w:t>
      </w:r>
      <w:r>
        <w:rPr>
          <w:rFonts w:hint="eastAsia" w:ascii="仿宋_GB2312" w:hAnsi="宋体" w:eastAsia="仿宋_GB2312" w:cs="宋体"/>
          <w:color w:val="333333"/>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lang w:val="en-US" w:eastAsia="zh-CN"/>
        </w:rPr>
        <w:t>6.</w:t>
      </w:r>
      <w:r>
        <w:rPr>
          <w:rFonts w:hint="eastAsia" w:ascii="楷体_GB2312" w:hAnsi="楷体_GB2312" w:eastAsia="楷体_GB2312" w:cs="楷体_GB2312"/>
          <w:color w:val="333333"/>
          <w:kern w:val="0"/>
          <w:sz w:val="32"/>
          <w:szCs w:val="32"/>
        </w:rPr>
        <w:t>市和区人民政府工作考核、社会评议和责任追究结果情况</w:t>
      </w:r>
    </w:p>
    <w:p>
      <w:pPr>
        <w:spacing w:line="560" w:lineRule="exact"/>
        <w:rPr>
          <w:rFonts w:ascii="黑体" w:hAnsi="黑体" w:eastAsia="黑体" w:cs="黑体"/>
          <w:color w:val="333333"/>
          <w:kern w:val="0"/>
          <w:sz w:val="32"/>
          <w:szCs w:val="32"/>
        </w:rPr>
      </w:pPr>
      <w:r>
        <w:rPr>
          <w:rFonts w:hint="eastAsia" w:ascii="黑体" w:hAnsi="黑体" w:eastAsia="黑体" w:cs="黑体"/>
          <w:color w:val="333333"/>
          <w:kern w:val="0"/>
          <w:sz w:val="32"/>
          <w:szCs w:val="32"/>
        </w:rPr>
        <w:t>二、主动公开政府信息情况</w:t>
      </w:r>
    </w:p>
    <w:tbl>
      <w:tblPr>
        <w:tblStyle w:val="4"/>
        <w:tblW w:w="8920" w:type="dxa"/>
        <w:tblInd w:w="0" w:type="dxa"/>
        <w:tblLayout w:type="fixed"/>
        <w:tblCellMar>
          <w:top w:w="0" w:type="dxa"/>
          <w:left w:w="0" w:type="dxa"/>
          <w:bottom w:w="0" w:type="dxa"/>
          <w:right w:w="0" w:type="dxa"/>
        </w:tblCellMar>
      </w:tblPr>
      <w:tblGrid>
        <w:gridCol w:w="1903"/>
        <w:gridCol w:w="1095"/>
        <w:gridCol w:w="1812"/>
        <w:gridCol w:w="1869"/>
        <w:gridCol w:w="2241"/>
      </w:tblGrid>
      <w:tr>
        <w:tblPrEx>
          <w:tblCellMar>
            <w:top w:w="0" w:type="dxa"/>
            <w:left w:w="0" w:type="dxa"/>
            <w:bottom w:w="0" w:type="dxa"/>
            <w:right w:w="0" w:type="dxa"/>
          </w:tblCellMar>
        </w:tblPrEx>
        <w:trPr>
          <w:trHeight w:val="655" w:hRule="atLeast"/>
        </w:trPr>
        <w:tc>
          <w:tcPr>
            <w:tcW w:w="8920" w:type="dxa"/>
            <w:gridSpan w:val="5"/>
            <w:tcBorders>
              <w:top w:val="single" w:color="000000" w:sz="4" w:space="0"/>
              <w:left w:val="single" w:color="000000" w:sz="4" w:space="0"/>
              <w:bottom w:val="single" w:color="000000" w:sz="4" w:space="0"/>
              <w:right w:val="single" w:color="000000" w:sz="4" w:space="0"/>
            </w:tcBorders>
            <w:shd w:val="clear" w:color="auto" w:fill="C6D9F1"/>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第二十条第（一）项</w:t>
            </w:r>
          </w:p>
        </w:tc>
      </w:tr>
      <w:tr>
        <w:tblPrEx>
          <w:tblCellMar>
            <w:top w:w="0" w:type="dxa"/>
            <w:left w:w="0" w:type="dxa"/>
            <w:bottom w:w="0" w:type="dxa"/>
            <w:right w:w="0" w:type="dxa"/>
          </w:tblCellMar>
        </w:tblPrEx>
        <w:trPr>
          <w:trHeight w:val="655" w:hRule="atLeast"/>
        </w:trPr>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信息内容</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本年新制作数量</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本年新公开数量</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对外公开总数量</w:t>
            </w:r>
          </w:p>
        </w:tc>
      </w:tr>
      <w:tr>
        <w:tblPrEx>
          <w:tblCellMar>
            <w:top w:w="0" w:type="dxa"/>
            <w:left w:w="0" w:type="dxa"/>
            <w:bottom w:w="0" w:type="dxa"/>
            <w:right w:w="0" w:type="dxa"/>
          </w:tblCellMar>
        </w:tblPrEx>
        <w:trPr>
          <w:trHeight w:val="655" w:hRule="atLeast"/>
        </w:trPr>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规章</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w:t>
            </w:r>
          </w:p>
        </w:tc>
      </w:tr>
      <w:tr>
        <w:tblPrEx>
          <w:tblCellMar>
            <w:top w:w="0" w:type="dxa"/>
            <w:left w:w="0" w:type="dxa"/>
            <w:bottom w:w="0" w:type="dxa"/>
            <w:right w:w="0" w:type="dxa"/>
          </w:tblCellMar>
        </w:tblPrEx>
        <w:trPr>
          <w:trHeight w:val="655" w:hRule="atLeast"/>
        </w:trPr>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规范性文件</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r>
      <w:tr>
        <w:tblPrEx>
          <w:tblCellMar>
            <w:top w:w="0" w:type="dxa"/>
            <w:left w:w="0" w:type="dxa"/>
            <w:bottom w:w="0" w:type="dxa"/>
            <w:right w:w="0" w:type="dxa"/>
          </w:tblCellMar>
        </w:tblPrEx>
        <w:trPr>
          <w:trHeight w:val="655" w:hRule="atLeast"/>
        </w:trPr>
        <w:tc>
          <w:tcPr>
            <w:tcW w:w="8920" w:type="dxa"/>
            <w:gridSpan w:val="5"/>
            <w:tcBorders>
              <w:top w:val="single" w:color="000000" w:sz="4" w:space="0"/>
              <w:left w:val="single" w:color="000000" w:sz="4" w:space="0"/>
              <w:bottom w:val="single" w:color="000000" w:sz="4" w:space="0"/>
              <w:right w:val="single" w:color="000000" w:sz="4" w:space="0"/>
            </w:tcBorders>
            <w:shd w:val="clear" w:color="auto" w:fill="C6D9F1"/>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第二十条第（五）项</w:t>
            </w:r>
          </w:p>
        </w:tc>
      </w:tr>
      <w:tr>
        <w:tblPrEx>
          <w:tblCellMar>
            <w:top w:w="0" w:type="dxa"/>
            <w:left w:w="0" w:type="dxa"/>
            <w:bottom w:w="0" w:type="dxa"/>
            <w:right w:w="0" w:type="dxa"/>
          </w:tblCellMar>
        </w:tblPrEx>
        <w:trPr>
          <w:trHeight w:val="655" w:hRule="atLeast"/>
        </w:trPr>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信息内容</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上一年项目数量</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本年增/减</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处理决定数量</w:t>
            </w:r>
          </w:p>
        </w:tc>
      </w:tr>
      <w:tr>
        <w:tblPrEx>
          <w:tblCellMar>
            <w:top w:w="0" w:type="dxa"/>
            <w:left w:w="0" w:type="dxa"/>
            <w:bottom w:w="0" w:type="dxa"/>
            <w:right w:w="0" w:type="dxa"/>
          </w:tblCellMar>
        </w:tblPrEx>
        <w:trPr>
          <w:trHeight w:val="655" w:hRule="atLeast"/>
        </w:trPr>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行政许可</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w:t>
            </w:r>
          </w:p>
        </w:tc>
      </w:tr>
      <w:tr>
        <w:tblPrEx>
          <w:tblCellMar>
            <w:top w:w="0" w:type="dxa"/>
            <w:left w:w="0" w:type="dxa"/>
            <w:bottom w:w="0" w:type="dxa"/>
            <w:right w:w="0" w:type="dxa"/>
          </w:tblCellMar>
        </w:tblPrEx>
        <w:trPr>
          <w:trHeight w:val="655"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其他对外管理服务事项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行政检查</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val="en-US" w:eastAsia="zh-CN" w:bidi="ar"/>
              </w:rPr>
              <w:t>0</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kern w:val="0"/>
                <w:sz w:val="24"/>
                <w:lang w:bidi="ar"/>
              </w:rPr>
              <w:t>20</w:t>
            </w:r>
            <w:r>
              <w:rPr>
                <w:rFonts w:hint="eastAsia" w:ascii="宋体" w:hAnsi="宋体" w:eastAsia="宋体" w:cs="宋体"/>
                <w:color w:val="000000"/>
                <w:kern w:val="0"/>
                <w:sz w:val="24"/>
                <w:lang w:val="en-US" w:eastAsia="zh-CN" w:bidi="ar"/>
              </w:rPr>
              <w:t>3</w:t>
            </w:r>
          </w:p>
        </w:tc>
      </w:tr>
      <w:tr>
        <w:tblPrEx>
          <w:tblCellMar>
            <w:top w:w="0" w:type="dxa"/>
            <w:left w:w="0" w:type="dxa"/>
            <w:bottom w:w="0" w:type="dxa"/>
            <w:right w:w="0" w:type="dxa"/>
          </w:tblCellMar>
        </w:tblPrEx>
        <w:trPr>
          <w:trHeight w:val="655"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行政确认</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bidi="ar"/>
              </w:rPr>
              <w:t>-1</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w:t>
            </w:r>
          </w:p>
        </w:tc>
      </w:tr>
      <w:tr>
        <w:tblPrEx>
          <w:tblCellMar>
            <w:top w:w="0" w:type="dxa"/>
            <w:left w:w="0" w:type="dxa"/>
            <w:bottom w:w="0" w:type="dxa"/>
            <w:right w:w="0" w:type="dxa"/>
          </w:tblCellMar>
        </w:tblPrEx>
        <w:trPr>
          <w:trHeight w:val="655" w:hRule="atLeast"/>
        </w:trPr>
        <w:tc>
          <w:tcPr>
            <w:tcW w:w="8920" w:type="dxa"/>
            <w:gridSpan w:val="5"/>
            <w:tcBorders>
              <w:top w:val="single" w:color="000000" w:sz="4" w:space="0"/>
              <w:left w:val="single" w:color="000000" w:sz="4" w:space="0"/>
              <w:bottom w:val="single" w:color="000000" w:sz="4" w:space="0"/>
              <w:right w:val="single" w:color="000000" w:sz="4" w:space="0"/>
            </w:tcBorders>
            <w:shd w:val="clear" w:color="auto" w:fill="C6D9F1"/>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第二十条第（六）项</w:t>
            </w:r>
          </w:p>
        </w:tc>
      </w:tr>
      <w:tr>
        <w:tblPrEx>
          <w:tblCellMar>
            <w:top w:w="0" w:type="dxa"/>
            <w:left w:w="0" w:type="dxa"/>
            <w:bottom w:w="0" w:type="dxa"/>
            <w:right w:w="0" w:type="dxa"/>
          </w:tblCellMar>
        </w:tblPrEx>
        <w:trPr>
          <w:trHeight w:val="655" w:hRule="atLeast"/>
        </w:trPr>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信息内容</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上一年项目数量</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本年增/减</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处理决定数量</w:t>
            </w:r>
          </w:p>
        </w:tc>
      </w:tr>
      <w:tr>
        <w:tblPrEx>
          <w:tblCellMar>
            <w:top w:w="0" w:type="dxa"/>
            <w:left w:w="0" w:type="dxa"/>
            <w:bottom w:w="0" w:type="dxa"/>
            <w:right w:w="0" w:type="dxa"/>
          </w:tblCellMar>
        </w:tblPrEx>
        <w:trPr>
          <w:trHeight w:val="655" w:hRule="atLeast"/>
        </w:trPr>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行政处罚</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bidi="ar"/>
              </w:rPr>
              <w:t>9</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bidi="ar"/>
              </w:rPr>
              <w:t>-2</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r>
      <w:tr>
        <w:tblPrEx>
          <w:tblCellMar>
            <w:top w:w="0" w:type="dxa"/>
            <w:left w:w="0" w:type="dxa"/>
            <w:bottom w:w="0" w:type="dxa"/>
            <w:right w:w="0" w:type="dxa"/>
          </w:tblCellMar>
        </w:tblPrEx>
        <w:trPr>
          <w:trHeight w:val="655" w:hRule="atLeast"/>
        </w:trPr>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行政强制</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w:t>
            </w:r>
          </w:p>
        </w:tc>
        <w:tc>
          <w:tcPr>
            <w:tcW w:w="18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w:t>
            </w:r>
          </w:p>
        </w:tc>
      </w:tr>
      <w:tr>
        <w:tblPrEx>
          <w:tblCellMar>
            <w:top w:w="0" w:type="dxa"/>
            <w:left w:w="0" w:type="dxa"/>
            <w:bottom w:w="0" w:type="dxa"/>
            <w:right w:w="0" w:type="dxa"/>
          </w:tblCellMar>
        </w:tblPrEx>
        <w:trPr>
          <w:trHeight w:val="655" w:hRule="atLeast"/>
        </w:trPr>
        <w:tc>
          <w:tcPr>
            <w:tcW w:w="8920" w:type="dxa"/>
            <w:gridSpan w:val="5"/>
            <w:tcBorders>
              <w:top w:val="single" w:color="000000" w:sz="4" w:space="0"/>
              <w:left w:val="single" w:color="000000" w:sz="4" w:space="0"/>
              <w:bottom w:val="single" w:color="000000" w:sz="4" w:space="0"/>
              <w:right w:val="single" w:color="000000" w:sz="4" w:space="0"/>
            </w:tcBorders>
            <w:shd w:val="clear" w:color="auto" w:fill="C6D9F1"/>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第二十条第（八）项</w:t>
            </w:r>
          </w:p>
        </w:tc>
      </w:tr>
      <w:tr>
        <w:tblPrEx>
          <w:tblCellMar>
            <w:top w:w="0" w:type="dxa"/>
            <w:left w:w="0" w:type="dxa"/>
            <w:bottom w:w="0" w:type="dxa"/>
            <w:right w:w="0" w:type="dxa"/>
          </w:tblCellMar>
        </w:tblPrEx>
        <w:trPr>
          <w:trHeight w:val="655" w:hRule="atLeast"/>
        </w:trPr>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信息内容</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上一年项目数量</w:t>
            </w:r>
          </w:p>
        </w:tc>
        <w:tc>
          <w:tcPr>
            <w:tcW w:w="4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本年增/减</w:t>
            </w:r>
          </w:p>
        </w:tc>
      </w:tr>
      <w:tr>
        <w:tblPrEx>
          <w:tblCellMar>
            <w:top w:w="0" w:type="dxa"/>
            <w:left w:w="0" w:type="dxa"/>
            <w:bottom w:w="0" w:type="dxa"/>
            <w:right w:w="0" w:type="dxa"/>
          </w:tblCellMar>
        </w:tblPrEx>
        <w:trPr>
          <w:trHeight w:val="655" w:hRule="atLeast"/>
        </w:trPr>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行政事业性收费</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w:t>
            </w:r>
          </w:p>
        </w:tc>
        <w:tc>
          <w:tcPr>
            <w:tcW w:w="4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w:t>
            </w:r>
          </w:p>
        </w:tc>
      </w:tr>
      <w:tr>
        <w:tblPrEx>
          <w:tblCellMar>
            <w:top w:w="0" w:type="dxa"/>
            <w:left w:w="0" w:type="dxa"/>
            <w:bottom w:w="0" w:type="dxa"/>
            <w:right w:w="0" w:type="dxa"/>
          </w:tblCellMar>
        </w:tblPrEx>
        <w:trPr>
          <w:trHeight w:val="655" w:hRule="atLeast"/>
        </w:trPr>
        <w:tc>
          <w:tcPr>
            <w:tcW w:w="8920" w:type="dxa"/>
            <w:gridSpan w:val="5"/>
            <w:tcBorders>
              <w:top w:val="single" w:color="000000" w:sz="4" w:space="0"/>
              <w:left w:val="single" w:color="000000" w:sz="4" w:space="0"/>
              <w:bottom w:val="single" w:color="000000" w:sz="4" w:space="0"/>
              <w:right w:val="single" w:color="000000" w:sz="4" w:space="0"/>
            </w:tcBorders>
            <w:shd w:val="clear" w:color="auto" w:fill="C6D9F1"/>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第二十条第（九）项</w:t>
            </w:r>
          </w:p>
        </w:tc>
      </w:tr>
      <w:tr>
        <w:tblPrEx>
          <w:tblCellMar>
            <w:top w:w="0" w:type="dxa"/>
            <w:left w:w="0" w:type="dxa"/>
            <w:bottom w:w="0" w:type="dxa"/>
            <w:right w:w="0" w:type="dxa"/>
          </w:tblCellMar>
        </w:tblPrEx>
        <w:trPr>
          <w:trHeight w:val="655" w:hRule="atLeast"/>
        </w:trPr>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信息内容</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采购项目数量</w:t>
            </w:r>
          </w:p>
        </w:tc>
        <w:tc>
          <w:tcPr>
            <w:tcW w:w="4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采购总金额（万元，保留四位小数）</w:t>
            </w:r>
          </w:p>
        </w:tc>
      </w:tr>
      <w:tr>
        <w:tblPrEx>
          <w:tblCellMar>
            <w:top w:w="0" w:type="dxa"/>
            <w:left w:w="0" w:type="dxa"/>
            <w:bottom w:w="0" w:type="dxa"/>
            <w:right w:w="0" w:type="dxa"/>
          </w:tblCellMar>
        </w:tblPrEx>
        <w:trPr>
          <w:trHeight w:val="697" w:hRule="atLeast"/>
        </w:trPr>
        <w:tc>
          <w:tcPr>
            <w:tcW w:w="2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政府集中采购</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bidi="ar"/>
              </w:rPr>
              <w:t>27</w:t>
            </w:r>
          </w:p>
        </w:tc>
        <w:tc>
          <w:tcPr>
            <w:tcW w:w="4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bidi="ar"/>
              </w:rPr>
              <w:t>181</w:t>
            </w: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0212</w:t>
            </w:r>
          </w:p>
        </w:tc>
      </w:tr>
    </w:tbl>
    <w:p>
      <w:pPr>
        <w:spacing w:line="560" w:lineRule="exact"/>
        <w:ind w:left="640"/>
        <w:rPr>
          <w:rFonts w:ascii="仿宋_GB2312" w:hAnsi="宋体" w:eastAsia="仿宋_GB2312" w:cs="宋体"/>
          <w:color w:val="333333"/>
          <w:kern w:val="0"/>
          <w:sz w:val="32"/>
          <w:szCs w:val="32"/>
        </w:rPr>
        <w:sectPr>
          <w:footerReference r:id="rId3" w:type="default"/>
          <w:pgSz w:w="11906" w:h="16838"/>
          <w:pgMar w:top="1417" w:right="1134" w:bottom="1417" w:left="1134" w:header="851" w:footer="992" w:gutter="0"/>
          <w:cols w:space="425" w:num="1"/>
          <w:docGrid w:type="lines" w:linePitch="312" w:charSpace="0"/>
        </w:sectPr>
      </w:pPr>
    </w:p>
    <w:p>
      <w:pPr>
        <w:spacing w:line="560" w:lineRule="exact"/>
        <w:ind w:firstLine="640" w:firstLineChars="200"/>
        <w:rPr>
          <w:rFonts w:ascii="黑体" w:hAnsi="黑体" w:eastAsia="黑体" w:cs="黑体"/>
          <w:color w:val="333333"/>
          <w:kern w:val="0"/>
          <w:sz w:val="32"/>
          <w:szCs w:val="32"/>
        </w:rPr>
      </w:pPr>
      <w:r>
        <w:rPr>
          <w:rFonts w:hint="eastAsia" w:ascii="黑体" w:hAnsi="黑体" w:eastAsia="黑体" w:cs="黑体"/>
          <w:color w:val="333333"/>
          <w:kern w:val="0"/>
          <w:sz w:val="32"/>
          <w:szCs w:val="32"/>
        </w:rPr>
        <w:t>三、收到和处理政府信息公开申请情况</w:t>
      </w:r>
    </w:p>
    <w:tbl>
      <w:tblPr>
        <w:tblStyle w:val="4"/>
        <w:tblW w:w="8379" w:type="dxa"/>
        <w:tblInd w:w="0" w:type="dxa"/>
        <w:tblLayout w:type="autofit"/>
        <w:tblCellMar>
          <w:top w:w="0" w:type="dxa"/>
          <w:left w:w="0" w:type="dxa"/>
          <w:bottom w:w="0" w:type="dxa"/>
          <w:right w:w="0" w:type="dxa"/>
        </w:tblCellMar>
      </w:tblPr>
      <w:tblGrid>
        <w:gridCol w:w="670"/>
        <w:gridCol w:w="670"/>
        <w:gridCol w:w="1918"/>
        <w:gridCol w:w="670"/>
        <w:gridCol w:w="670"/>
        <w:gridCol w:w="670"/>
        <w:gridCol w:w="852"/>
        <w:gridCol w:w="840"/>
        <w:gridCol w:w="721"/>
        <w:gridCol w:w="698"/>
      </w:tblGrid>
      <w:tr>
        <w:tblPrEx>
          <w:tblCellMar>
            <w:top w:w="0" w:type="dxa"/>
            <w:left w:w="0" w:type="dxa"/>
            <w:bottom w:w="0" w:type="dxa"/>
            <w:right w:w="0" w:type="dxa"/>
          </w:tblCellMar>
        </w:tblPrEx>
        <w:trPr>
          <w:trHeight w:val="360" w:hRule="atLeast"/>
        </w:trPr>
        <w:tc>
          <w:tcPr>
            <w:tcW w:w="32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（本列数据的勾稽关系为：第一项加第二项之和，等于第三项加第四项之和）</w:t>
            </w:r>
          </w:p>
        </w:tc>
        <w:tc>
          <w:tcPr>
            <w:tcW w:w="512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申请人情况</w:t>
            </w:r>
          </w:p>
        </w:tc>
      </w:tr>
      <w:tr>
        <w:tblPrEx>
          <w:tblCellMar>
            <w:top w:w="0" w:type="dxa"/>
            <w:left w:w="0" w:type="dxa"/>
            <w:bottom w:w="0" w:type="dxa"/>
            <w:right w:w="0" w:type="dxa"/>
          </w:tblCellMar>
        </w:tblPrEx>
        <w:trPr>
          <w:trHeight w:val="360" w:hRule="atLeast"/>
        </w:trPr>
        <w:tc>
          <w:tcPr>
            <w:tcW w:w="32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自然人</w:t>
            </w:r>
          </w:p>
        </w:tc>
        <w:tc>
          <w:tcPr>
            <w:tcW w:w="375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法人或其他组织</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总计</w:t>
            </w:r>
          </w:p>
        </w:tc>
      </w:tr>
      <w:tr>
        <w:tblPrEx>
          <w:tblCellMar>
            <w:top w:w="0" w:type="dxa"/>
            <w:left w:w="0" w:type="dxa"/>
            <w:bottom w:w="0" w:type="dxa"/>
            <w:right w:w="0" w:type="dxa"/>
          </w:tblCellMar>
        </w:tblPrEx>
        <w:trPr>
          <w:trHeight w:val="669" w:hRule="atLeast"/>
        </w:trPr>
        <w:tc>
          <w:tcPr>
            <w:tcW w:w="32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商业  企业</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科研  机构</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社会公益组织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法律服务机构</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60" w:hRule="atLeast"/>
        </w:trPr>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一、本年新收政府信息公开申请数量</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sz w:val="18"/>
                <w:szCs w:val="18"/>
                <w:lang w:val="en-US" w:eastAsia="zh-CN"/>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sz w:val="18"/>
                <w:szCs w:val="18"/>
                <w:lang w:val="en-US" w:eastAsia="zh-CN"/>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sz w:val="18"/>
                <w:szCs w:val="18"/>
                <w:lang w:val="en-US" w:eastAsia="zh-CN"/>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sz w:val="18"/>
                <w:szCs w:val="18"/>
                <w:lang w:val="en-US" w:eastAsia="zh-CN"/>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sz w:val="18"/>
                <w:szCs w:val="18"/>
                <w:lang w:val="en-US" w:eastAsia="zh-CN"/>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hint="eastAsia" w:ascii="Calibri" w:hAnsi="Calibri" w:eastAsia="宋体" w:cs="Calibri"/>
                <w:color w:val="000000"/>
                <w:kern w:val="0"/>
                <w:sz w:val="18"/>
                <w:szCs w:val="18"/>
                <w:lang w:bidi="ar"/>
              </w:rPr>
              <w:t>1</w:t>
            </w:r>
          </w:p>
        </w:tc>
      </w:tr>
      <w:tr>
        <w:tblPrEx>
          <w:tblCellMar>
            <w:top w:w="0" w:type="dxa"/>
            <w:left w:w="0" w:type="dxa"/>
            <w:bottom w:w="0" w:type="dxa"/>
            <w:right w:w="0" w:type="dxa"/>
          </w:tblCellMar>
        </w:tblPrEx>
        <w:trPr>
          <w:trHeight w:val="360" w:hRule="atLeast"/>
        </w:trPr>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二、上年结转政府信息公开申请数量</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sz w:val="18"/>
                <w:szCs w:val="18"/>
                <w:lang w:val="en-US" w:eastAsia="zh-CN"/>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360" w:hRule="atLeast"/>
        </w:trPr>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三、本年度办理结果</w:t>
            </w: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（一）予以公开</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hint="eastAsia" w:ascii="Calibri" w:hAnsi="Calibri" w:eastAsia="宋体" w:cs="Calibri"/>
                <w:color w:val="000000"/>
                <w:sz w:val="18"/>
                <w:szCs w:val="18"/>
              </w:rPr>
              <w:t>1</w:t>
            </w:r>
          </w:p>
        </w:tc>
      </w:tr>
      <w:tr>
        <w:tblPrEx>
          <w:tblCellMar>
            <w:top w:w="0" w:type="dxa"/>
            <w:left w:w="0" w:type="dxa"/>
            <w:bottom w:w="0" w:type="dxa"/>
            <w:right w:w="0" w:type="dxa"/>
          </w:tblCellMar>
        </w:tblPrEx>
        <w:trPr>
          <w:trHeight w:val="669"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（二）部分公开（区分处理的，只计这一情形，不计其他情形）</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sz w:val="18"/>
                <w:szCs w:val="18"/>
                <w:lang w:val="en-US" w:eastAsia="zh-CN"/>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36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（三）不予公开</w:t>
            </w: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1.属于国家秘密</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sz w:val="18"/>
                <w:szCs w:val="18"/>
                <w:lang w:val="en-US" w:eastAsia="zh-CN"/>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669"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楷体" w:hAnsi="楷体" w:eastAsia="楷体" w:cs="楷体"/>
                <w:color w:val="000000"/>
                <w:sz w:val="18"/>
                <w:szCs w:val="18"/>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2.其他法律行政法规禁止公开</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36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楷体" w:hAnsi="楷体" w:eastAsia="楷体" w:cs="楷体"/>
                <w:color w:val="000000"/>
                <w:sz w:val="18"/>
                <w:szCs w:val="18"/>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3.危及“三安全一稳定”</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36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楷体" w:hAnsi="楷体" w:eastAsia="楷体" w:cs="楷体"/>
                <w:color w:val="000000"/>
                <w:sz w:val="18"/>
                <w:szCs w:val="18"/>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4.保护第三方合法权益</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648"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楷体" w:hAnsi="楷体" w:eastAsia="楷体" w:cs="楷体"/>
                <w:color w:val="000000"/>
                <w:sz w:val="18"/>
                <w:szCs w:val="18"/>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5.属于三类内部事务信息</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36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楷体" w:hAnsi="楷体" w:eastAsia="楷体" w:cs="楷体"/>
                <w:color w:val="000000"/>
                <w:sz w:val="18"/>
                <w:szCs w:val="18"/>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6.属于四类过程性信息</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36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楷体" w:hAnsi="楷体" w:eastAsia="楷体" w:cs="楷体"/>
                <w:color w:val="000000"/>
                <w:sz w:val="18"/>
                <w:szCs w:val="18"/>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7.属于行政执法案卷</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36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楷体" w:hAnsi="楷体" w:eastAsia="楷体" w:cs="楷体"/>
                <w:color w:val="000000"/>
                <w:sz w:val="18"/>
                <w:szCs w:val="18"/>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8.属于行政查询事项</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669"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（四）无法提供</w:t>
            </w: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1.本机关不掌握相关政府信息</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669"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楷体" w:hAnsi="楷体" w:eastAsia="楷体" w:cs="楷体"/>
                <w:color w:val="000000"/>
                <w:sz w:val="18"/>
                <w:szCs w:val="18"/>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2.没有现成信息需要另行制作</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669"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楷体" w:hAnsi="楷体" w:eastAsia="楷体" w:cs="楷体"/>
                <w:color w:val="000000"/>
                <w:sz w:val="18"/>
                <w:szCs w:val="18"/>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3.补正后申请内容仍不明确</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36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（五）不予处理</w:t>
            </w: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1.信访举报投诉类申请</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36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楷体" w:hAnsi="楷体" w:eastAsia="楷体" w:cs="楷体"/>
                <w:color w:val="000000"/>
                <w:sz w:val="18"/>
                <w:szCs w:val="18"/>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2.重复申请</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36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楷体" w:hAnsi="楷体" w:eastAsia="楷体" w:cs="楷体"/>
                <w:color w:val="000000"/>
                <w:sz w:val="18"/>
                <w:szCs w:val="18"/>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3.要求提供公开出版物</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669"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楷体" w:hAnsi="楷体" w:eastAsia="楷体" w:cs="楷体"/>
                <w:color w:val="000000"/>
                <w:sz w:val="18"/>
                <w:szCs w:val="18"/>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4.无正当理由大量反复申请</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669"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楷体" w:hAnsi="楷体" w:eastAsia="楷体" w:cs="楷体"/>
                <w:color w:val="000000"/>
                <w:sz w:val="18"/>
                <w:szCs w:val="18"/>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5.要求行政机关确认或重新出具已获取信息</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36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（六）其他处理</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r>
        <w:tblPrEx>
          <w:tblCellMar>
            <w:top w:w="0" w:type="dxa"/>
            <w:left w:w="0" w:type="dxa"/>
            <w:bottom w:w="0" w:type="dxa"/>
            <w:right w:w="0" w:type="dxa"/>
          </w:tblCellMar>
        </w:tblPrEx>
        <w:trPr>
          <w:trHeight w:val="360"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（七）总计</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hint="eastAsia" w:ascii="Calibri" w:hAnsi="Calibri" w:eastAsia="宋体" w:cs="Calibri"/>
                <w:color w:val="000000"/>
                <w:kern w:val="0"/>
                <w:sz w:val="18"/>
                <w:szCs w:val="18"/>
                <w:lang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hint="eastAsia" w:ascii="Calibri" w:hAnsi="Calibri" w:eastAsia="宋体" w:cs="Calibri"/>
                <w:color w:val="000000"/>
                <w:kern w:val="0"/>
                <w:sz w:val="18"/>
                <w:szCs w:val="18"/>
                <w:lang w:bidi="ar"/>
              </w:rPr>
              <w:t>1</w:t>
            </w:r>
          </w:p>
        </w:tc>
      </w:tr>
      <w:tr>
        <w:tblPrEx>
          <w:tblCellMar>
            <w:top w:w="0" w:type="dxa"/>
            <w:left w:w="0" w:type="dxa"/>
            <w:bottom w:w="0" w:type="dxa"/>
            <w:right w:w="0" w:type="dxa"/>
          </w:tblCellMar>
        </w:tblPrEx>
        <w:trPr>
          <w:trHeight w:val="380" w:hRule="atLeast"/>
        </w:trPr>
        <w:tc>
          <w:tcPr>
            <w:tcW w:w="32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四、结转下年度继续办理</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Calibri" w:hAnsi="Calibri" w:eastAsia="宋体" w:cs="Calibri"/>
                <w:color w:val="000000"/>
                <w:kern w:val="2"/>
                <w:sz w:val="18"/>
                <w:szCs w:val="18"/>
                <w:lang w:val="en-US" w:eastAsia="zh-CN" w:bidi="ar-SA"/>
              </w:rPr>
            </w:pPr>
            <w:r>
              <w:rPr>
                <w:rFonts w:hint="eastAsia" w:ascii="Calibri" w:hAnsi="Calibri" w:eastAsia="宋体" w:cs="Calibri"/>
                <w:color w:val="000000"/>
                <w:sz w:val="18"/>
                <w:szCs w:val="18"/>
                <w:lang w:val="en-US" w:eastAsia="zh-CN"/>
              </w:rPr>
              <w:t>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p>
        </w:tc>
      </w:tr>
    </w:tbl>
    <w:p>
      <w:pPr>
        <w:spacing w:line="560" w:lineRule="exact"/>
        <w:ind w:left="640"/>
        <w:rPr>
          <w:rFonts w:ascii="仿宋_GB2312" w:hAnsi="宋体" w:eastAsia="仿宋_GB2312" w:cs="宋体"/>
          <w:color w:val="333333"/>
          <w:kern w:val="0"/>
          <w:sz w:val="18"/>
          <w:szCs w:val="18"/>
        </w:rPr>
      </w:pPr>
    </w:p>
    <w:p>
      <w:pPr>
        <w:spacing w:line="560" w:lineRule="exact"/>
        <w:ind w:firstLine="640" w:firstLineChars="200"/>
        <w:rPr>
          <w:rFonts w:ascii="仿宋_GB2312" w:hAnsi="宋体" w:eastAsia="仿宋_GB2312" w:cs="宋体"/>
          <w:color w:val="333333"/>
          <w:kern w:val="0"/>
          <w:sz w:val="32"/>
          <w:szCs w:val="32"/>
        </w:rPr>
      </w:pPr>
      <w:r>
        <w:rPr>
          <w:rFonts w:hint="eastAsia" w:ascii="黑体" w:hAnsi="黑体" w:eastAsia="黑体" w:cs="黑体"/>
          <w:color w:val="333333"/>
          <w:kern w:val="0"/>
          <w:sz w:val="32"/>
          <w:szCs w:val="32"/>
        </w:rPr>
        <w:t>四、政府信息公开行政复议、行政诉讼情况</w:t>
      </w:r>
    </w:p>
    <w:tbl>
      <w:tblPr>
        <w:tblStyle w:val="4"/>
        <w:tblpPr w:leftFromText="180" w:rightFromText="180" w:vertAnchor="text" w:horzAnchor="page" w:tblpX="2068" w:tblpY="183"/>
        <w:tblOverlap w:val="never"/>
        <w:tblW w:w="8019" w:type="dxa"/>
        <w:tblInd w:w="0" w:type="dxa"/>
        <w:tblLayout w:type="autofit"/>
        <w:tblCellMar>
          <w:top w:w="0" w:type="dxa"/>
          <w:left w:w="0" w:type="dxa"/>
          <w:bottom w:w="0" w:type="dxa"/>
          <w:right w:w="0" w:type="dxa"/>
        </w:tblCellMar>
      </w:tblPr>
      <w:tblGrid>
        <w:gridCol w:w="533"/>
        <w:gridCol w:w="533"/>
        <w:gridCol w:w="533"/>
        <w:gridCol w:w="533"/>
        <w:gridCol w:w="585"/>
        <w:gridCol w:w="516"/>
        <w:gridCol w:w="516"/>
        <w:gridCol w:w="516"/>
        <w:gridCol w:w="516"/>
        <w:gridCol w:w="585"/>
        <w:gridCol w:w="516"/>
        <w:gridCol w:w="516"/>
        <w:gridCol w:w="516"/>
        <w:gridCol w:w="516"/>
        <w:gridCol w:w="589"/>
      </w:tblGrid>
      <w:tr>
        <w:tblPrEx>
          <w:tblCellMar>
            <w:top w:w="0" w:type="dxa"/>
            <w:left w:w="0" w:type="dxa"/>
            <w:bottom w:w="0" w:type="dxa"/>
            <w:right w:w="0" w:type="dxa"/>
          </w:tblCellMar>
        </w:tblPrEx>
        <w:trPr>
          <w:trHeight w:val="568" w:hRule="atLeast"/>
        </w:trPr>
        <w:tc>
          <w:tcPr>
            <w:tcW w:w="271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行政复议</w:t>
            </w:r>
          </w:p>
        </w:tc>
        <w:tc>
          <w:tcPr>
            <w:tcW w:w="530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行政诉讼</w:t>
            </w:r>
          </w:p>
        </w:tc>
      </w:tr>
      <w:tr>
        <w:tblPrEx>
          <w:tblCellMar>
            <w:top w:w="0" w:type="dxa"/>
            <w:left w:w="0" w:type="dxa"/>
            <w:bottom w:w="0" w:type="dxa"/>
            <w:right w:w="0" w:type="dxa"/>
          </w:tblCellMar>
        </w:tblPrEx>
        <w:trPr>
          <w:trHeight w:val="568"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结果维持</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结果纠正</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其他结果</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尚未审结</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26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未经复议直接起诉</w:t>
            </w:r>
          </w:p>
        </w:tc>
        <w:tc>
          <w:tcPr>
            <w:tcW w:w="265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复议后起诉</w:t>
            </w:r>
          </w:p>
        </w:tc>
      </w:tr>
      <w:tr>
        <w:tblPrEx>
          <w:tblCellMar>
            <w:top w:w="0" w:type="dxa"/>
            <w:left w:w="0" w:type="dxa"/>
            <w:bottom w:w="0" w:type="dxa"/>
            <w:right w:w="0" w:type="dxa"/>
          </w:tblCellMar>
        </w:tblPrEx>
        <w:trPr>
          <w:trHeight w:val="638"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结果维持</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结果纠正</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其他结果</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尚未审结</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结果维持</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结果纠正</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其他结果</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尚未审结</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r>
      <w:tr>
        <w:tblPrEx>
          <w:tblCellMar>
            <w:top w:w="0" w:type="dxa"/>
            <w:left w:w="0" w:type="dxa"/>
            <w:bottom w:w="0" w:type="dxa"/>
            <w:right w:w="0" w:type="dxa"/>
          </w:tblCellMar>
        </w:tblPrEx>
        <w:trPr>
          <w:trHeight w:val="698"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0</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r>
              <w:rPr>
                <w:rFonts w:hint="eastAsia" w:ascii="Calibri" w:hAnsi="Calibri" w:eastAsia="宋体" w:cs="Calibri"/>
                <w:color w:val="000000"/>
                <w:sz w:val="18"/>
                <w:szCs w:val="18"/>
              </w:rPr>
              <w:t>0</w:t>
            </w:r>
          </w:p>
        </w:tc>
      </w:tr>
    </w:tbl>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ascii="黑体" w:hAnsi="黑体" w:eastAsia="黑体" w:cs="黑体"/>
          <w:color w:val="333333"/>
          <w:kern w:val="0"/>
          <w:sz w:val="32"/>
          <w:szCs w:val="32"/>
        </w:rPr>
      </w:pPr>
      <w:r>
        <w:rPr>
          <w:rFonts w:hint="eastAsia" w:ascii="黑体" w:hAnsi="黑体" w:eastAsia="黑体" w:cs="黑体"/>
          <w:color w:val="333333"/>
          <w:kern w:val="0"/>
          <w:sz w:val="32"/>
          <w:szCs w:val="32"/>
        </w:rPr>
        <w:t>五、政府信息公开工作存在的主要问题及改进情况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2019年，我局的信息公开工作虽然取得了一些成绩，但是距离人民群众的期盼还有一些差距，主要有以下两个方面。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1.信息公开的内容还需规范。改进措施：继续深入学习《中华人民共和国政府信息公开条例》</w:t>
      </w:r>
      <w:bookmarkStart w:id="0" w:name="_GoBack"/>
      <w:bookmarkEnd w:id="0"/>
      <w:r>
        <w:rPr>
          <w:rFonts w:hint="eastAsia" w:ascii="仿宋_GB2312" w:hAnsi="宋体" w:eastAsia="仿宋_GB2312" w:cs="宋体"/>
          <w:color w:val="333333"/>
          <w:kern w:val="0"/>
          <w:sz w:val="32"/>
          <w:szCs w:val="32"/>
        </w:rPr>
        <w:t>相关文件精神，</w:t>
      </w:r>
      <w:r>
        <w:rPr>
          <w:rFonts w:hint="eastAsia" w:ascii="仿宋_GB2312" w:hAnsi="宋体" w:eastAsia="仿宋_GB2312" w:cs="宋体"/>
          <w:color w:val="333333"/>
          <w:kern w:val="0"/>
          <w:sz w:val="32"/>
          <w:szCs w:val="32"/>
          <w:lang w:eastAsia="zh-CN"/>
        </w:rPr>
        <w:t>落实好</w:t>
      </w:r>
      <w:r>
        <w:rPr>
          <w:rFonts w:hint="eastAsia" w:ascii="仿宋_GB2312" w:hAnsi="宋体" w:eastAsia="仿宋_GB2312" w:cs="宋体"/>
          <w:color w:val="333333"/>
          <w:kern w:val="0"/>
          <w:sz w:val="32"/>
          <w:szCs w:val="32"/>
        </w:rPr>
        <w:t>信息报送、审核、签发机制，层层把关，不断提高信息内容的质量。同时积极开展人员培训，加强学习交流，不断提高工作人员业务水平。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2.信息公开的形式还需丰富。改进措施：在信息公开管理平台上及时发布信息，同时利用好 “丰台V科技”官方微信平台、信用丰台网站等及时发布、解读丰台科技创新和信用建设的形势、政策、举措等，不断拓宽信息发布渠道，丰富信息公开的内容和形式。</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ascii="仿宋_GB2312" w:hAnsi="宋体" w:eastAsia="仿宋_GB2312" w:cs="宋体"/>
          <w:color w:val="333333"/>
          <w:kern w:val="0"/>
          <w:sz w:val="32"/>
          <w:szCs w:val="32"/>
        </w:rPr>
      </w:pPr>
      <w:r>
        <w:rPr>
          <w:rFonts w:hint="eastAsia" w:ascii="黑体" w:hAnsi="黑体" w:eastAsia="黑体" w:cs="黑体"/>
          <w:color w:val="333333"/>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1.推动高精尖产业项目建设。推动区政府与北京市科委共同设立“北京市自然科学基金-丰台轨道交通前沿研究联合基金</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调动清华大学、中科院自动化所、北京交通大学等17家单位资源，提升丰台区轨道交通产业的影响力；推动中关村丰台园西-区海绵城市项目和丰台创新中心建设纳入全市首批十个应用场景建设项目；海信科金、北矿科技等21家企业分别获得国家科学技术奖和北京市科学技术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.壮大科技创业孵化载体。新增5家孵化机构，我区各类孵化机构数量达到54家,比去年年底增加10%。京卫惟科生物科技孵化（北京）有限公司、北京搜宝创展科技孵化器成为国家级孵化器</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我区国家级孵化器将增至9家</w:t>
      </w:r>
      <w:r>
        <w:rPr>
          <w:rFonts w:hint="eastAsia" w:ascii="仿宋_GB2312" w:hAnsi="宋体" w:eastAsia="仿宋_GB2312" w:cs="宋体"/>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.狠抓科普教育。举办了以“科技强国 科普惠民”为主题的科技活动周，围绕“科技成果展示、科普互动体验、民生科普宣传”三个板块，联合区内各级科普基地举行形式多样的科普活动，受益人群50000余人次；首次发布了“科普地图”和“科普畅游护照”，将丰台区特色科普资源进行串联，打造“美丽丰台科普行”主题科普活动，共印制发放科普地图2000张，科普护照20000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4</w:t>
      </w:r>
      <w:r>
        <w:rPr>
          <w:rFonts w:hint="eastAsia" w:ascii="仿宋_GB2312" w:hAnsi="宋体" w:eastAsia="仿宋_GB2312" w:cs="宋体"/>
          <w:color w:val="333333"/>
          <w:kern w:val="0"/>
          <w:sz w:val="32"/>
          <w:szCs w:val="32"/>
        </w:rPr>
        <w:t>.全力推进社会信用体系建设。建立社会信用体系建设联席会议制度，强化信用建设统筹协调作用；建立健全社会信用体系建设政策制度体系，编制印发了《丰台区2019年社会信用体系建设工作评价办法》（丰社信联办发〔2019〕6号）《关于建立完善丰台区信用联合奖惩制度加快推进诚信建设的实施意见》（丰社信联办发〔2019〕8号</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等信用制度文件，全面部署区内信用工作安排；积极开展“诚信建设万里行”宣传活动，全面提升区域信用水平；注重信用信息基础设施建设，完成信用丰台网站建设；丰台区社会信用体系建设</w:t>
      </w:r>
      <w:r>
        <w:rPr>
          <w:rFonts w:hint="eastAsia" w:ascii="仿宋_GB2312" w:hAnsi="宋体" w:eastAsia="仿宋_GB2312" w:cs="宋体"/>
          <w:color w:val="333333"/>
          <w:kern w:val="0"/>
          <w:sz w:val="32"/>
          <w:szCs w:val="32"/>
          <w:lang w:eastAsia="zh-CN"/>
        </w:rPr>
        <w:t>重点</w:t>
      </w:r>
      <w:r>
        <w:rPr>
          <w:rFonts w:hint="eastAsia" w:ascii="仿宋_GB2312" w:hAnsi="宋体" w:eastAsia="仿宋_GB2312" w:cs="宋体"/>
          <w:color w:val="333333"/>
          <w:kern w:val="0"/>
          <w:sz w:val="32"/>
          <w:szCs w:val="32"/>
        </w:rPr>
        <w:t>任务完成情况</w:t>
      </w:r>
      <w:r>
        <w:rPr>
          <w:rFonts w:hint="eastAsia" w:ascii="仿宋_GB2312" w:hAnsi="宋体" w:eastAsia="仿宋_GB2312" w:cs="宋体"/>
          <w:color w:val="333333"/>
          <w:kern w:val="0"/>
          <w:sz w:val="32"/>
          <w:szCs w:val="32"/>
          <w:lang w:eastAsia="zh-CN"/>
        </w:rPr>
        <w:t>和</w:t>
      </w:r>
      <w:r>
        <w:rPr>
          <w:rFonts w:hint="eastAsia" w:ascii="仿宋_GB2312" w:hAnsi="宋体" w:eastAsia="仿宋_GB2312" w:cs="宋体"/>
          <w:color w:val="333333"/>
          <w:kern w:val="0"/>
          <w:sz w:val="32"/>
          <w:szCs w:val="32"/>
        </w:rPr>
        <w:t>综合信用指数在全市</w:t>
      </w:r>
      <w:r>
        <w:rPr>
          <w:rFonts w:hint="eastAsia" w:ascii="仿宋_GB2312" w:hAnsi="宋体" w:eastAsia="仿宋_GB2312" w:cs="宋体"/>
          <w:color w:val="333333"/>
          <w:kern w:val="0"/>
          <w:sz w:val="32"/>
          <w:szCs w:val="32"/>
          <w:lang w:eastAsia="zh-CN"/>
        </w:rPr>
        <w:t>位居前列</w:t>
      </w:r>
      <w:r>
        <w:rPr>
          <w:rFonts w:hint="eastAsia" w:ascii="仿宋_GB2312" w:hAnsi="宋体" w:eastAsia="仿宋_GB2312" w:cs="宋体"/>
          <w:color w:val="333333"/>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333333"/>
          <w:kern w:val="0"/>
          <w:sz w:val="32"/>
          <w:szCs w:val="32"/>
        </w:rPr>
      </w:pPr>
    </w:p>
    <w:p>
      <w:pPr>
        <w:spacing w:line="560" w:lineRule="exact"/>
        <w:ind w:left="640"/>
        <w:rPr>
          <w:rFonts w:ascii="仿宋_GB2312" w:hAnsi="宋体" w:eastAsia="仿宋_GB2312" w:cs="宋体"/>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9F"/>
    <w:rsid w:val="00124196"/>
    <w:rsid w:val="0014704E"/>
    <w:rsid w:val="00337576"/>
    <w:rsid w:val="004868CC"/>
    <w:rsid w:val="005064EF"/>
    <w:rsid w:val="00507111"/>
    <w:rsid w:val="005D453E"/>
    <w:rsid w:val="006023E1"/>
    <w:rsid w:val="0063511B"/>
    <w:rsid w:val="0064707E"/>
    <w:rsid w:val="006A7F5A"/>
    <w:rsid w:val="00742DC6"/>
    <w:rsid w:val="00747130"/>
    <w:rsid w:val="00947251"/>
    <w:rsid w:val="009F2354"/>
    <w:rsid w:val="00A046FF"/>
    <w:rsid w:val="00A8339F"/>
    <w:rsid w:val="00B93C20"/>
    <w:rsid w:val="00BC797F"/>
    <w:rsid w:val="00CF0F9C"/>
    <w:rsid w:val="00E33F4F"/>
    <w:rsid w:val="00EB4B3D"/>
    <w:rsid w:val="00FE430D"/>
    <w:rsid w:val="01BD4134"/>
    <w:rsid w:val="04C0790C"/>
    <w:rsid w:val="05AD00A4"/>
    <w:rsid w:val="05F804A2"/>
    <w:rsid w:val="072A5DFC"/>
    <w:rsid w:val="078A71F4"/>
    <w:rsid w:val="08F44330"/>
    <w:rsid w:val="09214A3B"/>
    <w:rsid w:val="0B570DDD"/>
    <w:rsid w:val="0C8F7310"/>
    <w:rsid w:val="0D0A3BBE"/>
    <w:rsid w:val="0D3F7B26"/>
    <w:rsid w:val="0DB6783B"/>
    <w:rsid w:val="0DB87DEA"/>
    <w:rsid w:val="0DFB32CA"/>
    <w:rsid w:val="0ECD3D97"/>
    <w:rsid w:val="0EF86BAF"/>
    <w:rsid w:val="0F657E13"/>
    <w:rsid w:val="10045641"/>
    <w:rsid w:val="10A06863"/>
    <w:rsid w:val="12444C20"/>
    <w:rsid w:val="129577E5"/>
    <w:rsid w:val="13B569BD"/>
    <w:rsid w:val="14E4542B"/>
    <w:rsid w:val="154B5D45"/>
    <w:rsid w:val="16292B77"/>
    <w:rsid w:val="17007BBF"/>
    <w:rsid w:val="17B24FC6"/>
    <w:rsid w:val="1CDD27CF"/>
    <w:rsid w:val="1DF13055"/>
    <w:rsid w:val="22FA18E5"/>
    <w:rsid w:val="27C128FC"/>
    <w:rsid w:val="27EA10C6"/>
    <w:rsid w:val="2A0F6FBB"/>
    <w:rsid w:val="2DC01E5F"/>
    <w:rsid w:val="2E0A74D9"/>
    <w:rsid w:val="2EB33AF9"/>
    <w:rsid w:val="2EBA3672"/>
    <w:rsid w:val="2F995810"/>
    <w:rsid w:val="305B5F83"/>
    <w:rsid w:val="309D43E1"/>
    <w:rsid w:val="315E3925"/>
    <w:rsid w:val="32A004B2"/>
    <w:rsid w:val="335A760B"/>
    <w:rsid w:val="33773F75"/>
    <w:rsid w:val="338C16B6"/>
    <w:rsid w:val="3833159E"/>
    <w:rsid w:val="38E43B15"/>
    <w:rsid w:val="39D45C9F"/>
    <w:rsid w:val="39E15322"/>
    <w:rsid w:val="3CF57E93"/>
    <w:rsid w:val="3D2C2289"/>
    <w:rsid w:val="3FDB5B0D"/>
    <w:rsid w:val="40990543"/>
    <w:rsid w:val="40F340C7"/>
    <w:rsid w:val="43E745F8"/>
    <w:rsid w:val="44B51CB0"/>
    <w:rsid w:val="46303317"/>
    <w:rsid w:val="4698755C"/>
    <w:rsid w:val="47DB0628"/>
    <w:rsid w:val="49AC02E3"/>
    <w:rsid w:val="49B00FF3"/>
    <w:rsid w:val="4D0B6B75"/>
    <w:rsid w:val="504F46B1"/>
    <w:rsid w:val="50C845CD"/>
    <w:rsid w:val="532D2C11"/>
    <w:rsid w:val="54121C30"/>
    <w:rsid w:val="58040133"/>
    <w:rsid w:val="5C1703C5"/>
    <w:rsid w:val="5C5F5C83"/>
    <w:rsid w:val="5CBF24CD"/>
    <w:rsid w:val="5E825D1A"/>
    <w:rsid w:val="5F0550BD"/>
    <w:rsid w:val="601D273C"/>
    <w:rsid w:val="604014D2"/>
    <w:rsid w:val="60542D42"/>
    <w:rsid w:val="649F15B6"/>
    <w:rsid w:val="66E2051E"/>
    <w:rsid w:val="69545511"/>
    <w:rsid w:val="6C531241"/>
    <w:rsid w:val="6CBC1F79"/>
    <w:rsid w:val="71801789"/>
    <w:rsid w:val="71886073"/>
    <w:rsid w:val="719174B5"/>
    <w:rsid w:val="72BA05D9"/>
    <w:rsid w:val="74E417C0"/>
    <w:rsid w:val="75100154"/>
    <w:rsid w:val="752B64AD"/>
    <w:rsid w:val="763D780C"/>
    <w:rsid w:val="7A227662"/>
    <w:rsid w:val="7C045B16"/>
    <w:rsid w:val="7DB462BB"/>
    <w:rsid w:val="7E3C6F0D"/>
    <w:rsid w:val="7F5C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3012</Words>
  <Characters>581</Characters>
  <Lines>4</Lines>
  <Paragraphs>7</Paragraphs>
  <TotalTime>5</TotalTime>
  <ScaleCrop>false</ScaleCrop>
  <LinksUpToDate>false</LinksUpToDate>
  <CharactersWithSpaces>3586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2019-12-24T08:16:00Z</dcterms:created>
  <dc:creator>dell</dc:creator>
  <cp:lastModifiedBy>立永</cp:lastModifiedBy>
  <cp:lastPrinted>2020-01-06T05:55:00Z</cp:lastPrinted>
  <dcterms:modified xsi:type="dcterms:W3CDTF">2020-09-22T06:08:27Z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