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北京市丰台区住房和城乡建设委员会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中华人民共和国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（一）组织领导情况。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认真贯彻落实《政府信息公开条例》，积极推进政府信息公开工作，进一步强化政务公开保密审查制度，严格执行政务公开保密审查流程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积极落实好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《2024年丰台区政务公开工作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区政府网站、新闻媒体等渠道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重大项目、城乡建设重点领域信息，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定期主动公开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各类政策性住房建设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优化营商环境相关政务信息，公开安全生产、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建设工程合同履约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专项执法检查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情况及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管理的政策措施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权责清单、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预算、决算信息等。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依申请公开办理情况。本年度我单位收到申请总数为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件。当面申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件，占总数的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%；传真申请0件，占总数的0.0%；信函申请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件，占总数的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52.8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电子邮件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件，占总数的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%。本年度按期答复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件申请，按期答复率为100%。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信息公开管理情况。按照市、区两级政务公开事项清单，全面梳理并完善《丰台区住房和城乡建设委员会政府信息主动公开全清单》，严格按照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政府信息主动公开清单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落实政务公开各项内容，实时更新依申请公开事项信息。结合实际情况进一步修订《丰台区住房和城乡建设委员会信息公开指南（202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年版）》，畅通公开渠道，更好地为申请人提供政府信息公开服务，便于申请人了解政府信息。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政府信息公开平台建设情况。按照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区政务服务和数据管理局要求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，完成区政府网站城乡建设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、保障性住房建设情况等</w:t>
      </w:r>
      <w:r>
        <w:rPr>
          <w:rFonts w:hint="eastAsia" w:ascii="仿宋_GB2312" w:hAnsi="仿宋_GB2312" w:eastAsia="仿宋_GB2312" w:cs="仿宋_GB2312"/>
          <w:sz w:val="32"/>
          <w:szCs w:val="32"/>
        </w:rPr>
        <w:t>专栏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的更新与维护。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专人维护区政府网站专栏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，严格执行网站信息发布审批流程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及时更新各类政务信息，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确保信息发布按时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、合规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宣传部门、新闻媒体的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沟通，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拓宽政府信息公开渠道。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教育培训情况。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区政务服务和数据管理局组织的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培训及研讨活动，加强各部门间的交流，对信息公开工作中的重点、难点问题共同研究分析。加强培训和学习，提高信息公开工作人员的业务水平和综合素质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监督保障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完善政务公开工作监督机制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办公室负责对本单位信息公开情况进行监督检查，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确保公开信息准确无误。多渠道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对本单位政务公开工作的意见、建议和举报，督促改进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政务公开工作。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2"/>
        <w:gridCol w:w="3211"/>
        <w:gridCol w:w="698"/>
        <w:gridCol w:w="687"/>
        <w:gridCol w:w="687"/>
        <w:gridCol w:w="687"/>
        <w:gridCol w:w="687"/>
        <w:gridCol w:w="687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14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8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2024年我单位在政务公开方面做了大量工作，但对于征拆、棚改等领域的政府信息更新频率还有待提高，信息公开渠道还需进一步丰富。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对此，我单位不断加大政府信息公开工作力度，进一步认识政府信息公开工作的重要性，完善我单位信息公开管理制度，优化工作流程。加强信息公开平台建设，与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宣传部门、新闻媒体加强交流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，拓宽公开渠道、更全面覆盖公开内容，提升重点领域信息公开的质量。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加强多部门之间的沟通协调，尤其针对综合性较强或不常见的申请件，征求多方意见共同研究，形成合力，提高依申请公开答复的精准性和时效性。进一步提高为民服务意识，提升工作人员业务水平，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加大学习和宣传力度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，通过不同部门间的联动与配合，提高工作效率。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依据国务院办公厅《政府信息公开信息处理费管理办法》（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国办函〔2020〕109号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规定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2024年度</w:t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  <w:lang w:val="en-US" w:eastAsia="zh-CN"/>
        </w:rPr>
        <w:t>发出收费通知的件数和总金额以及实际收取的总金额均为0。丰台区区政务门户网站：</w:t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  <w:lang w:val="en-US" w:eastAsia="zh-CN"/>
        </w:rPr>
        <w:instrText xml:space="preserve"> HYPERLINK "http://www.bjft.gov.cn/ftq/index.shtml" </w:instrText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  <w:lang w:val="en-US" w:eastAsia="zh-CN"/>
        </w:rPr>
        <w:t>http://www.bjft.gov.cn/ftq/index.shtml</w:t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  <w:lang w:val="en-US" w:eastAsia="zh-CN"/>
        </w:rPr>
        <w:t xml:space="preserve"> ，如需了解更多政务服务信息，请登录查询。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57D3613"/>
    <w:rsid w:val="08311D96"/>
    <w:rsid w:val="0B5B6E2A"/>
    <w:rsid w:val="0F227D2C"/>
    <w:rsid w:val="1D604BB3"/>
    <w:rsid w:val="1F3E1324"/>
    <w:rsid w:val="1FF82596"/>
    <w:rsid w:val="22BF3043"/>
    <w:rsid w:val="23D93471"/>
    <w:rsid w:val="2C581E8D"/>
    <w:rsid w:val="30EC25CD"/>
    <w:rsid w:val="32F16BEF"/>
    <w:rsid w:val="34215CB0"/>
    <w:rsid w:val="3A316F85"/>
    <w:rsid w:val="3D8949C3"/>
    <w:rsid w:val="40053F18"/>
    <w:rsid w:val="402A342C"/>
    <w:rsid w:val="410E0096"/>
    <w:rsid w:val="4DFE228F"/>
    <w:rsid w:val="4EDD74E8"/>
    <w:rsid w:val="528A298C"/>
    <w:rsid w:val="56F03F08"/>
    <w:rsid w:val="574249EB"/>
    <w:rsid w:val="58B74CA4"/>
    <w:rsid w:val="59293F61"/>
    <w:rsid w:val="5F1D0223"/>
    <w:rsid w:val="61873AB1"/>
    <w:rsid w:val="644E71C0"/>
    <w:rsid w:val="685A4CC0"/>
    <w:rsid w:val="689B427A"/>
    <w:rsid w:val="6D256A4E"/>
    <w:rsid w:val="6FA431BE"/>
    <w:rsid w:val="6FD61DF3"/>
    <w:rsid w:val="719A0F60"/>
    <w:rsid w:val="73460BFA"/>
    <w:rsid w:val="7B9B5156"/>
    <w:rsid w:val="7BA73306"/>
    <w:rsid w:val="7D4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asus</cp:lastModifiedBy>
  <cp:lastPrinted>2024-01-15T03:41:00Z</cp:lastPrinted>
  <dcterms:modified xsi:type="dcterms:W3CDTF">2025-01-09T04:07:24Z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777A847F1E62408681F2B484CE9F2687</vt:lpwstr>
  </property>
</Properties>
</file>