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北京市丰台区城市管理委员会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2021年政府信息公开工作年度报告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caps w:val="0"/>
          <w:color w:val="000000"/>
          <w:spacing w:val="0"/>
          <w:sz w:val="18"/>
          <w:szCs w:val="18"/>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依据《中华人民共和国政府信息公开条例》(以下简称《政府信息公开条例》)第五十条规定，编制本报告。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主动公开情况。2021年我委在北京市丰台区人民政府网站主动公开政府信息174条，全文电子化率为100%。其中：财政预算决算信息5条，业务动态类信息43条，结果公示类信息6条，政府公告3条，垃圾分类专题专栏95条，在信用中国（北京丰台）专栏进行行政许可及行政处罚“双公示”22条。2021年通过政务微博发布信息131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依申请公开办理情况。2021年，我委共收到31件信息公开申请，上一年度结转信息公开申请3件，共计34件，均在法定期限内依法予以答复，不涉及复议诉讼。其中：同意公开答复数19件，占申请总数的56%；无法提供公开信息7件，占申请总数的21%；其他处理3件，占申请总数的9%；属于过程性信息的2件，占申请总数的6%；结转下一年度办理的公开信息3件，占申请总数的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政府信息资源的规范化、标准化管理情况。我委严格落实《政府信息公开条例》实时性的要求，及时更新完善信息公开指南，落实信息公开年报制度，严格执行主动公开及依申请公开工作流程及标准；对主动公开、依申请公开的文件做好保密审查，规范审查流程，确定公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bookmarkStart w:id="0" w:name="_GoBack"/>
      <w:r>
        <w:rPr>
          <w:rFonts w:hint="eastAsia" w:ascii="仿宋_GB2312" w:hAnsi="仿宋_GB2312" w:eastAsia="仿宋_GB2312" w:cs="仿宋_GB2312"/>
          <w:i w:val="0"/>
          <w:caps w:val="0"/>
          <w:color w:val="000000"/>
          <w:spacing w:val="0"/>
          <w:sz w:val="32"/>
          <w:szCs w:val="32"/>
          <w:bdr w:val="none" w:color="auto" w:sz="0" w:space="0"/>
        </w:rPr>
        <w:t>（四）政府信息公开平台建设情况。我委严格落实信息公开规范管理工作要求。在主动公开方面：</w:t>
      </w:r>
      <w:r>
        <w:rPr>
          <w:rFonts w:hint="eastAsia" w:ascii="仿宋_GB2312" w:hAnsi="仿宋_GB2312" w:eastAsia="仿宋_GB2312" w:cs="仿宋_GB2312"/>
          <w:i w:val="0"/>
          <w:caps w:val="0"/>
          <w:color w:val="000000"/>
          <w:spacing w:val="0"/>
          <w:sz w:val="32"/>
          <w:szCs w:val="32"/>
          <w:lang w:eastAsia="zh-CN"/>
        </w:rPr>
        <w:t>一</w:t>
      </w:r>
      <w:r>
        <w:rPr>
          <w:rFonts w:hint="eastAsia" w:ascii="仿宋_GB2312" w:hAnsi="仿宋_GB2312" w:eastAsia="仿宋_GB2312" w:cs="仿宋_GB2312"/>
          <w:i w:val="0"/>
          <w:caps w:val="0"/>
          <w:color w:val="000000"/>
          <w:spacing w:val="0"/>
          <w:sz w:val="32"/>
          <w:szCs w:val="32"/>
        </w:rPr>
        <w:t>是通过政务微博，安排专人监测，及时回复、回应网友提问或咨询以及社会关切。</w:t>
      </w:r>
      <w:r>
        <w:rPr>
          <w:rFonts w:hint="eastAsia" w:ascii="仿宋_GB2312" w:hAnsi="仿宋_GB2312" w:eastAsia="仿宋_GB2312" w:cs="仿宋_GB2312"/>
          <w:i w:val="0"/>
          <w:caps w:val="0"/>
          <w:color w:val="000000"/>
          <w:spacing w:val="0"/>
          <w:sz w:val="32"/>
          <w:szCs w:val="32"/>
          <w:bdr w:val="none" w:color="auto" w:sz="0" w:space="0"/>
          <w:lang w:eastAsia="zh-CN"/>
        </w:rPr>
        <w:t>二</w:t>
      </w:r>
      <w:r>
        <w:rPr>
          <w:rFonts w:hint="eastAsia" w:ascii="仿宋_GB2312" w:hAnsi="仿宋_GB2312" w:eastAsia="仿宋_GB2312" w:cs="仿宋_GB2312"/>
          <w:i w:val="0"/>
          <w:caps w:val="0"/>
          <w:color w:val="000000"/>
          <w:spacing w:val="0"/>
          <w:sz w:val="32"/>
          <w:szCs w:val="32"/>
          <w:bdr w:val="none" w:color="auto" w:sz="0" w:space="0"/>
        </w:rPr>
        <w:t>是依托北京市丰台区人民政府网站各发布栏目，及时发布我委</w:t>
      </w:r>
      <w:r>
        <w:rPr>
          <w:rFonts w:hint="eastAsia" w:ascii="仿宋_GB2312" w:hAnsi="仿宋_GB2312" w:eastAsia="仿宋_GB2312" w:cs="仿宋_GB2312"/>
          <w:i w:val="0"/>
          <w:caps w:val="0"/>
          <w:color w:val="000000"/>
          <w:spacing w:val="0"/>
          <w:sz w:val="32"/>
          <w:szCs w:val="32"/>
        </w:rPr>
        <w:t>各类</w:t>
      </w:r>
      <w:r>
        <w:rPr>
          <w:rFonts w:hint="eastAsia" w:ascii="仿宋_GB2312" w:hAnsi="仿宋_GB2312" w:eastAsia="仿宋_GB2312" w:cs="仿宋_GB2312"/>
          <w:i w:val="0"/>
          <w:caps w:val="0"/>
          <w:color w:val="000000"/>
          <w:spacing w:val="0"/>
          <w:sz w:val="32"/>
          <w:szCs w:val="32"/>
          <w:lang w:eastAsia="zh-CN"/>
        </w:rPr>
        <w:t>业务</w:t>
      </w:r>
      <w:r>
        <w:rPr>
          <w:rFonts w:hint="eastAsia" w:ascii="仿宋_GB2312" w:hAnsi="仿宋_GB2312" w:eastAsia="仿宋_GB2312" w:cs="仿宋_GB2312"/>
          <w:i w:val="0"/>
          <w:caps w:val="0"/>
          <w:color w:val="000000"/>
          <w:spacing w:val="0"/>
          <w:sz w:val="32"/>
          <w:szCs w:val="32"/>
        </w:rPr>
        <w:t>动态</w:t>
      </w:r>
      <w:r>
        <w:rPr>
          <w:rFonts w:hint="eastAsia" w:ascii="仿宋_GB2312" w:hAnsi="仿宋_GB2312" w:eastAsia="仿宋_GB2312" w:cs="仿宋_GB2312"/>
          <w:i w:val="0"/>
          <w:caps w:val="0"/>
          <w:color w:val="000000"/>
          <w:spacing w:val="0"/>
          <w:sz w:val="32"/>
          <w:szCs w:val="32"/>
          <w:bdr w:val="none" w:color="auto" w:sz="0" w:space="0"/>
        </w:rPr>
        <w:t>、</w:t>
      </w:r>
      <w:r>
        <w:rPr>
          <w:rFonts w:hint="eastAsia" w:ascii="仿宋_GB2312" w:hAnsi="仿宋_GB2312" w:eastAsia="仿宋_GB2312" w:cs="仿宋_GB2312"/>
          <w:i w:val="0"/>
          <w:caps w:val="0"/>
          <w:color w:val="000000"/>
          <w:spacing w:val="0"/>
          <w:sz w:val="32"/>
          <w:szCs w:val="32"/>
          <w:bdr w:val="none" w:color="auto" w:sz="0" w:space="0"/>
          <w:lang w:eastAsia="zh-CN"/>
        </w:rPr>
        <w:t>政府公告、</w:t>
      </w:r>
      <w:r>
        <w:rPr>
          <w:rFonts w:hint="eastAsia" w:ascii="仿宋_GB2312" w:hAnsi="仿宋_GB2312" w:eastAsia="仿宋_GB2312" w:cs="仿宋_GB2312"/>
          <w:i w:val="0"/>
          <w:caps w:val="0"/>
          <w:color w:val="000000"/>
          <w:spacing w:val="0"/>
          <w:sz w:val="32"/>
          <w:szCs w:val="32"/>
          <w:bdr w:val="none" w:color="auto" w:sz="0" w:space="0"/>
        </w:rPr>
        <w:t>法律法规，解读相关政策。</w:t>
      </w:r>
      <w:r>
        <w:rPr>
          <w:rFonts w:hint="eastAsia" w:ascii="仿宋_GB2312" w:hAnsi="仿宋_GB2312" w:eastAsia="仿宋_GB2312" w:cs="仿宋_GB2312"/>
          <w:i w:val="0"/>
          <w:caps w:val="0"/>
          <w:color w:val="000000"/>
          <w:spacing w:val="0"/>
          <w:sz w:val="32"/>
          <w:szCs w:val="32"/>
          <w:bdr w:val="none" w:color="auto" w:sz="0" w:space="0"/>
          <w:lang w:eastAsia="zh-CN"/>
        </w:rPr>
        <w:t>三是</w:t>
      </w:r>
      <w:r>
        <w:rPr>
          <w:rFonts w:hint="eastAsia" w:ascii="仿宋_GB2312" w:hAnsi="仿宋_GB2312" w:eastAsia="仿宋_GB2312" w:cs="仿宋_GB2312"/>
          <w:i w:val="0"/>
          <w:caps w:val="0"/>
          <w:color w:val="000000"/>
          <w:spacing w:val="0"/>
          <w:sz w:val="32"/>
          <w:szCs w:val="32"/>
          <w:bdr w:val="none" w:color="auto" w:sz="0" w:space="0"/>
        </w:rPr>
        <w:t>在依申请公开方面，依据《政府信息公开条例》，开通了传真、邮箱、信件邮寄、当面申请等多个申请信息公开受理渠道，受理答复群众提出的信息公开申请。专人负责、依规办理，并通过群众前来当面领取或邮寄等方式将信息公开答复告知申请群众，认真做好解释说明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（五）政府信息公开监督保障及教育培训情况。</w:t>
      </w:r>
      <w:r>
        <w:rPr>
          <w:rFonts w:hint="eastAsia" w:ascii="仿宋_GB2312" w:hAnsi="仿宋_GB2312" w:eastAsia="仿宋_GB2312" w:cs="仿宋_GB2312"/>
          <w:i w:val="0"/>
          <w:caps w:val="0"/>
          <w:color w:val="000000"/>
          <w:spacing w:val="0"/>
          <w:sz w:val="32"/>
          <w:szCs w:val="32"/>
        </w:rPr>
        <w:t>一是积极做好区政府网站行政执法等专栏的日常维护、更新，并严格按要求更新部门动态、预决算信息和政策文件，积极落实政策解读制度，切实提高网站政策发布公信力、传播力。二是坚持多渠道公开。在网站公开同时，通过</w:t>
      </w:r>
      <w:r>
        <w:rPr>
          <w:rFonts w:hint="eastAsia" w:ascii="仿宋_GB2312" w:hAnsi="仿宋_GB2312" w:eastAsia="仿宋_GB2312" w:cs="仿宋_GB2312"/>
          <w:i w:val="0"/>
          <w:caps w:val="0"/>
          <w:color w:val="000000"/>
          <w:spacing w:val="0"/>
          <w:sz w:val="32"/>
          <w:szCs w:val="32"/>
          <w:lang w:eastAsia="zh-CN"/>
        </w:rPr>
        <w:t>各媒体</w:t>
      </w:r>
      <w:r>
        <w:rPr>
          <w:rFonts w:hint="eastAsia" w:ascii="仿宋_GB2312" w:hAnsi="仿宋_GB2312" w:eastAsia="仿宋_GB2312" w:cs="仿宋_GB2312"/>
          <w:i w:val="0"/>
          <w:caps w:val="0"/>
          <w:color w:val="000000"/>
          <w:spacing w:val="0"/>
          <w:sz w:val="32"/>
          <w:szCs w:val="32"/>
        </w:rPr>
        <w:t>发布重要政府信息，积极接受社会监督。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（六）《丰台区2021年政务公开工作要点》落实情况。坚持以公开促进工作落实，2021年在</w:t>
      </w:r>
      <w:r>
        <w:rPr>
          <w:rFonts w:hint="eastAsia" w:ascii="仿宋_GB2312" w:hAnsi="仿宋_GB2312" w:eastAsia="仿宋_GB2312" w:cs="仿宋_GB2312"/>
          <w:i w:val="0"/>
          <w:caps w:val="0"/>
          <w:color w:val="000000"/>
          <w:spacing w:val="0"/>
          <w:sz w:val="32"/>
          <w:szCs w:val="32"/>
          <w:bdr w:val="none" w:color="auto" w:sz="0" w:space="0"/>
          <w:lang w:eastAsia="zh-CN"/>
        </w:rPr>
        <w:t>市级</w:t>
      </w:r>
      <w:r>
        <w:rPr>
          <w:rFonts w:hint="eastAsia" w:ascii="仿宋_GB2312" w:hAnsi="仿宋_GB2312" w:eastAsia="仿宋_GB2312" w:cs="仿宋_GB2312"/>
          <w:i w:val="0"/>
          <w:caps w:val="0"/>
          <w:color w:val="000000"/>
          <w:spacing w:val="0"/>
          <w:sz w:val="32"/>
          <w:szCs w:val="32"/>
          <w:bdr w:val="none" w:color="auto" w:sz="0" w:space="0"/>
        </w:rPr>
        <w:t>媒体和北京市丰台区人民政府网站第一时间发布了区域环境整治、交通疏堵工程、道路建设工程及道路大修工程和停车管理等信息。</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二、主动公开政府信息情况</w:t>
      </w:r>
    </w:p>
    <w:tbl>
      <w:tblPr>
        <w:tblW w:w="0" w:type="auto"/>
        <w:jc w:val="center"/>
        <w:tblCellSpacing w:w="0" w:type="dxa"/>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55"/>
        <w:gridCol w:w="2089"/>
        <w:gridCol w:w="2089"/>
        <w:gridCol w:w="2103"/>
      </w:tblGrid>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9555" w:type="dxa"/>
            <w:gridSpan w:val="4"/>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第二十条第（一）项</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信息内容</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本年制发件数</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本年废止件数</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现行有效件数</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规章</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行政规范性文件</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55" w:type="dxa"/>
            <w:gridSpan w:val="4"/>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第二十条第（五）项</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信息内容</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本年处理决定数量</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行政许可</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22</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55" w:type="dxa"/>
            <w:gridSpan w:val="4"/>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第二十条第（六）项</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信息内容</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本年处理决定数量</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行政处罚</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行政强制</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55" w:type="dxa"/>
            <w:gridSpan w:val="4"/>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第二十条第（八）项</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信息内容</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本年收费金额（单位：万元）</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38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行政事业性收费</w:t>
            </w:r>
          </w:p>
        </w:tc>
        <w:tc>
          <w:tcPr>
            <w:tcW w:w="7170"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aps w:val="0"/>
                <w:spacing w:val="0"/>
                <w:kern w:val="0"/>
                <w:sz w:val="24"/>
                <w:szCs w:val="24"/>
                <w:bdr w:val="none" w:color="auto" w:sz="0" w:space="0"/>
                <w:lang w:val="en-US" w:eastAsia="zh-CN" w:bidi="ar"/>
              </w:rPr>
              <w:t>10840.867055</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    三、收到和处理政府信息公开申请情况</w:t>
      </w:r>
    </w:p>
    <w:tbl>
      <w:tblPr>
        <w:tblW w:w="0" w:type="auto"/>
        <w:jc w:val="center"/>
        <w:tblCellSpacing w:w="0" w:type="dxa"/>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00"/>
        <w:gridCol w:w="888"/>
        <w:gridCol w:w="2564"/>
        <w:gridCol w:w="612"/>
        <w:gridCol w:w="577"/>
        <w:gridCol w:w="577"/>
        <w:gridCol w:w="577"/>
        <w:gridCol w:w="577"/>
        <w:gridCol w:w="609"/>
        <w:gridCol w:w="655"/>
      </w:tblGrid>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5145" w:type="dxa"/>
            <w:gridSpan w:val="3"/>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（本列数据的勾稽关系为：第一项加第二项之和，等于第三项加第四项之和）</w:t>
            </w:r>
          </w:p>
        </w:tc>
        <w:tc>
          <w:tcPr>
            <w:tcW w:w="4995" w:type="dxa"/>
            <w:gridSpan w:val="7"/>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申请人情况</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70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自然人</w:t>
            </w:r>
          </w:p>
        </w:tc>
        <w:tc>
          <w:tcPr>
            <w:tcW w:w="3570" w:type="dxa"/>
            <w:gridSpan w:val="5"/>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法人或其他组织</w:t>
            </w:r>
          </w:p>
        </w:tc>
        <w:tc>
          <w:tcPr>
            <w:tcW w:w="70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总计</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70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企业</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机构</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社会公益组织</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法律服务机构</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其他</w:t>
            </w:r>
          </w:p>
        </w:tc>
        <w:tc>
          <w:tcPr>
            <w:tcW w:w="70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一、本年新收政府信息公开申请数量</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 29</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 2</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二、上年结转政府信息公开申请数量</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 3</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 3</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三、本年度办理结果</w:t>
            </w:r>
          </w:p>
        </w:tc>
        <w:tc>
          <w:tcPr>
            <w:tcW w:w="4365" w:type="dxa"/>
            <w:gridSpan w:val="2"/>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（一）予以公开</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18</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 1</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 19</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4365" w:type="dxa"/>
            <w:gridSpan w:val="2"/>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（二）部分公开（区分处理的，只计这一情形，不计其他情形）</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（三）不予公开</w:t>
            </w: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1.属于国家秘密</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2.其他法律行政法规禁止公开</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3.危及“三安全一稳定”</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4.保护第三方合法权益</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5.属于三类内部事务信息</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6.属于四类过程性信息</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7.属于行政执法案卷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8.属于行政查询事项</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（四）无法提供</w:t>
            </w: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1.本机关不掌握相关政府信息</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2.没有现成信息需要另行制作</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3.补正后申请内容仍不明确</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（五）不予处理</w:t>
            </w: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1.信访举报投诉类申请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2.重复申请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3.要求提供公开出版物</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4.无正当理由大量反复申请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5.要求行政机关确认或重新出具已获取信息</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（六）其他处理</w:t>
            </w:r>
          </w:p>
        </w:tc>
        <w:tc>
          <w:tcPr>
            <w:tcW w:w="34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1.申请人无正当理由逾期不补正、行政机关不再处理其政府信息公开申请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2.申请人逾期未按收费通知要求缴纳费用、行政机关不再处理其政府信息公开申请</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945"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34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3.其他</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 2</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 1</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705" w:type="dxa"/>
            <w:tcBorders>
              <w:top w:val="dotted" w:color="D3D3D3" w:sz="6" w:space="0"/>
              <w:left w:val="dotted" w:color="D3D3D3" w:sz="6" w:space="0"/>
              <w:bottom w:val="dotted" w:color="D3D3D3" w:sz="6" w:space="0"/>
              <w:right w:val="dotted" w:color="D3D3D3" w:sz="6"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8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4365" w:type="dxa"/>
            <w:gridSpan w:val="2"/>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（七）总计</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29</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705"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31</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5145" w:type="dxa"/>
            <w:gridSpan w:val="3"/>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四、结转下年度继续办理</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c>
          <w:tcPr>
            <w:tcW w:w="0" w:type="auto"/>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bdr w:val="none" w:color="auto" w:sz="0" w:space="0"/>
        </w:rPr>
        <w:t>    四、政府信息公开行政复议、行政诉讼情况</w:t>
      </w:r>
    </w:p>
    <w:tbl>
      <w:tblPr>
        <w:tblW w:w="0" w:type="auto"/>
        <w:tblCellSpacing w:w="0" w:type="dxa"/>
        <w:tblInd w:w="15" w:type="dxa"/>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6"/>
      </w:tblGrid>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caps w:val="0"/>
                <w:spacing w:val="0"/>
                <w:sz w:val="24"/>
                <w:szCs w:val="24"/>
              </w:rPr>
            </w:pPr>
          </w:p>
        </w:tc>
      </w:tr>
    </w:tbl>
    <w:p>
      <w:pPr>
        <w:rPr>
          <w:vanish/>
          <w:sz w:val="24"/>
          <w:szCs w:val="24"/>
        </w:rPr>
      </w:pPr>
    </w:p>
    <w:tbl>
      <w:tblPr>
        <w:tblW w:w="0" w:type="auto"/>
        <w:jc w:val="center"/>
        <w:tblCellSpacing w:w="0" w:type="dxa"/>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46"/>
        <w:gridCol w:w="546"/>
        <w:gridCol w:w="546"/>
        <w:gridCol w:w="546"/>
        <w:gridCol w:w="592"/>
        <w:gridCol w:w="546"/>
        <w:gridCol w:w="546"/>
        <w:gridCol w:w="547"/>
        <w:gridCol w:w="547"/>
        <w:gridCol w:w="593"/>
        <w:gridCol w:w="547"/>
        <w:gridCol w:w="547"/>
        <w:gridCol w:w="547"/>
        <w:gridCol w:w="547"/>
        <w:gridCol w:w="593"/>
      </w:tblGrid>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3210" w:type="dxa"/>
            <w:gridSpan w:val="5"/>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行政复议</w:t>
            </w:r>
          </w:p>
        </w:tc>
        <w:tc>
          <w:tcPr>
            <w:tcW w:w="6420" w:type="dxa"/>
            <w:gridSpan w:val="10"/>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行政诉讼</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结果维持</w:t>
            </w:r>
          </w:p>
        </w:tc>
        <w:tc>
          <w:tcPr>
            <w:tcW w:w="63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纠正</w:t>
            </w:r>
          </w:p>
        </w:tc>
        <w:tc>
          <w:tcPr>
            <w:tcW w:w="63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其他</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结果</w:t>
            </w:r>
          </w:p>
        </w:tc>
        <w:tc>
          <w:tcPr>
            <w:tcW w:w="63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尚未</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审结</w:t>
            </w:r>
          </w:p>
        </w:tc>
        <w:tc>
          <w:tcPr>
            <w:tcW w:w="630" w:type="dxa"/>
            <w:vMerge w:val="restart"/>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总计</w:t>
            </w:r>
          </w:p>
        </w:tc>
        <w:tc>
          <w:tcPr>
            <w:tcW w:w="3210" w:type="dxa"/>
            <w:gridSpan w:val="5"/>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未经复议直接起诉</w:t>
            </w:r>
          </w:p>
        </w:tc>
        <w:tc>
          <w:tcPr>
            <w:tcW w:w="3210" w:type="dxa"/>
            <w:gridSpan w:val="5"/>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复议后起诉</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63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63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63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630" w:type="dxa"/>
            <w:vMerge w:val="continue"/>
            <w:tcBorders>
              <w:top w:val="dotted" w:color="D3D3D3" w:sz="6" w:space="0"/>
              <w:left w:val="dotted" w:color="D3D3D3" w:sz="6" w:space="0"/>
              <w:bottom w:val="dotted" w:color="D3D3D3" w:sz="6" w:space="0"/>
              <w:right w:val="dotted" w:color="D3D3D3" w:sz="6" w:space="0"/>
            </w:tcBorders>
            <w:shd w:val="clear"/>
            <w:vAlign w:val="center"/>
          </w:tcPr>
          <w:p>
            <w:pPr>
              <w:rPr>
                <w:rFonts w:hint="eastAsia" w:ascii="宋体" w:hAnsi="宋体" w:eastAsia="宋体" w:cs="宋体"/>
                <w:sz w:val="18"/>
                <w:szCs w:val="18"/>
              </w:rPr>
            </w:pP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维持</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纠正</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其他</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结果</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尚未</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审结</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总计</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维持</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结果</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纠正</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其他</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结果</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尚未</w:t>
            </w:r>
            <w:r>
              <w:rPr>
                <w:rFonts w:hint="eastAsia" w:ascii="宋体" w:hAnsi="宋体" w:eastAsia="宋体" w:cs="宋体"/>
                <w:kern w:val="0"/>
                <w:sz w:val="24"/>
                <w:szCs w:val="24"/>
                <w:bdr w:val="none" w:color="auto" w:sz="0" w:space="0"/>
                <w:lang w:val="en-US" w:eastAsia="zh-CN" w:bidi="ar"/>
              </w:rPr>
              <w:br w:type="textWrapping"/>
            </w:r>
            <w:r>
              <w:rPr>
                <w:rFonts w:hint="eastAsia" w:ascii="宋体" w:hAnsi="宋体" w:eastAsia="宋体" w:cs="宋体"/>
                <w:kern w:val="0"/>
                <w:sz w:val="24"/>
                <w:szCs w:val="24"/>
                <w:bdr w:val="none" w:color="auto" w:sz="0" w:space="0"/>
                <w:lang w:val="en-US" w:eastAsia="zh-CN" w:bidi="ar"/>
              </w:rPr>
              <w:t>审结</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总计</w:t>
            </w:r>
          </w:p>
        </w:tc>
      </w:tr>
      <w:tr>
        <w:tblPrEx>
          <w:tblBorders>
            <w:top w:val="dotted" w:color="D3D3D3" w:sz="6" w:space="0"/>
            <w:left w:val="dotted" w:color="D3D3D3" w:sz="6" w:space="0"/>
            <w:bottom w:val="dotted" w:color="D3D3D3" w:sz="6" w:space="0"/>
            <w:right w:val="dotted" w:color="D3D3D3"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 1</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 0</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0 </w:t>
            </w:r>
          </w:p>
        </w:tc>
        <w:tc>
          <w:tcPr>
            <w:tcW w:w="630" w:type="dxa"/>
            <w:tcBorders>
              <w:top w:val="dotted" w:color="D3D3D3" w:sz="6" w:space="0"/>
              <w:left w:val="dotted" w:color="D3D3D3" w:sz="6" w:space="0"/>
              <w:bottom w:val="dotted" w:color="D3D3D3" w:sz="6" w:space="0"/>
              <w:right w:val="dotted" w:color="D3D3D3"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今年我委政府信息公开工作取得一定成效，但也存在一些薄弱环节，主要表现在：主动公开形式与内容还不够。比如政策解读的针对性和有效性还不够强，回应关切内容和形式不够丰富。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2022年我委要深入贯彻学习《中华人民共和国信息公开条例》，坚持以公开为常态，不公开为例外，扩大主动公开范围，增强便民服务意识，将依申请公开向主动公开转化，确保主动公开信息在数量和质量上都能得到提升。梳理汇总依申请公开工作中发现的城市管理工作风险点，提出整改建议，提升城市管理整体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A56F7"/>
    <w:rsid w:val="3CDE00F4"/>
    <w:rsid w:val="49F97DAE"/>
    <w:rsid w:val="5F8A7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2022-12-28T01:50:47Z</dcterms:created>
  <dc:creator>lenovo</dc:creator>
  <cp:lastModifiedBy>XYSD</cp:lastModifiedBy>
  <dcterms:modified xsi:type="dcterms:W3CDTF">2022-12-28T02:12:55Z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