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北京市丰台区农业农村局202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widowControl/>
        <w:spacing w:line="560" w:lineRule="exact"/>
        <w:jc w:val="left"/>
        <w:rPr>
          <w:rFonts w:hint="eastAsia" w:ascii="微软雅黑" w:hAnsi="微软雅黑" w:eastAsia="微软雅黑" w:cs="宋体"/>
          <w:color w:val="404040"/>
          <w:kern w:val="0"/>
          <w:sz w:val="24"/>
          <w:lang w:bidi="ar"/>
        </w:rPr>
      </w:pP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pStyle w:val="2"/>
        <w:spacing w:line="560" w:lineRule="exact"/>
        <w:ind w:firstLine="672" w:firstLineChars="200"/>
        <w:rPr>
          <w:rFonts w:hint="eastAsia" w:ascii="仿宋_GB2312" w:hAnsi="宋体" w:eastAsia="仿宋_GB2312" w:cs="宋体"/>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一</w:t>
      </w: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rPr>
        <w:t>组织领导。</w:t>
      </w:r>
      <w:r>
        <w:rPr>
          <w:rFonts w:hint="eastAsia" w:ascii="仿宋_GB2312" w:hAnsi="宋体" w:eastAsia="仿宋_GB2312" w:cs="宋体"/>
          <w:spacing w:val="8"/>
          <w:kern w:val="0"/>
          <w:sz w:val="32"/>
          <w:szCs w:val="32"/>
        </w:rPr>
        <w:t>建立以局长为组长、分管副局长为副组长、各科室负责人为组员的政府信息公开工作领导小组，负责统筹落实本单位政府信息公开各项工作。严格信息公开审批发布程序，“上网信息不涉密，涉密信息不上网”。</w:t>
      </w:r>
    </w:p>
    <w:p>
      <w:pPr>
        <w:pStyle w:val="2"/>
        <w:spacing w:line="560" w:lineRule="exact"/>
        <w:ind w:firstLine="672" w:firstLineChars="200"/>
        <w:rPr>
          <w:rFonts w:hint="eastAsia" w:ascii="仿宋_GB2312" w:hAnsi="宋体" w:eastAsia="仿宋_GB2312" w:cs="宋体"/>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二</w:t>
      </w:r>
      <w:r>
        <w:rPr>
          <w:rFonts w:hint="eastAsia" w:ascii="楷体_GB2312" w:hAnsi="楷体_GB2312" w:eastAsia="楷体_GB2312" w:cs="楷体_GB2312"/>
          <w:spacing w:val="8"/>
          <w:kern w:val="0"/>
          <w:sz w:val="32"/>
          <w:szCs w:val="32"/>
          <w:lang w:eastAsia="zh-CN"/>
        </w:rPr>
        <w:t>）主动公开内容。</w:t>
      </w:r>
      <w:r>
        <w:rPr>
          <w:rFonts w:hint="eastAsia" w:ascii="仿宋_GB2312" w:hAnsi="宋体" w:eastAsia="仿宋_GB2312" w:cs="宋体"/>
          <w:spacing w:val="8"/>
          <w:kern w:val="0"/>
          <w:sz w:val="32"/>
          <w:szCs w:val="32"/>
        </w:rPr>
        <w:t>坚持政府信息公开基本制度，确保信息公开及时准确。主动在区政府网站上更新工作动态类信息，包括美丽乡村建设、粮菜生产、惠农补贴、乡村振兴等相关内容，便于社会公众了解掌握最新政府信息。积极拓宽政府信息公开渠道，加强本单位微信公众号建设，全年通过微信公众号发布信息</w:t>
      </w:r>
      <w:r>
        <w:rPr>
          <w:rFonts w:hint="eastAsia" w:ascii="仿宋_GB2312" w:hAnsi="宋体" w:eastAsia="仿宋_GB2312" w:cs="宋体"/>
          <w:spacing w:val="8"/>
          <w:kern w:val="0"/>
          <w:sz w:val="32"/>
          <w:szCs w:val="32"/>
          <w:lang w:val="en-US" w:eastAsia="zh-CN"/>
        </w:rPr>
        <w:t>229</w:t>
      </w:r>
      <w:r>
        <w:rPr>
          <w:rFonts w:hint="eastAsia" w:ascii="仿宋_GB2312" w:hAnsi="宋体" w:eastAsia="仿宋_GB2312" w:cs="宋体"/>
          <w:spacing w:val="8"/>
          <w:kern w:val="0"/>
          <w:sz w:val="32"/>
          <w:szCs w:val="32"/>
        </w:rPr>
        <w:t>条。</w:t>
      </w:r>
    </w:p>
    <w:p>
      <w:pPr>
        <w:pStyle w:val="2"/>
        <w:spacing w:line="560" w:lineRule="exact"/>
        <w:ind w:firstLine="672" w:firstLineChars="200"/>
        <w:rPr>
          <w:rFonts w:ascii="仿宋_GB2312" w:hAnsi="宋体" w:eastAsia="仿宋_GB2312" w:cs="宋体"/>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三</w:t>
      </w:r>
      <w:r>
        <w:rPr>
          <w:rFonts w:hint="eastAsia" w:ascii="楷体_GB2312" w:hAnsi="楷体_GB2312" w:eastAsia="楷体_GB2312" w:cs="楷体_GB2312"/>
          <w:spacing w:val="8"/>
          <w:kern w:val="0"/>
          <w:sz w:val="32"/>
          <w:szCs w:val="32"/>
          <w:lang w:eastAsia="zh-CN"/>
        </w:rPr>
        <w:t>）规范政府信息依申请公开。</w:t>
      </w:r>
      <w:r>
        <w:rPr>
          <w:rFonts w:ascii="仿宋_GB2312" w:hAnsi="宋体" w:eastAsia="仿宋_GB2312" w:cs="宋体"/>
          <w:spacing w:val="8"/>
          <w:kern w:val="0"/>
          <w:sz w:val="32"/>
          <w:szCs w:val="32"/>
        </w:rPr>
        <w:t>切实保障公民依法获取政府信息，提高政府工作透明度，我局按照依申请公开的受理、审查、处理、答复程序，及时分解督办，向申请人答复，依法保障公众的知情权和监督权，保障申请人的合法权益。</w:t>
      </w:r>
    </w:p>
    <w:p>
      <w:pPr>
        <w:pStyle w:val="2"/>
        <w:spacing w:line="560" w:lineRule="exact"/>
        <w:ind w:firstLine="672" w:firstLineChars="200"/>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四</w:t>
      </w:r>
      <w:r>
        <w:rPr>
          <w:rFonts w:hint="eastAsia" w:ascii="楷体_GB2312" w:hAnsi="楷体_GB2312" w:eastAsia="楷体_GB2312" w:cs="楷体_GB2312"/>
          <w:spacing w:val="8"/>
          <w:kern w:val="0"/>
          <w:sz w:val="32"/>
          <w:szCs w:val="32"/>
          <w:lang w:eastAsia="zh-CN"/>
        </w:rPr>
        <w:t>）政府信息管理情况。</w:t>
      </w:r>
      <w:r>
        <w:rPr>
          <w:rFonts w:hint="eastAsia" w:ascii="仿宋_GB2312" w:hAnsi="仿宋_GB2312" w:eastAsia="仿宋_GB2312" w:cs="仿宋_GB2312"/>
          <w:spacing w:val="8"/>
          <w:kern w:val="0"/>
          <w:sz w:val="32"/>
          <w:szCs w:val="32"/>
        </w:rPr>
        <w:t>政府信息管理情况。进一步完善信息公开机制，严格遵循采集、审核、报送等工作程序，落实区政府门户网站信息发布审批手续，每篇公开信息均需单位保密员及信息工作主管领导签字审批后方可公开，做到“上网信息不涉密，涉密信息不上网”。</w:t>
      </w:r>
    </w:p>
    <w:p>
      <w:pPr>
        <w:pStyle w:val="2"/>
        <w:spacing w:line="560" w:lineRule="exact"/>
        <w:ind w:firstLine="672" w:firstLineChars="200"/>
        <w:rPr>
          <w:rFonts w:hint="eastAsia" w:ascii="仿宋_GB2312" w:hAnsi="宋体" w:eastAsia="仿宋_GB2312" w:cs="宋体"/>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五</w:t>
      </w:r>
      <w:r>
        <w:rPr>
          <w:rFonts w:hint="eastAsia" w:ascii="楷体_GB2312" w:hAnsi="楷体_GB2312" w:eastAsia="楷体_GB2312" w:cs="楷体_GB2312"/>
          <w:spacing w:val="8"/>
          <w:kern w:val="0"/>
          <w:sz w:val="32"/>
          <w:szCs w:val="32"/>
          <w:lang w:eastAsia="zh-CN"/>
        </w:rPr>
        <w:t>）政府信息公开平台建设情况。</w:t>
      </w:r>
      <w:r>
        <w:rPr>
          <w:rFonts w:hint="eastAsia" w:ascii="仿宋_GB2312" w:hAnsi="宋体" w:eastAsia="仿宋_GB2312" w:cs="宋体"/>
          <w:spacing w:val="8"/>
          <w:kern w:val="0"/>
          <w:sz w:val="32"/>
          <w:szCs w:val="32"/>
        </w:rPr>
        <w:t>根据政府网站管理集约化建设要求，积极配合区政务服务局做好信息公开专栏并入政府网站工作，持续做好本单位在区政府网站栏目信息维护工作，指定专人负责更新，严格按照新版《政府网站检查指标》的要求，确保本单位政府信息及时有效公开。</w:t>
      </w:r>
    </w:p>
    <w:p>
      <w:pPr>
        <w:pStyle w:val="2"/>
        <w:spacing w:line="560" w:lineRule="exact"/>
        <w:ind w:firstLine="672" w:firstLineChars="200"/>
        <w:rPr>
          <w:rFonts w:hint="eastAsia" w:ascii="仿宋_GB2312" w:hAnsi="宋体" w:eastAsia="仿宋_GB2312" w:cs="宋体"/>
          <w:spacing w:val="8"/>
          <w:kern w:val="0"/>
          <w:sz w:val="32"/>
          <w:szCs w:val="32"/>
        </w:rPr>
      </w:pPr>
      <w:r>
        <w:rPr>
          <w:rFonts w:hint="eastAsia" w:ascii="楷体_GB2312" w:hAnsi="楷体_GB2312" w:eastAsia="楷体_GB2312" w:cs="楷体_GB2312"/>
          <w:spacing w:val="8"/>
          <w:kern w:val="0"/>
          <w:sz w:val="32"/>
          <w:szCs w:val="32"/>
          <w:lang w:eastAsia="zh-CN"/>
        </w:rPr>
        <w:t>（</w:t>
      </w:r>
      <w:r>
        <w:rPr>
          <w:rFonts w:hint="eastAsia" w:ascii="楷体_GB2312" w:hAnsi="楷体_GB2312" w:eastAsia="楷体_GB2312" w:cs="楷体_GB2312"/>
          <w:spacing w:val="8"/>
          <w:kern w:val="0"/>
          <w:sz w:val="32"/>
          <w:szCs w:val="32"/>
          <w:lang w:val="en-US" w:eastAsia="zh-CN"/>
        </w:rPr>
        <w:t>六</w:t>
      </w:r>
      <w:r>
        <w:rPr>
          <w:rFonts w:hint="eastAsia" w:ascii="楷体_GB2312" w:hAnsi="楷体_GB2312" w:eastAsia="楷体_GB2312" w:cs="楷体_GB2312"/>
          <w:spacing w:val="8"/>
          <w:kern w:val="0"/>
          <w:sz w:val="32"/>
          <w:szCs w:val="32"/>
          <w:lang w:eastAsia="zh-CN"/>
        </w:rPr>
        <w:t>）教育培训和监督保障工作。</w:t>
      </w:r>
      <w:r>
        <w:rPr>
          <w:rFonts w:hint="eastAsia" w:ascii="仿宋_GB2312" w:hAnsi="宋体" w:eastAsia="仿宋_GB2312" w:cs="宋体"/>
          <w:spacing w:val="8"/>
          <w:kern w:val="0"/>
          <w:sz w:val="32"/>
          <w:szCs w:val="32"/>
        </w:rPr>
        <w:t>通过集中学习的机会，组织机关干部学习《中华人民共和国信息公开条例》，使全体机关工作人员对政府信息公开的主体和原则、范围和内容、方式和程序等有明确的了解。同时，积极组织专人参加区政府服务局组织的政府公开、政府信息公开等方面的培训，切实增强业务能力。</w:t>
      </w: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p>
      <w:pPr>
        <w:pStyle w:val="2"/>
        <w:widowControl/>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cs="Calibri"/>
                <w:kern w:val="0"/>
                <w:szCs w:val="21"/>
                <w:lang w:bidi="ar"/>
              </w:rPr>
              <w:t> </w:t>
            </w: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cs="Calibri"/>
                <w:kern w:val="0"/>
                <w:szCs w:val="21"/>
                <w:lang w:val="en-US" w:eastAsia="zh-CN" w:bidi="ar"/>
              </w:rPr>
              <w:t>17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lang w:val="en-US" w:eastAsia="zh-CN"/>
              </w:rPr>
              <w:t>1833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lang w:val="en-US" w:eastAsia="zh-CN"/>
              </w:rPr>
              <w:t>127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pPr>
    </w:p>
    <w:p>
      <w:pPr>
        <w:pStyle w:val="2"/>
        <w:widowControl/>
      </w:pPr>
    </w:p>
    <w:p>
      <w:pPr>
        <w:pStyle w:val="2"/>
        <w:widowControl/>
      </w:pPr>
    </w:p>
    <w:p/>
    <w:p>
      <w:pPr>
        <w:pStyle w:val="3"/>
      </w:pPr>
    </w:p>
    <w:p/>
    <w:p>
      <w:pPr>
        <w:pStyle w:val="3"/>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9"/>
        <w:gridCol w:w="688"/>
        <w:gridCol w:w="688"/>
        <w:gridCol w:w="688"/>
        <w:gridCol w:w="688"/>
        <w:gridCol w:w="688"/>
        <w:gridCol w:w="688"/>
        <w:gridCol w:w="6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90"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90"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34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p>
        </w:tc>
        <w:tc>
          <w:tcPr>
            <w:tcW w:w="690"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14</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p>
        </w:tc>
        <w:tc>
          <w:tcPr>
            <w:tcW w:w="690"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7</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bookmarkStart w:id="0" w:name="_GoBack"/>
            <w:bookmarkEnd w:id="0"/>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10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90"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34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p>
        </w:tc>
        <w:tc>
          <w:tcPr>
            <w:tcW w:w="690"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688" w:type="dxa"/>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688" w:type="dxa"/>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r>
    </w:tbl>
    <w:p>
      <w:pPr>
        <w:pStyle w:val="2"/>
        <w:widowControl/>
        <w:ind w:left="420" w:leftChars="200"/>
      </w:pPr>
    </w:p>
    <w:p>
      <w:pPr>
        <w:pStyle w:val="2"/>
        <w:widowControl/>
        <w:ind w:left="420" w:leftChars="200"/>
      </w:pPr>
    </w:p>
    <w:p/>
    <w:p>
      <w:pPr>
        <w:pStyle w:val="3"/>
      </w:pPr>
    </w:p>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cs="宋体"/>
                <w:sz w:val="24"/>
              </w:rPr>
            </w:pP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我局202</w:t>
      </w:r>
      <w:r>
        <w:rPr>
          <w:rFonts w:hint="eastAsia" w:ascii="仿宋_GB2312" w:hAnsi="仿宋_GB2312" w:eastAsia="仿宋_GB2312" w:cs="仿宋_GB2312"/>
          <w:spacing w:val="8"/>
          <w:kern w:val="0"/>
          <w:sz w:val="32"/>
          <w:szCs w:val="32"/>
          <w:lang w:val="en-US" w:eastAsia="zh-CN"/>
        </w:rPr>
        <w:t>3</w:t>
      </w:r>
      <w:r>
        <w:rPr>
          <w:rFonts w:hint="eastAsia" w:ascii="仿宋_GB2312" w:hAnsi="仿宋_GB2312" w:eastAsia="仿宋_GB2312" w:cs="仿宋_GB2312"/>
          <w:spacing w:val="8"/>
          <w:kern w:val="0"/>
          <w:sz w:val="32"/>
          <w:szCs w:val="32"/>
        </w:rPr>
        <w:t>年政府信息公开工作严格按照政府信息公开规定执行，</w:t>
      </w:r>
      <w:r>
        <w:rPr>
          <w:rFonts w:ascii="仿宋_GB2312" w:hAnsi="仿宋_GB2312" w:eastAsia="仿宋_GB2312" w:cs="仿宋_GB2312"/>
          <w:spacing w:val="8"/>
          <w:kern w:val="0"/>
          <w:sz w:val="32"/>
          <w:szCs w:val="32"/>
        </w:rPr>
        <w:t>取得了一定成效，但仍存在</w:t>
      </w:r>
      <w:r>
        <w:rPr>
          <w:rFonts w:hint="eastAsia" w:ascii="仿宋_GB2312" w:hAnsi="仿宋_GB2312" w:eastAsia="仿宋_GB2312" w:cs="仿宋_GB2312"/>
          <w:spacing w:val="8"/>
          <w:kern w:val="0"/>
          <w:sz w:val="32"/>
          <w:szCs w:val="32"/>
        </w:rPr>
        <w:t>部分</w:t>
      </w:r>
      <w:r>
        <w:rPr>
          <w:rFonts w:ascii="仿宋_GB2312" w:hAnsi="仿宋_GB2312" w:eastAsia="仿宋_GB2312" w:cs="仿宋_GB2312"/>
          <w:spacing w:val="8"/>
          <w:kern w:val="0"/>
          <w:sz w:val="32"/>
          <w:szCs w:val="32"/>
        </w:rPr>
        <w:t>问题</w:t>
      </w:r>
      <w:r>
        <w:rPr>
          <w:rFonts w:hint="eastAsia" w:ascii="仿宋_GB2312" w:hAnsi="仿宋_GB2312" w:eastAsia="仿宋_GB2312" w:cs="仿宋_GB2312"/>
          <w:spacing w:val="8"/>
          <w:kern w:val="0"/>
          <w:sz w:val="32"/>
          <w:szCs w:val="32"/>
        </w:rPr>
        <w:t>：一是制度不够完善需要进一步细化实化。二是公开力度不够需要进一步加强。三是公开意识较弱需要进一步加大宣传力度。</w:t>
      </w:r>
    </w:p>
    <w:p>
      <w:pPr>
        <w:widowControl/>
        <w:spacing w:line="560" w:lineRule="exact"/>
        <w:ind w:firstLine="675"/>
        <w:jc w:val="left"/>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下一步改进措施：一是进一步规范完善政务信息栏目设置、内容健全等，使公开内容做到真实、具体、全面。二是按照“应认领、尽认领”原则，对本单位政务公开事项进行详细梳理，进一步加强政务信息公开的主动性和规范性。三是将信息公开工作作为我局工作的重点内容，坚持做到定期更新和重要内容实时更新相结合。  </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5"/>
        <w:jc w:val="left"/>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2023年本单位发出收费通知的件数和总金额以及实际收取的总金额均为0。</w:t>
      </w:r>
    </w:p>
    <w:p>
      <w:pPr>
        <w:pStyle w:val="2"/>
        <w:widowControl/>
        <w:spacing w:line="560" w:lineRule="exact"/>
      </w:pPr>
      <w:r>
        <w:rPr>
          <w:rFonts w:ascii="微软雅黑" w:hAnsi="微软雅黑" w:eastAsia="微软雅黑" w:cs="宋体"/>
          <w:color w:val="40404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B5B6E2A"/>
    <w:rsid w:val="22E52CCE"/>
    <w:rsid w:val="30950F75"/>
    <w:rsid w:val="49DB6A5C"/>
    <w:rsid w:val="6BB02E9A"/>
    <w:rsid w:val="7B732BC8"/>
    <w:rsid w:val="7F5E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toc 3"/>
    <w:basedOn w:val="1"/>
    <w:next w:val="1"/>
    <w:unhideWhenUsed/>
    <w:qFormat/>
    <w:uiPriority w:val="39"/>
    <w:pPr>
      <w:ind w:left="840" w:leftChars="4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wy</cp:lastModifiedBy>
  <dcterms:modified xsi:type="dcterms:W3CDTF">2024-01-15T01:42:40Z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2CE85D57F1AF48EB93787A55E05929E0</vt:lpwstr>
  </property>
</Properties>
</file>