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方正小标宋简体" w:eastAsia="方正小标宋简体" w:cs="方正小标宋简体"/>
          <w:sz w:val="44"/>
          <w:szCs w:val="44"/>
        </w:rPr>
      </w:pP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北京市丰台区卫生健康委员会</w:t>
      </w:r>
    </w:p>
    <w:p>
      <w:pPr>
        <w:spacing w:line="540" w:lineRule="exact"/>
        <w:jc w:val="center"/>
        <w:rPr>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年政府信息公开工作年度报告</w:t>
      </w:r>
    </w:p>
    <w:p>
      <w:pPr>
        <w:spacing w:line="540" w:lineRule="exact"/>
        <w:jc w:val="center"/>
        <w:rPr>
          <w:sz w:val="44"/>
          <w:szCs w:val="44"/>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p>
    <w:p>
      <w:pPr>
        <w:spacing w:line="540" w:lineRule="exact"/>
        <w:jc w:val="left"/>
        <w:rPr>
          <w:rFonts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spacing w:line="54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spacing w:line="54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北京市丰台区卫生健康委员会</w:t>
      </w:r>
      <w:r>
        <w:rPr>
          <w:rFonts w:hint="eastAsia" w:ascii="仿宋_GB2312" w:hAnsi="仿宋_GB2312" w:eastAsia="仿宋_GB2312" w:cs="仿宋_GB2312"/>
          <w:color w:val="000000"/>
          <w:sz w:val="32"/>
          <w:szCs w:val="32"/>
          <w:shd w:val="clear" w:color="auto" w:fill="auto"/>
          <w:lang w:eastAsia="zh-CN"/>
        </w:rPr>
        <w:t>依据</w:t>
      </w:r>
      <w:r>
        <w:rPr>
          <w:rFonts w:hint="eastAsia" w:ascii="仿宋_GB2312" w:hAnsi="仿宋_GB2312" w:eastAsia="仿宋_GB2312" w:cs="仿宋_GB2312"/>
          <w:color w:val="000000"/>
          <w:sz w:val="32"/>
          <w:szCs w:val="32"/>
          <w:shd w:val="clear" w:color="auto" w:fill="auto"/>
        </w:rPr>
        <w:t>《中华人民共和国政府信息公开条例》和相关规定</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充分结合实际工作，扎实推进、积极探索</w:t>
      </w:r>
      <w:r>
        <w:rPr>
          <w:rFonts w:hint="eastAsia" w:ascii="仿宋_GB2312" w:hAnsi="仿宋_GB2312" w:eastAsia="仿宋_GB2312" w:cs="仿宋_GB2312"/>
          <w:color w:val="000000"/>
          <w:sz w:val="32"/>
          <w:szCs w:val="32"/>
        </w:rPr>
        <w:t>政务信息公开工作。</w:t>
      </w:r>
    </w:p>
    <w:p>
      <w:pPr>
        <w:spacing w:line="540" w:lineRule="exact"/>
        <w:ind w:firstLine="676" w:firstLineChars="200"/>
        <w:rPr>
          <w:rFonts w:ascii="楷体_GB2312" w:hAnsi="楷体_GB2312" w:eastAsia="楷体_GB2312" w:cs="楷体_GB2312"/>
          <w:spacing w:val="9"/>
          <w:sz w:val="32"/>
          <w:szCs w:val="32"/>
          <w:shd w:val="clear" w:color="auto" w:fill="auto"/>
        </w:rPr>
      </w:pPr>
      <w:r>
        <w:rPr>
          <w:rFonts w:hint="eastAsia" w:ascii="楷体_GB2312" w:hAnsi="楷体_GB2312" w:eastAsia="楷体_GB2312" w:cs="楷体_GB2312"/>
          <w:spacing w:val="9"/>
          <w:sz w:val="32"/>
          <w:szCs w:val="32"/>
          <w:shd w:val="clear" w:color="auto" w:fill="auto"/>
        </w:rPr>
        <w:t>（一）</w:t>
      </w:r>
      <w:r>
        <w:rPr>
          <w:rFonts w:hint="eastAsia" w:ascii="楷体_GB2312" w:hAnsi="楷体_GB2312" w:eastAsia="楷体_GB2312" w:cs="楷体_GB2312"/>
          <w:spacing w:val="9"/>
          <w:sz w:val="32"/>
          <w:szCs w:val="32"/>
          <w:shd w:val="clear" w:color="auto" w:fill="auto"/>
          <w:lang w:eastAsia="zh-CN"/>
        </w:rPr>
        <w:t>强化</w:t>
      </w:r>
      <w:r>
        <w:rPr>
          <w:rFonts w:hint="eastAsia" w:ascii="楷体_GB2312" w:hAnsi="楷体_GB2312" w:eastAsia="楷体_GB2312" w:cs="楷体_GB2312"/>
          <w:spacing w:val="9"/>
          <w:sz w:val="32"/>
          <w:szCs w:val="32"/>
          <w:shd w:val="clear" w:color="auto" w:fill="auto"/>
        </w:rPr>
        <w:t>组织领导</w:t>
      </w:r>
      <w:r>
        <w:rPr>
          <w:rFonts w:hint="eastAsia" w:ascii="楷体_GB2312" w:hAnsi="楷体_GB2312" w:eastAsia="楷体_GB2312" w:cs="楷体_GB2312"/>
          <w:spacing w:val="9"/>
          <w:sz w:val="32"/>
          <w:szCs w:val="32"/>
          <w:shd w:val="clear" w:color="auto" w:fill="auto"/>
          <w:lang w:eastAsia="zh-CN"/>
        </w:rPr>
        <w:t>，不断优化政务公开流程</w:t>
      </w:r>
    </w:p>
    <w:p>
      <w:pPr>
        <w:spacing w:line="540" w:lineRule="exact"/>
        <w:ind w:firstLine="640" w:firstLineChars="200"/>
        <w:rPr>
          <w:rFonts w:hint="eastAsia" w:ascii="仿宋_GB2312" w:hAnsi="仿宋_GB2312" w:eastAsia="仿宋_GB2312" w:cs="仿宋_GB2312"/>
          <w:kern w:val="0"/>
          <w:sz w:val="32"/>
          <w:szCs w:val="32"/>
          <w:shd w:val="clear" w:color="FFFFFF" w:fill="D9D9D9"/>
          <w:lang w:eastAsia="zh-CN"/>
        </w:rPr>
      </w:pPr>
      <w:r>
        <w:rPr>
          <w:rFonts w:hint="eastAsia" w:ascii="仿宋_GB2312" w:hAnsi="仿宋_GB2312" w:eastAsia="仿宋_GB2312" w:cs="仿宋_GB2312"/>
          <w:kern w:val="0"/>
          <w:sz w:val="32"/>
          <w:szCs w:val="32"/>
          <w:shd w:val="clear" w:color="auto" w:fill="auto"/>
          <w:lang w:eastAsia="zh-CN"/>
        </w:rPr>
        <w:t>严格按照《丰台区</w:t>
      </w:r>
      <w:r>
        <w:rPr>
          <w:rFonts w:hint="eastAsia" w:ascii="仿宋_GB2312" w:hAnsi="仿宋_GB2312" w:eastAsia="仿宋_GB2312" w:cs="仿宋_GB2312"/>
          <w:kern w:val="0"/>
          <w:sz w:val="32"/>
          <w:szCs w:val="32"/>
          <w:shd w:val="clear" w:color="auto" w:fill="auto"/>
          <w:lang w:val="en-US" w:eastAsia="zh-CN"/>
        </w:rPr>
        <w:t>2023年政务公开工作要点</w:t>
      </w:r>
      <w:r>
        <w:rPr>
          <w:rFonts w:hint="eastAsia" w:ascii="仿宋_GB2312" w:hAnsi="仿宋_GB2312" w:eastAsia="仿宋_GB2312" w:cs="仿宋_GB2312"/>
          <w:kern w:val="0"/>
          <w:sz w:val="32"/>
          <w:szCs w:val="32"/>
          <w:shd w:val="clear" w:color="auto" w:fill="auto"/>
          <w:lang w:eastAsia="zh-CN"/>
        </w:rPr>
        <w:t>》，围绕丰台区新时代发展，结合医疗卫生工作实绩，高位推动</w:t>
      </w:r>
      <w:r>
        <w:rPr>
          <w:rFonts w:hint="eastAsia" w:ascii="仿宋_GB2312" w:hAnsi="仿宋_GB2312" w:eastAsia="仿宋_GB2312" w:cs="仿宋_GB2312"/>
          <w:kern w:val="0"/>
          <w:sz w:val="32"/>
          <w:szCs w:val="32"/>
          <w:shd w:val="clear" w:color="auto" w:fill="auto"/>
        </w:rPr>
        <w:t>政务</w:t>
      </w:r>
      <w:r>
        <w:rPr>
          <w:rFonts w:hint="eastAsia" w:ascii="仿宋_GB2312" w:hAnsi="仿宋_GB2312" w:eastAsia="仿宋_GB2312" w:cs="仿宋_GB2312"/>
          <w:kern w:val="0"/>
          <w:sz w:val="32"/>
          <w:szCs w:val="32"/>
          <w:shd w:val="clear" w:color="auto" w:fill="auto"/>
          <w:lang w:eastAsia="zh-CN"/>
        </w:rPr>
        <w:t>信息</w:t>
      </w:r>
      <w:r>
        <w:rPr>
          <w:rFonts w:hint="eastAsia" w:ascii="仿宋_GB2312" w:hAnsi="仿宋_GB2312" w:eastAsia="仿宋_GB2312" w:cs="仿宋_GB2312"/>
          <w:kern w:val="0"/>
          <w:sz w:val="32"/>
          <w:szCs w:val="32"/>
          <w:shd w:val="clear" w:color="auto" w:fill="auto"/>
        </w:rPr>
        <w:t>公开</w:t>
      </w:r>
      <w:r>
        <w:rPr>
          <w:rFonts w:hint="eastAsia" w:ascii="仿宋_GB2312" w:hAnsi="仿宋_GB2312" w:eastAsia="仿宋_GB2312" w:cs="仿宋_GB2312"/>
          <w:kern w:val="0"/>
          <w:sz w:val="32"/>
          <w:szCs w:val="32"/>
          <w:shd w:val="clear" w:color="auto" w:fill="auto"/>
          <w:lang w:eastAsia="zh-CN"/>
        </w:rPr>
        <w:t>工作，委领导就分管领域公开事项分别审核，强调要高质量完成年度工作，提升政务公开水平。在工作实务中，内容由科室首审，分别进行意识形态审核、保密审查，领导签批后发布，</w:t>
      </w:r>
    </w:p>
    <w:p>
      <w:pPr>
        <w:spacing w:line="540" w:lineRule="exact"/>
        <w:ind w:firstLine="676" w:firstLineChars="200"/>
        <w:rPr>
          <w:rFonts w:ascii="楷体_GB2312" w:hAnsi="楷体_GB2312" w:eastAsia="楷体_GB2312" w:cs="楷体_GB2312"/>
          <w:spacing w:val="9"/>
          <w:sz w:val="32"/>
          <w:szCs w:val="32"/>
          <w:shd w:val="clear" w:color="auto" w:fill="auto"/>
        </w:rPr>
      </w:pPr>
      <w:r>
        <w:rPr>
          <w:rFonts w:hint="eastAsia" w:ascii="楷体_GB2312" w:hAnsi="楷体_GB2312" w:eastAsia="楷体_GB2312" w:cs="楷体_GB2312"/>
          <w:spacing w:val="9"/>
          <w:sz w:val="32"/>
          <w:szCs w:val="32"/>
          <w:shd w:val="clear" w:color="auto" w:fill="auto"/>
        </w:rPr>
        <w:t>（二）</w:t>
      </w:r>
      <w:r>
        <w:rPr>
          <w:rFonts w:hint="eastAsia" w:ascii="楷体_GB2312" w:hAnsi="楷体_GB2312" w:eastAsia="楷体_GB2312" w:cs="楷体_GB2312"/>
          <w:spacing w:val="9"/>
          <w:sz w:val="32"/>
          <w:szCs w:val="32"/>
          <w:shd w:val="clear" w:color="auto" w:fill="auto"/>
          <w:lang w:eastAsia="zh-CN"/>
        </w:rPr>
        <w:t>把握主责主线，积极回应社会各界关切</w:t>
      </w:r>
    </w:p>
    <w:p>
      <w:pPr>
        <w:spacing w:line="540" w:lineRule="exact"/>
        <w:ind w:firstLine="640" w:firstLineChars="200"/>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auto" w:fill="auto"/>
        </w:rPr>
        <w:t>1.主动公开。</w:t>
      </w:r>
      <w:r>
        <w:rPr>
          <w:rFonts w:hint="eastAsia" w:ascii="仿宋_GB2312" w:hAnsi="仿宋_GB2312" w:eastAsia="仿宋_GB2312" w:cs="仿宋_GB2312"/>
          <w:sz w:val="32"/>
          <w:szCs w:val="32"/>
          <w:shd w:val="clear" w:color="auto" w:fill="auto"/>
          <w:lang w:eastAsia="zh-CN"/>
        </w:rPr>
        <w:t>全面梳理更新</w:t>
      </w:r>
      <w:r>
        <w:rPr>
          <w:rFonts w:hint="eastAsia" w:ascii="仿宋_GB2312" w:hAnsi="仿宋_GB2312" w:eastAsia="仿宋_GB2312" w:cs="仿宋_GB2312"/>
          <w:sz w:val="32"/>
          <w:szCs w:val="32"/>
          <w:shd w:val="clear" w:color="auto" w:fill="auto"/>
        </w:rPr>
        <w:t>《丰台区卫生健康委政府信息主动公开清单》</w:t>
      </w:r>
      <w:r>
        <w:rPr>
          <w:rFonts w:hint="eastAsia" w:ascii="仿宋_GB2312" w:hAnsi="仿宋_GB2312" w:eastAsia="仿宋_GB2312" w:cs="仿宋_GB2312"/>
          <w:sz w:val="32"/>
          <w:szCs w:val="32"/>
          <w:shd w:val="clear" w:color="auto" w:fill="auto"/>
          <w:lang w:eastAsia="zh-CN"/>
        </w:rPr>
        <w:t>，做到职责范围、政策依据的与时俱进，删除已废止内容，增加新的政策依据。</w:t>
      </w:r>
      <w:r>
        <w:rPr>
          <w:rFonts w:hint="eastAsia" w:ascii="仿宋_GB2312" w:hAnsi="仿宋_GB2312" w:eastAsia="仿宋_GB2312" w:cs="仿宋_GB2312"/>
          <w:sz w:val="32"/>
          <w:szCs w:val="32"/>
          <w:shd w:val="clear" w:color="auto" w:fill="auto"/>
        </w:rPr>
        <w:t>202</w:t>
      </w:r>
      <w:r>
        <w:rPr>
          <w:rFonts w:hint="eastAsia" w:ascii="仿宋_GB2312" w:hAnsi="仿宋_GB2312" w:eastAsia="仿宋_GB2312" w:cs="仿宋_GB2312"/>
          <w:sz w:val="32"/>
          <w:szCs w:val="32"/>
          <w:shd w:val="clear" w:color="auto" w:fill="auto"/>
          <w:lang w:val="en-US" w:eastAsia="zh-CN"/>
        </w:rPr>
        <w:t>3</w:t>
      </w:r>
      <w:r>
        <w:rPr>
          <w:rFonts w:hint="eastAsia" w:ascii="仿宋_GB2312" w:hAnsi="仿宋_GB2312" w:eastAsia="仿宋_GB2312" w:cs="仿宋_GB2312"/>
          <w:sz w:val="32"/>
          <w:szCs w:val="32"/>
          <w:shd w:val="clear" w:color="auto" w:fill="auto"/>
        </w:rPr>
        <w:t>年丰台区卫生健康委</w:t>
      </w:r>
      <w:r>
        <w:rPr>
          <w:rFonts w:hint="eastAsia" w:ascii="仿宋_GB2312" w:hAnsi="仿宋_GB2312" w:eastAsia="仿宋_GB2312" w:cs="仿宋_GB2312"/>
          <w:sz w:val="32"/>
          <w:szCs w:val="32"/>
          <w:shd w:val="clear" w:color="auto" w:fill="auto"/>
          <w:lang w:eastAsia="zh-CN"/>
        </w:rPr>
        <w:t>坚持公开为常态、不公开为例外原则</w:t>
      </w:r>
      <w:r>
        <w:rPr>
          <w:rFonts w:hint="eastAsia" w:ascii="仿宋_GB2312" w:hAnsi="仿宋_GB2312" w:eastAsia="仿宋_GB2312" w:cs="仿宋_GB2312"/>
          <w:sz w:val="32"/>
          <w:szCs w:val="32"/>
          <w:shd w:val="clear" w:color="auto" w:fill="auto"/>
        </w:rPr>
        <w:t>，做到应公开尽公开，</w:t>
      </w:r>
      <w:r>
        <w:rPr>
          <w:rFonts w:hint="eastAsia" w:ascii="仿宋_GB2312" w:hAnsi="仿宋_GB2312" w:eastAsia="仿宋_GB2312" w:cs="仿宋_GB2312"/>
          <w:sz w:val="32"/>
          <w:szCs w:val="32"/>
          <w:shd w:val="clear" w:color="auto" w:fill="auto"/>
          <w:lang w:eastAsia="zh-CN"/>
        </w:rPr>
        <w:t>新闻动态、智慧医疗、</w:t>
      </w:r>
      <w:r>
        <w:rPr>
          <w:rFonts w:hint="eastAsia" w:ascii="仿宋_GB2312" w:hAnsi="仿宋_GB2312" w:eastAsia="仿宋_GB2312" w:cs="仿宋_GB2312"/>
          <w:sz w:val="32"/>
          <w:szCs w:val="32"/>
          <w:shd w:val="clear" w:color="auto" w:fill="auto"/>
        </w:rPr>
        <w:t>人事考试、财务执行情况报告、行政许可、行政处罚信息等需主动公开的信息都及时向社会公开公布。</w:t>
      </w:r>
    </w:p>
    <w:p>
      <w:pPr>
        <w:spacing w:line="540" w:lineRule="exact"/>
        <w:ind w:firstLine="640" w:firstLineChars="200"/>
        <w:rPr>
          <w:rFonts w:hint="eastAsia" w:ascii="仿宋_GB2312" w:hAnsi="仿宋_GB2312" w:eastAsia="仿宋_GB2312" w:cs="仿宋_GB2312"/>
          <w:sz w:val="32"/>
          <w:szCs w:val="32"/>
          <w:shd w:val="clear" w:color="FFFFFF" w:fill="D9D9D9"/>
          <w:lang w:eastAsia="zh-CN"/>
        </w:rPr>
      </w:pPr>
      <w:r>
        <w:rPr>
          <w:rFonts w:hint="eastAsia" w:ascii="仿宋_GB2312" w:hAnsi="仿宋_GB2312" w:eastAsia="仿宋_GB2312" w:cs="仿宋_GB2312"/>
          <w:sz w:val="32"/>
          <w:szCs w:val="32"/>
          <w:shd w:val="clear" w:color="auto" w:fill="auto"/>
        </w:rPr>
        <w:t>2.完成重点领域公示。11月8日，“健康丰台众汇京彩”2023年医疗健康发展交流大会在新村街道樊家村鼎业健康产业园隆重举行。</w:t>
      </w:r>
      <w:r>
        <w:rPr>
          <w:rFonts w:hint="eastAsia" w:ascii="仿宋_GB2312" w:hAnsi="仿宋_GB2312" w:eastAsia="仿宋_GB2312" w:cs="仿宋_GB2312"/>
          <w:sz w:val="32"/>
          <w:szCs w:val="32"/>
          <w:shd w:val="clear" w:color="auto" w:fill="auto"/>
          <w:lang w:eastAsia="zh-CN"/>
        </w:rPr>
        <w:t>为让丰台区居民</w:t>
      </w:r>
      <w:r>
        <w:rPr>
          <w:rFonts w:hint="eastAsia" w:ascii="仿宋_GB2312" w:hAnsi="仿宋_GB2312" w:eastAsia="仿宋_GB2312" w:cs="仿宋_GB2312"/>
          <w:sz w:val="32"/>
          <w:szCs w:val="32"/>
          <w:shd w:val="clear" w:color="auto" w:fill="auto"/>
        </w:rPr>
        <w:t>及时</w:t>
      </w:r>
      <w:r>
        <w:rPr>
          <w:rFonts w:hint="eastAsia" w:ascii="仿宋_GB2312" w:hAnsi="仿宋_GB2312" w:eastAsia="仿宋_GB2312" w:cs="仿宋_GB2312"/>
          <w:sz w:val="32"/>
          <w:szCs w:val="32"/>
          <w:shd w:val="clear" w:color="auto" w:fill="auto"/>
          <w:lang w:eastAsia="zh-CN"/>
        </w:rPr>
        <w:t>知悉</w:t>
      </w:r>
      <w:r>
        <w:rPr>
          <w:rFonts w:hint="eastAsia" w:ascii="仿宋_GB2312" w:hAnsi="仿宋_GB2312" w:eastAsia="仿宋_GB2312" w:cs="仿宋_GB2312"/>
          <w:sz w:val="32"/>
          <w:szCs w:val="32"/>
          <w:shd w:val="clear" w:color="auto" w:fill="auto"/>
        </w:rPr>
        <w:t>医疗健康领域的科技创新和成果转化，</w:t>
      </w:r>
      <w:r>
        <w:rPr>
          <w:rFonts w:hint="eastAsia" w:ascii="仿宋_GB2312" w:hAnsi="仿宋_GB2312" w:eastAsia="仿宋_GB2312" w:cs="仿宋_GB2312"/>
          <w:sz w:val="32"/>
          <w:szCs w:val="32"/>
          <w:shd w:val="clear" w:color="auto" w:fill="auto"/>
          <w:lang w:eastAsia="zh-CN"/>
        </w:rPr>
        <w:t>辖区</w:t>
      </w:r>
      <w:r>
        <w:rPr>
          <w:rFonts w:hint="eastAsia" w:ascii="仿宋_GB2312" w:hAnsi="仿宋_GB2312" w:eastAsia="仿宋_GB2312" w:cs="仿宋_GB2312"/>
          <w:sz w:val="32"/>
          <w:szCs w:val="32"/>
          <w:shd w:val="clear" w:color="auto" w:fill="auto"/>
        </w:rPr>
        <w:t>为居民提供更加优质、便捷的医疗健康服务</w:t>
      </w:r>
      <w:r>
        <w:rPr>
          <w:rFonts w:hint="eastAsia" w:ascii="仿宋_GB2312" w:hAnsi="仿宋_GB2312" w:eastAsia="仿宋_GB2312" w:cs="仿宋_GB2312"/>
          <w:sz w:val="32"/>
          <w:szCs w:val="32"/>
          <w:shd w:val="clear" w:color="auto" w:fill="auto"/>
          <w:lang w:eastAsia="zh-CN"/>
        </w:rPr>
        <w:t>的最新进展</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shd w:val="clear" w:color="auto" w:fill="auto"/>
          <w:lang w:eastAsia="zh-CN"/>
        </w:rPr>
        <w:t>区卫健委在政府门户网站发布“智慧医疗”产业链信息。</w:t>
      </w:r>
    </w:p>
    <w:p>
      <w:pPr>
        <w:spacing w:line="540" w:lineRule="exact"/>
        <w:ind w:firstLine="640" w:firstLineChars="200"/>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auto" w:fill="auto"/>
        </w:rPr>
        <w:t>3.依申请公开。</w:t>
      </w:r>
      <w:r>
        <w:rPr>
          <w:rFonts w:hint="eastAsia" w:ascii="仿宋_GB2312" w:hAnsi="仿宋_GB2312" w:eastAsia="仿宋_GB2312" w:cs="仿宋_GB2312"/>
          <w:sz w:val="32"/>
          <w:szCs w:val="32"/>
          <w:shd w:val="clear" w:color="auto" w:fill="auto"/>
          <w:lang w:eastAsia="zh-CN"/>
        </w:rPr>
        <w:t>全年总计收到依申请公开</w:t>
      </w:r>
      <w:r>
        <w:rPr>
          <w:rFonts w:hint="eastAsia" w:ascii="仿宋_GB2312" w:hAnsi="仿宋_GB2312" w:eastAsia="仿宋_GB2312" w:cs="仿宋_GB2312"/>
          <w:sz w:val="32"/>
          <w:szCs w:val="32"/>
          <w:shd w:val="clear" w:color="auto" w:fill="auto"/>
          <w:lang w:val="en-US" w:eastAsia="zh-CN"/>
        </w:rPr>
        <w:t>10件，转接下年度继续办理1件。所有申请均按时查收，做好登记，保持沟通，按规定时间办结。邀请律师给与全过程法律指导，</w:t>
      </w:r>
      <w:r>
        <w:rPr>
          <w:rFonts w:hint="eastAsia" w:ascii="仿宋_GB2312" w:hAnsi="仿宋_GB2312" w:eastAsia="仿宋_GB2312" w:cs="仿宋_GB2312"/>
          <w:sz w:val="32"/>
          <w:szCs w:val="32"/>
          <w:shd w:val="clear" w:color="auto" w:fill="auto"/>
          <w:lang w:eastAsia="zh-CN"/>
        </w:rPr>
        <w:t>进行</w:t>
      </w:r>
      <w:r>
        <w:rPr>
          <w:rFonts w:hint="eastAsia" w:ascii="仿宋_GB2312" w:hAnsi="仿宋_GB2312" w:eastAsia="仿宋_GB2312" w:cs="仿宋_GB2312"/>
          <w:sz w:val="32"/>
          <w:szCs w:val="32"/>
          <w:shd w:val="clear" w:color="auto" w:fill="auto"/>
        </w:rPr>
        <w:t>专业审核，经审查可以公开的及时公开，经审查不予公开的向申请人说明情况，</w:t>
      </w:r>
      <w:r>
        <w:rPr>
          <w:rFonts w:hint="eastAsia" w:ascii="仿宋_GB2312" w:hAnsi="仿宋_GB2312" w:eastAsia="仿宋_GB2312" w:cs="仿宋_GB2312"/>
          <w:sz w:val="32"/>
          <w:szCs w:val="32"/>
          <w:shd w:val="clear" w:color="auto" w:fill="auto"/>
          <w:lang w:eastAsia="zh-CN"/>
        </w:rPr>
        <w:t>尽最大努力方便申请人获知可提供信息。</w:t>
      </w:r>
      <w:r>
        <w:rPr>
          <w:rFonts w:hint="eastAsia" w:ascii="仿宋_GB2312" w:hAnsi="仿宋_GB2312" w:eastAsia="仿宋_GB2312" w:cs="仿宋_GB2312"/>
          <w:sz w:val="32"/>
          <w:szCs w:val="32"/>
          <w:shd w:val="clear" w:color="auto" w:fill="auto"/>
        </w:rPr>
        <w:t>同时充分保障申请人权益，告知行政复议、行政诉讼的途径。</w:t>
      </w:r>
    </w:p>
    <w:p>
      <w:pPr>
        <w:spacing w:line="540" w:lineRule="exact"/>
        <w:ind w:firstLine="676" w:firstLineChars="200"/>
        <w:rPr>
          <w:rFonts w:ascii="楷体_GB2312" w:hAnsi="楷体_GB2312" w:eastAsia="楷体_GB2312" w:cs="楷体_GB2312"/>
          <w:spacing w:val="9"/>
          <w:sz w:val="32"/>
          <w:szCs w:val="32"/>
          <w:shd w:val="clear" w:color="FFFFFF" w:fill="D9D9D9"/>
        </w:rPr>
      </w:pPr>
      <w:r>
        <w:rPr>
          <w:rFonts w:hint="eastAsia" w:ascii="楷体_GB2312" w:hAnsi="楷体_GB2312" w:eastAsia="楷体_GB2312" w:cs="楷体_GB2312"/>
          <w:spacing w:val="9"/>
          <w:sz w:val="32"/>
          <w:szCs w:val="32"/>
          <w:shd w:val="clear" w:color="auto" w:fill="auto"/>
        </w:rPr>
        <w:t>（</w:t>
      </w:r>
      <w:r>
        <w:rPr>
          <w:rFonts w:hint="eastAsia" w:ascii="楷体_GB2312" w:hAnsi="楷体_GB2312" w:eastAsia="楷体_GB2312" w:cs="楷体_GB2312"/>
          <w:spacing w:val="9"/>
          <w:sz w:val="32"/>
          <w:szCs w:val="32"/>
          <w:shd w:val="clear" w:color="auto" w:fill="auto"/>
          <w:lang w:eastAsia="zh-CN"/>
        </w:rPr>
        <w:t>三</w:t>
      </w:r>
      <w:r>
        <w:rPr>
          <w:rFonts w:hint="eastAsia" w:ascii="楷体_GB2312" w:hAnsi="楷体_GB2312" w:eastAsia="楷体_GB2312" w:cs="楷体_GB2312"/>
          <w:spacing w:val="9"/>
          <w:sz w:val="32"/>
          <w:szCs w:val="32"/>
          <w:shd w:val="clear" w:color="auto" w:fill="auto"/>
        </w:rPr>
        <w:t>）</w:t>
      </w:r>
      <w:r>
        <w:rPr>
          <w:rFonts w:hint="eastAsia" w:ascii="楷体_GB2312" w:hAnsi="楷体_GB2312" w:eastAsia="楷体_GB2312" w:cs="楷体_GB2312"/>
          <w:spacing w:val="9"/>
          <w:sz w:val="32"/>
          <w:szCs w:val="32"/>
          <w:shd w:val="clear" w:color="auto" w:fill="auto"/>
          <w:lang w:eastAsia="zh-CN"/>
        </w:rPr>
        <w:t>扩宽信息覆盖，</w:t>
      </w:r>
      <w:r>
        <w:rPr>
          <w:rFonts w:hint="eastAsia" w:ascii="楷体_GB2312" w:hAnsi="楷体_GB2312" w:eastAsia="楷体_GB2312" w:cs="楷体_GB2312"/>
          <w:spacing w:val="9"/>
          <w:sz w:val="32"/>
          <w:szCs w:val="32"/>
          <w:shd w:val="clear" w:color="auto" w:fill="auto"/>
        </w:rPr>
        <w:t>加强信息公开平台建设</w:t>
      </w:r>
    </w:p>
    <w:p>
      <w:pPr>
        <w:spacing w:line="540" w:lineRule="exact"/>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w:t>
      </w:r>
      <w:bookmarkStart w:id="0" w:name="OLE_LINK6"/>
      <w:r>
        <w:rPr>
          <w:rFonts w:hint="eastAsia" w:ascii="仿宋_GB2312" w:hAnsi="仿宋_GB2312" w:eastAsia="仿宋_GB2312" w:cs="仿宋_GB2312"/>
          <w:sz w:val="32"/>
          <w:szCs w:val="32"/>
          <w:shd w:val="clear" w:color="auto" w:fill="auto"/>
        </w:rPr>
        <w:t>加强政府网站监督保障。</w:t>
      </w:r>
      <w:bookmarkEnd w:id="0"/>
      <w:r>
        <w:rPr>
          <w:rFonts w:hint="eastAsia" w:ascii="仿宋_GB2312" w:hAnsi="仿宋_GB2312" w:eastAsia="仿宋_GB2312" w:cs="仿宋_GB2312"/>
          <w:sz w:val="32"/>
          <w:szCs w:val="32"/>
          <w:shd w:val="clear" w:color="auto" w:fill="auto"/>
        </w:rPr>
        <w:t>切实履行对政府网站的监督保障</w:t>
      </w:r>
      <w:r>
        <w:rPr>
          <w:rFonts w:hint="eastAsia" w:ascii="仿宋_GB2312" w:hAnsi="仿宋_GB2312" w:eastAsia="仿宋_GB2312" w:cs="仿宋_GB2312"/>
          <w:sz w:val="32"/>
          <w:szCs w:val="32"/>
          <w:shd w:val="clear" w:color="auto" w:fill="auto"/>
          <w:lang w:eastAsia="zh-CN"/>
        </w:rPr>
        <w:t>职责</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shd w:val="clear" w:color="auto" w:fill="auto"/>
          <w:lang w:eastAsia="zh-CN"/>
        </w:rPr>
        <w:t>定期“体检”发布内容，接收区政务服务局工作要求，保持部门发布内容动态更新</w:t>
      </w:r>
      <w:r>
        <w:rPr>
          <w:rFonts w:hint="eastAsia" w:ascii="仿宋_GB2312" w:hAnsi="仿宋_GB2312" w:eastAsia="仿宋_GB2312" w:cs="仿宋_GB2312"/>
          <w:sz w:val="32"/>
          <w:szCs w:val="32"/>
          <w:shd w:val="clear" w:color="auto" w:fill="auto"/>
        </w:rPr>
        <w:t>。</w:t>
      </w:r>
    </w:p>
    <w:p>
      <w:pPr>
        <w:spacing w:line="540" w:lineRule="exact"/>
        <w:ind w:firstLine="640" w:firstLineChars="200"/>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2.推进</w:t>
      </w:r>
      <w:r>
        <w:rPr>
          <w:rFonts w:hint="eastAsia" w:ascii="仿宋_GB2312" w:hAnsi="仿宋_GB2312" w:eastAsia="仿宋_GB2312" w:cs="仿宋_GB2312"/>
          <w:sz w:val="32"/>
          <w:szCs w:val="32"/>
          <w:shd w:val="clear" w:color="auto" w:fill="auto"/>
          <w:lang w:eastAsia="zh-CN"/>
        </w:rPr>
        <w:t>信息平台</w:t>
      </w:r>
      <w:r>
        <w:rPr>
          <w:rFonts w:hint="eastAsia" w:ascii="仿宋_GB2312" w:hAnsi="仿宋_GB2312" w:eastAsia="仿宋_GB2312" w:cs="仿宋_GB2312"/>
          <w:sz w:val="32"/>
          <w:szCs w:val="32"/>
          <w:shd w:val="clear" w:color="auto" w:fill="auto"/>
        </w:rPr>
        <w:t>融合建设。本年度</w:t>
      </w:r>
      <w:r>
        <w:rPr>
          <w:rFonts w:hint="eastAsia" w:ascii="仿宋_GB2312" w:hAnsi="仿宋_GB2312" w:eastAsia="仿宋_GB2312" w:cs="仿宋_GB2312"/>
          <w:sz w:val="32"/>
          <w:szCs w:val="32"/>
          <w:shd w:val="clear" w:color="auto" w:fill="auto"/>
          <w:lang w:eastAsia="zh-CN"/>
        </w:rPr>
        <w:t>通过丰台区人民</w:t>
      </w:r>
      <w:r>
        <w:rPr>
          <w:rFonts w:hint="eastAsia" w:ascii="仿宋_GB2312" w:hAnsi="仿宋_GB2312" w:eastAsia="仿宋_GB2312" w:cs="仿宋_GB2312"/>
          <w:sz w:val="32"/>
          <w:szCs w:val="32"/>
          <w:shd w:val="clear" w:color="auto" w:fill="auto"/>
        </w:rPr>
        <w:t>政府网站上主动公开</w:t>
      </w:r>
      <w:r>
        <w:rPr>
          <w:rFonts w:hint="eastAsia" w:ascii="仿宋_GB2312" w:hAnsi="仿宋_GB2312" w:eastAsia="仿宋_GB2312" w:cs="仿宋_GB2312"/>
          <w:sz w:val="32"/>
          <w:szCs w:val="32"/>
          <w:shd w:val="clear" w:color="auto" w:fill="auto"/>
          <w:lang w:eastAsia="zh-CN"/>
        </w:rPr>
        <w:t>各类</w:t>
      </w:r>
      <w:r>
        <w:rPr>
          <w:rFonts w:hint="eastAsia" w:ascii="仿宋_GB2312" w:hAnsi="仿宋_GB2312" w:eastAsia="仿宋_GB2312" w:cs="仿宋_GB2312"/>
          <w:sz w:val="32"/>
          <w:szCs w:val="32"/>
          <w:shd w:val="clear" w:color="auto" w:fill="auto"/>
        </w:rPr>
        <w:t>部门工作动态信息</w:t>
      </w:r>
      <w:r>
        <w:rPr>
          <w:rFonts w:hint="eastAsia" w:ascii="仿宋_GB2312" w:hAnsi="仿宋_GB2312" w:eastAsia="仿宋_GB2312" w:cs="仿宋_GB2312"/>
          <w:sz w:val="32"/>
          <w:szCs w:val="32"/>
          <w:shd w:val="clear" w:color="auto" w:fill="auto"/>
          <w:lang w:val="en-US" w:eastAsia="zh-CN"/>
        </w:rPr>
        <w:t>161</w:t>
      </w:r>
      <w:r>
        <w:rPr>
          <w:rFonts w:hint="eastAsia" w:ascii="仿宋_GB2312" w:hAnsi="仿宋_GB2312" w:eastAsia="仿宋_GB2312" w:cs="仿宋_GB2312"/>
          <w:sz w:val="32"/>
          <w:szCs w:val="32"/>
          <w:shd w:val="clear" w:color="auto" w:fill="auto"/>
        </w:rPr>
        <w:t>条。</w:t>
      </w:r>
      <w:r>
        <w:rPr>
          <w:rFonts w:hint="eastAsia" w:ascii="仿宋_GB2312" w:hAnsi="仿宋_GB2312" w:eastAsia="仿宋_GB2312" w:cs="仿宋_GB2312"/>
          <w:sz w:val="32"/>
          <w:szCs w:val="32"/>
          <w:shd w:val="clear" w:color="auto" w:fill="auto"/>
          <w:lang w:eastAsia="zh-CN"/>
        </w:rPr>
        <w:t>围绕健康丰台、群众关切、便捷就医等内容</w:t>
      </w: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shd w:val="clear" w:color="auto" w:fill="auto"/>
          <w:lang w:eastAsia="zh-CN"/>
        </w:rPr>
        <w:t>发挥</w:t>
      </w:r>
      <w:r>
        <w:rPr>
          <w:rFonts w:hint="eastAsia" w:ascii="仿宋_GB2312" w:hAnsi="仿宋_GB2312" w:eastAsia="仿宋_GB2312" w:cs="仿宋_GB2312"/>
          <w:sz w:val="32"/>
          <w:szCs w:val="32"/>
          <w:shd w:val="clear" w:color="auto" w:fill="auto"/>
        </w:rPr>
        <w:t>微信、微博等新媒体</w:t>
      </w:r>
      <w:r>
        <w:rPr>
          <w:rFonts w:hint="eastAsia" w:ascii="仿宋_GB2312" w:hAnsi="仿宋_GB2312" w:eastAsia="仿宋_GB2312" w:cs="仿宋_GB2312"/>
          <w:sz w:val="32"/>
          <w:szCs w:val="32"/>
          <w:shd w:val="clear" w:color="auto" w:fill="auto"/>
          <w:lang w:eastAsia="zh-CN"/>
        </w:rPr>
        <w:t>积极作用</w:t>
      </w:r>
      <w:r>
        <w:rPr>
          <w:rFonts w:hint="eastAsia" w:ascii="仿宋_GB2312" w:hAnsi="仿宋_GB2312" w:eastAsia="仿宋_GB2312" w:cs="仿宋_GB2312"/>
          <w:sz w:val="32"/>
          <w:szCs w:val="32"/>
          <w:shd w:val="clear" w:color="auto" w:fill="auto"/>
        </w:rPr>
        <w:t>，构建了多维融合格局。</w:t>
      </w:r>
    </w:p>
    <w:p>
      <w:pPr>
        <w:pStyle w:val="2"/>
        <w:rPr>
          <w:rFonts w:hint="eastAsia" w:ascii="仿宋_GB2312" w:hAnsi="仿宋_GB2312" w:eastAsia="仿宋_GB2312" w:cs="仿宋_GB2312"/>
          <w:sz w:val="32"/>
          <w:szCs w:val="32"/>
          <w:shd w:val="clear" w:color="auto" w:fill="auto"/>
        </w:rPr>
      </w:pPr>
    </w:p>
    <w:p>
      <w:pPr>
        <w:pStyle w:val="2"/>
        <w:rPr>
          <w:rFonts w:hint="eastAsia" w:ascii="仿宋_GB2312" w:hAnsi="仿宋_GB2312" w:eastAsia="仿宋_GB2312" w:cs="仿宋_GB2312"/>
          <w:sz w:val="32"/>
          <w:szCs w:val="32"/>
          <w:shd w:val="clear" w:color="auto" w:fill="auto"/>
        </w:rPr>
      </w:pPr>
      <w:bookmarkStart w:id="2" w:name="_GoBack"/>
      <w:bookmarkEnd w:id="2"/>
    </w:p>
    <w:p>
      <w:pPr>
        <w:pStyle w:val="2"/>
        <w:rPr>
          <w:rFonts w:hint="eastAsia" w:ascii="仿宋_GB2312" w:hAnsi="仿宋_GB2312" w:eastAsia="仿宋_GB2312" w:cs="仿宋_GB2312"/>
          <w:sz w:val="32"/>
          <w:szCs w:val="32"/>
          <w:shd w:val="clear" w:color="auto" w:fill="auto"/>
        </w:rPr>
      </w:pPr>
    </w:p>
    <w:p>
      <w:pPr>
        <w:pStyle w:val="2"/>
        <w:rPr>
          <w:rFonts w:hint="eastAsia" w:ascii="仿宋_GB2312" w:hAnsi="仿宋_GB2312" w:eastAsia="仿宋_GB2312" w:cs="仿宋_GB2312"/>
          <w:sz w:val="32"/>
          <w:szCs w:val="32"/>
          <w:shd w:val="clear" w:color="auto" w:fill="auto"/>
        </w:rPr>
      </w:pP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主动公开政府信息情况</w:t>
      </w:r>
    </w:p>
    <w:tbl>
      <w:tblPr>
        <w:tblStyle w:val="8"/>
        <w:tblpPr w:leftFromText="180" w:rightFromText="180" w:vertAnchor="text" w:horzAnchor="page" w:tblpX="1334" w:tblpY="131"/>
        <w:tblOverlap w:val="never"/>
        <w:tblW w:w="9740" w:type="dxa"/>
        <w:tblInd w:w="0" w:type="dxa"/>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jc w:val="center"/>
              <w:rPr>
                <w:rFonts w:ascii="宋体" w:hAnsi="宋体" w:cs="宋体"/>
                <w:color w:val="000000"/>
                <w:kern w:val="0"/>
                <w:sz w:val="20"/>
                <w:lang w:bidi="ar"/>
              </w:rPr>
            </w:pPr>
            <w:r>
              <w:rPr>
                <w:rFonts w:hint="eastAsia" w:ascii="宋体" w:hAnsi="宋体" w:cs="宋体"/>
                <w:color w:val="000000"/>
                <w:kern w:val="0"/>
                <w:sz w:val="20"/>
                <w:lang w:bidi="ar"/>
              </w:rPr>
              <w:t>第二十条第（一）项</w:t>
            </w:r>
          </w:p>
        </w:tc>
      </w:tr>
      <w:tr>
        <w:tblPrEx>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jc w:val="center"/>
            </w:pPr>
            <w:r>
              <w:rPr>
                <w:rFonts w:hint="eastAsia" w:ascii="宋体" w:hAnsi="宋体" w:cs="宋体"/>
                <w:color w:val="000000"/>
                <w:kern w:val="0"/>
                <w:sz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jc w:val="center"/>
              <w:rPr>
                <w:rFonts w:ascii="宋体" w:hAnsi="宋体" w:cs="宋体"/>
                <w:color w:val="000000"/>
                <w:kern w:val="0"/>
                <w:sz w:val="20"/>
                <w:lang w:bidi="ar"/>
              </w:rPr>
            </w:pPr>
            <w:r>
              <w:rPr>
                <w:rFonts w:hint="eastAsia" w:ascii="宋体" w:hAnsi="宋体" w:cs="宋体"/>
                <w:color w:val="000000"/>
                <w:kern w:val="0"/>
                <w:sz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jc w:val="center"/>
            </w:pPr>
            <w:r>
              <w:rPr>
                <w:rFonts w:hint="eastAsia" w:ascii="宋体" w:hAnsi="宋体" w:cs="宋体"/>
                <w:color w:val="000000"/>
                <w:kern w:val="0"/>
                <w:sz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jc w:val="center"/>
            </w:pPr>
            <w:r>
              <w:rPr>
                <w:rFonts w:hint="eastAsia" w:ascii="宋体" w:hAnsi="宋体" w:cs="宋体"/>
                <w:color w:val="000000"/>
                <w:kern w:val="0"/>
                <w:sz w:val="20"/>
                <w:lang w:bidi="ar"/>
              </w:rPr>
              <w:t>现行有效件</w:t>
            </w:r>
            <w:r>
              <w:rPr>
                <w:rFonts w:hint="eastAsia" w:ascii="宋体" w:hAnsi="宋体" w:cs="宋体"/>
                <w:kern w:val="0"/>
                <w:sz w:val="20"/>
                <w:lang w:bidi="ar"/>
              </w:rPr>
              <w:t>数</w:t>
            </w:r>
          </w:p>
        </w:tc>
      </w:tr>
      <w:tr>
        <w:tblPrEx>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jc w:val="left"/>
            </w:pPr>
            <w:r>
              <w:rPr>
                <w:rFonts w:hint="eastAsia" w:ascii="宋体" w:hAnsi="宋体" w:cs="宋体"/>
                <w:color w:val="000000"/>
                <w:kern w:val="0"/>
                <w:sz w:val="20"/>
                <w:lang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jc w:val="left"/>
            </w:pPr>
            <w:r>
              <w:rPr>
                <w:rFonts w:hint="eastAsia" w:ascii="宋体" w:hAnsi="宋体" w:cs="宋体"/>
                <w:color w:val="000000"/>
                <w:kern w:val="0"/>
                <w:sz w:val="20"/>
                <w:lang w:bidi="ar"/>
              </w:rPr>
              <w:t>　　0</w:t>
            </w:r>
          </w:p>
        </w:tc>
        <w:tc>
          <w:tcPr>
            <w:tcW w:w="2435" w:type="dxa"/>
            <w:tcBorders>
              <w:top w:val="nil"/>
              <w:left w:val="nil"/>
              <w:bottom w:val="single" w:color="auto" w:sz="8" w:space="0"/>
              <w:right w:val="single" w:color="auto" w:sz="8" w:space="0"/>
            </w:tcBorders>
            <w:tcMar>
              <w:left w:w="57" w:type="dxa"/>
              <w:right w:w="57" w:type="dxa"/>
            </w:tcMar>
            <w:vAlign w:val="center"/>
          </w:tcPr>
          <w:p>
            <w:pPr>
              <w:jc w:val="left"/>
            </w:pPr>
            <w:r>
              <w:rPr>
                <w:rFonts w:hint="eastAsia" w:ascii="宋体" w:hAnsi="宋体" w:cs="宋体"/>
                <w:color w:val="000000"/>
                <w:kern w:val="0"/>
                <w:sz w:val="20"/>
                <w:lang w:bidi="ar"/>
              </w:rPr>
              <w:t> 　0</w:t>
            </w:r>
          </w:p>
        </w:tc>
        <w:tc>
          <w:tcPr>
            <w:tcW w:w="2435" w:type="dxa"/>
            <w:tcBorders>
              <w:top w:val="nil"/>
              <w:left w:val="nil"/>
              <w:bottom w:val="single" w:color="auto" w:sz="8" w:space="0"/>
              <w:right w:val="single" w:color="auto" w:sz="8" w:space="0"/>
            </w:tcBorders>
            <w:tcMar>
              <w:left w:w="57" w:type="dxa"/>
              <w:right w:w="57" w:type="dxa"/>
            </w:tcMar>
            <w:vAlign w:val="center"/>
          </w:tcPr>
          <w:p>
            <w:pPr>
              <w:jc w:val="left"/>
            </w:pPr>
            <w:r>
              <w:rPr>
                <w:rFonts w:cs="Calibri"/>
                <w:kern w:val="0"/>
                <w:szCs w:val="21"/>
                <w:lang w:bidi="ar"/>
              </w:rPr>
              <w:t> </w:t>
            </w:r>
            <w:r>
              <w:rPr>
                <w:rFonts w:hint="eastAsia" w:cs="Calibri"/>
                <w:kern w:val="0"/>
                <w:szCs w:val="21"/>
                <w:lang w:bidi="ar"/>
              </w:rPr>
              <w:t>0</w:t>
            </w:r>
          </w:p>
        </w:tc>
      </w:tr>
      <w:tr>
        <w:tblPrEx>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jc w:val="left"/>
            </w:pPr>
            <w:r>
              <w:rPr>
                <w:rFonts w:hint="eastAsia" w:ascii="宋体" w:hAnsi="宋体" w:cs="宋体"/>
                <w:color w:val="000000"/>
                <w:kern w:val="0"/>
                <w:sz w:val="20"/>
                <w:lang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jc w:val="left"/>
            </w:pPr>
            <w:r>
              <w:rPr>
                <w:rFonts w:hint="eastAsia" w:ascii="宋体" w:hAnsi="宋体" w:cs="宋体"/>
                <w:color w:val="000000"/>
                <w:kern w:val="0"/>
                <w:sz w:val="20"/>
                <w:lang w:bidi="ar"/>
              </w:rPr>
              <w:t>　　0</w:t>
            </w:r>
          </w:p>
        </w:tc>
        <w:tc>
          <w:tcPr>
            <w:tcW w:w="2435" w:type="dxa"/>
            <w:tcBorders>
              <w:top w:val="nil"/>
              <w:left w:val="nil"/>
              <w:bottom w:val="single" w:color="auto" w:sz="8" w:space="0"/>
              <w:right w:val="single" w:color="auto" w:sz="8" w:space="0"/>
            </w:tcBorders>
            <w:tcMar>
              <w:left w:w="57" w:type="dxa"/>
              <w:right w:w="57" w:type="dxa"/>
            </w:tcMar>
            <w:vAlign w:val="center"/>
          </w:tcPr>
          <w:p>
            <w:pPr>
              <w:jc w:val="left"/>
            </w:pPr>
            <w:r>
              <w:rPr>
                <w:rFonts w:hint="eastAsia" w:ascii="宋体" w:hAnsi="宋体" w:cs="宋体"/>
                <w:color w:val="000000"/>
                <w:kern w:val="0"/>
                <w:sz w:val="20"/>
                <w:lang w:bidi="ar"/>
              </w:rPr>
              <w:t> 　0</w:t>
            </w:r>
          </w:p>
        </w:tc>
        <w:tc>
          <w:tcPr>
            <w:tcW w:w="2435" w:type="dxa"/>
            <w:tcBorders>
              <w:top w:val="nil"/>
              <w:left w:val="nil"/>
              <w:bottom w:val="single" w:color="auto" w:sz="8" w:space="0"/>
              <w:right w:val="single" w:color="auto" w:sz="8" w:space="0"/>
            </w:tcBorders>
            <w:tcMar>
              <w:left w:w="57" w:type="dxa"/>
              <w:right w:w="57" w:type="dxa"/>
            </w:tcMar>
            <w:vAlign w:val="center"/>
          </w:tcPr>
          <w:p>
            <w:pPr>
              <w:jc w:val="left"/>
            </w:pPr>
            <w:r>
              <w:rPr>
                <w:rFonts w:cs="Calibri"/>
                <w:kern w:val="0"/>
                <w:szCs w:val="21"/>
                <w:lang w:bidi="ar"/>
              </w:rPr>
              <w:t> </w:t>
            </w:r>
            <w:r>
              <w:rPr>
                <w:rFonts w:hint="eastAsia" w:cs="Calibri"/>
                <w:kern w:val="0"/>
                <w:szCs w:val="21"/>
                <w:lang w:bidi="ar"/>
              </w:rPr>
              <w:t>4</w:t>
            </w:r>
          </w:p>
        </w:tc>
      </w:tr>
      <w:tr>
        <w:tblPrEx>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jc w:val="center"/>
            </w:pPr>
            <w:r>
              <w:rPr>
                <w:rFonts w:hint="eastAsia" w:ascii="宋体" w:hAnsi="宋体" w:cs="宋体"/>
                <w:color w:val="000000"/>
                <w:kern w:val="0"/>
                <w:sz w:val="20"/>
                <w:lang w:bidi="ar"/>
              </w:rPr>
              <w:t>第二十条第（五）项</w:t>
            </w:r>
          </w:p>
        </w:tc>
      </w:tr>
      <w:tr>
        <w:tblPrEx>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jc w:val="center"/>
            </w:pPr>
            <w:r>
              <w:rPr>
                <w:rFonts w:hint="eastAsia" w:ascii="宋体" w:hAnsi="宋体" w:cs="宋体"/>
                <w:color w:val="000000"/>
                <w:kern w:val="0"/>
                <w:sz w:val="20"/>
                <w:lang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jc w:val="center"/>
            </w:pPr>
            <w:r>
              <w:rPr>
                <w:rFonts w:hint="eastAsia" w:ascii="宋体" w:hAnsi="宋体" w:cs="宋体"/>
                <w:color w:val="000000"/>
                <w:kern w:val="0"/>
                <w:sz w:val="20"/>
                <w:lang w:bidi="ar"/>
              </w:rPr>
              <w:t>本年处理决定数量</w:t>
            </w:r>
          </w:p>
        </w:tc>
      </w:tr>
      <w:tr>
        <w:tblPrEx>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jc w:val="left"/>
            </w:pPr>
            <w:r>
              <w:rPr>
                <w:rFonts w:hint="eastAsia" w:ascii="宋体" w:hAnsi="宋体" w:cs="宋体"/>
                <w:color w:val="000000"/>
                <w:kern w:val="0"/>
                <w:sz w:val="20"/>
                <w:lang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jc w:val="left"/>
              <w:rPr>
                <w:rFonts w:hint="default" w:eastAsia="宋体"/>
                <w:lang w:val="en-US" w:eastAsia="zh-CN"/>
              </w:rPr>
            </w:pPr>
            <w:r>
              <w:rPr>
                <w:rFonts w:hint="eastAsia"/>
                <w:lang w:val="en-US" w:eastAsia="zh-CN"/>
              </w:rPr>
              <w:t>2526</w:t>
            </w:r>
          </w:p>
        </w:tc>
      </w:tr>
      <w:tr>
        <w:tblPrEx>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jc w:val="center"/>
            </w:pPr>
            <w:r>
              <w:rPr>
                <w:rFonts w:hint="eastAsia" w:ascii="宋体" w:hAnsi="宋体" w:cs="宋体"/>
                <w:color w:val="000000"/>
                <w:kern w:val="0"/>
                <w:sz w:val="20"/>
                <w:lang w:bidi="ar"/>
              </w:rPr>
              <w:t>第二十条第（六）项</w:t>
            </w:r>
          </w:p>
        </w:tc>
      </w:tr>
      <w:tr>
        <w:tblPrEx>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jc w:val="center"/>
            </w:pPr>
            <w:r>
              <w:rPr>
                <w:rFonts w:hint="eastAsia" w:ascii="宋体" w:hAnsi="宋体" w:cs="宋体"/>
                <w:color w:val="000000"/>
                <w:kern w:val="0"/>
                <w:sz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jc w:val="center"/>
            </w:pPr>
            <w:r>
              <w:rPr>
                <w:rFonts w:hint="eastAsia" w:ascii="宋体" w:hAnsi="宋体" w:cs="宋体"/>
                <w:color w:val="000000"/>
                <w:kern w:val="0"/>
                <w:sz w:val="20"/>
                <w:lang w:bidi="ar"/>
              </w:rPr>
              <w:t>本年处理决定数量</w:t>
            </w:r>
          </w:p>
        </w:tc>
      </w:tr>
      <w:tr>
        <w:tblPrEx>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jc w:val="left"/>
            </w:pPr>
            <w:r>
              <w:rPr>
                <w:rFonts w:hint="eastAsia" w:ascii="宋体" w:hAnsi="宋体" w:cs="宋体"/>
                <w:color w:val="000000"/>
                <w:kern w:val="0"/>
                <w:sz w:val="20"/>
                <w:lang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jc w:val="left"/>
              <w:rPr>
                <w:rFonts w:hint="eastAsia" w:eastAsia="宋体"/>
                <w:lang w:val="en-US" w:eastAsia="zh-CN"/>
              </w:rPr>
            </w:pPr>
            <w:r>
              <w:rPr>
                <w:rFonts w:hint="eastAsia" w:ascii="宋体" w:hAnsi="宋体" w:cs="宋体"/>
                <w:color w:val="000000"/>
                <w:kern w:val="0"/>
                <w:sz w:val="20"/>
                <w:lang w:bidi="ar"/>
              </w:rPr>
              <w:t>9</w:t>
            </w:r>
            <w:r>
              <w:rPr>
                <w:rFonts w:hint="eastAsia" w:ascii="宋体" w:hAnsi="宋体" w:cs="宋体"/>
                <w:color w:val="000000"/>
                <w:kern w:val="0"/>
                <w:sz w:val="20"/>
                <w:lang w:val="en-US" w:eastAsia="zh-CN" w:bidi="ar"/>
              </w:rPr>
              <w:t>9</w:t>
            </w:r>
          </w:p>
        </w:tc>
      </w:tr>
      <w:tr>
        <w:tblPrEx>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jc w:val="left"/>
            </w:pPr>
            <w:r>
              <w:rPr>
                <w:rFonts w:hint="eastAsia" w:ascii="宋体" w:hAnsi="宋体" w:cs="宋体"/>
                <w:color w:val="000000"/>
                <w:kern w:val="0"/>
                <w:sz w:val="20"/>
                <w:lang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jc w:val="left"/>
            </w:pPr>
            <w:r>
              <w:rPr>
                <w:rFonts w:hint="eastAsia" w:ascii="宋体" w:hAnsi="宋体" w:cs="宋体"/>
                <w:color w:val="000000"/>
                <w:kern w:val="0"/>
                <w:sz w:val="20"/>
                <w:lang w:bidi="ar"/>
              </w:rPr>
              <w:t>0</w:t>
            </w:r>
          </w:p>
        </w:tc>
      </w:tr>
      <w:tr>
        <w:tblPrEx>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jc w:val="center"/>
            </w:pPr>
            <w:r>
              <w:rPr>
                <w:rFonts w:hint="eastAsia" w:ascii="宋体" w:hAnsi="宋体" w:cs="宋体"/>
                <w:color w:val="000000"/>
                <w:kern w:val="0"/>
                <w:sz w:val="20"/>
                <w:lang w:bidi="ar"/>
              </w:rPr>
              <w:t>第二十条第（八）项</w:t>
            </w:r>
          </w:p>
        </w:tc>
      </w:tr>
      <w:tr>
        <w:tblPrEx>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jc w:val="center"/>
            </w:pPr>
            <w:r>
              <w:rPr>
                <w:rFonts w:hint="eastAsia" w:ascii="宋体" w:hAnsi="宋体" w:cs="宋体"/>
                <w:color w:val="000000"/>
                <w:kern w:val="0"/>
                <w:sz w:val="20"/>
                <w:lang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jc w:val="center"/>
            </w:pPr>
            <w:r>
              <w:rPr>
                <w:rFonts w:hint="eastAsia" w:ascii="宋体" w:hAnsi="宋体" w:cs="宋体"/>
                <w:color w:val="000000"/>
                <w:kern w:val="0"/>
                <w:sz w:val="20"/>
                <w:lang w:bidi="ar"/>
              </w:rPr>
              <w:t>本年收费金额（单位：万元）</w:t>
            </w:r>
          </w:p>
        </w:tc>
      </w:tr>
      <w:tr>
        <w:tblPrEx>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jc w:val="left"/>
            </w:pPr>
            <w:r>
              <w:rPr>
                <w:rFonts w:hint="eastAsia" w:ascii="宋体" w:hAnsi="宋体" w:cs="宋体"/>
                <w:color w:val="000000"/>
                <w:kern w:val="0"/>
                <w:sz w:val="20"/>
                <w:lang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rPr>
                <w:rFonts w:ascii="宋体"/>
                <w:sz w:val="24"/>
                <w:szCs w:val="24"/>
              </w:rPr>
            </w:pPr>
            <w:r>
              <w:rPr>
                <w:rFonts w:hint="eastAsia" w:ascii="宋体"/>
                <w:sz w:val="24"/>
                <w:szCs w:val="24"/>
              </w:rPr>
              <w:t>0</w:t>
            </w:r>
          </w:p>
        </w:tc>
      </w:tr>
    </w:tbl>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收到和处理政府信息公开申请情况</w:t>
      </w:r>
    </w:p>
    <w:tbl>
      <w:tblPr>
        <w:tblStyle w:val="8"/>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jc w:val="left"/>
            </w:pPr>
            <w:r>
              <w:rPr>
                <w:rFonts w:ascii="楷体" w:hAnsi="楷体" w:eastAsia="楷体" w:cs="楷体"/>
                <w:kern w:val="0"/>
                <w:sz w:val="20"/>
                <w:lang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jc w:val="center"/>
            </w:pPr>
            <w:r>
              <w:rPr>
                <w:rFonts w:hint="eastAsia" w:ascii="宋体" w:hAnsi="宋体" w:cs="宋体"/>
                <w:kern w:val="0"/>
                <w:sz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宋体"/>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jc w:val="center"/>
            </w:pPr>
            <w:r>
              <w:rPr>
                <w:rFonts w:hint="eastAsia" w:ascii="宋体" w:hAnsi="宋体" w:cs="宋体"/>
                <w:kern w:val="0"/>
                <w:sz w:val="20"/>
                <w:lang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jc w:val="center"/>
            </w:pPr>
            <w:r>
              <w:rPr>
                <w:rFonts w:hint="eastAsia" w:ascii="宋体" w:hAnsi="宋体" w:cs="宋体"/>
                <w:kern w:val="0"/>
                <w:sz w:val="20"/>
                <w:lang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jc w:val="center"/>
            </w:pPr>
            <w:r>
              <w:rPr>
                <w:rFonts w:hint="eastAsia" w:ascii="宋体" w:hAnsi="宋体" w:cs="宋体"/>
                <w:kern w:val="0"/>
                <w:sz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宋体"/>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ascii="宋体"/>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jc w:val="center"/>
            </w:pPr>
            <w:r>
              <w:rPr>
                <w:rFonts w:hint="eastAsia" w:ascii="宋体" w:hAnsi="宋体" w:cs="宋体"/>
                <w:kern w:val="0"/>
                <w:sz w:val="20"/>
                <w:lang w:bidi="ar"/>
              </w:rPr>
              <w:t>商业</w:t>
            </w:r>
          </w:p>
          <w:p>
            <w:pPr>
              <w:jc w:val="center"/>
            </w:pPr>
            <w:r>
              <w:rPr>
                <w:rFonts w:hint="eastAsia" w:ascii="宋体" w:hAnsi="宋体" w:cs="宋体"/>
                <w:kern w:val="0"/>
                <w:sz w:val="20"/>
                <w:lang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jc w:val="center"/>
            </w:pPr>
            <w:r>
              <w:rPr>
                <w:rFonts w:hint="eastAsia" w:ascii="宋体" w:hAnsi="宋体" w:cs="宋体"/>
                <w:kern w:val="0"/>
                <w:sz w:val="20"/>
                <w:lang w:bidi="ar"/>
              </w:rPr>
              <w:t>科研</w:t>
            </w:r>
          </w:p>
          <w:p>
            <w:pPr>
              <w:jc w:val="center"/>
            </w:pPr>
            <w:r>
              <w:rPr>
                <w:rFonts w:hint="eastAsia" w:ascii="宋体" w:hAnsi="宋体" w:cs="宋体"/>
                <w:kern w:val="0"/>
                <w:sz w:val="20"/>
                <w:lang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jc w:val="center"/>
            </w:pPr>
            <w:r>
              <w:rPr>
                <w:rFonts w:hint="eastAsia" w:ascii="宋体" w:hAnsi="宋体" w:cs="宋体"/>
                <w:kern w:val="0"/>
                <w:sz w:val="20"/>
                <w:lang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jc w:val="center"/>
            </w:pPr>
            <w:r>
              <w:rPr>
                <w:rFonts w:hint="eastAsia" w:ascii="宋体" w:hAnsi="宋体" w:cs="宋体"/>
                <w:kern w:val="0"/>
                <w:sz w:val="20"/>
                <w:lang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jc w:val="center"/>
            </w:pPr>
            <w:r>
              <w:rPr>
                <w:rFonts w:hint="eastAsia" w:ascii="宋体" w:hAnsi="宋体" w:cs="宋体"/>
                <w:kern w:val="0"/>
                <w:sz w:val="20"/>
                <w:lang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jc w:val="left"/>
            </w:pPr>
            <w:r>
              <w:rPr>
                <w:rFonts w:hint="eastAsia" w:ascii="宋体" w:hAnsi="宋体" w:cs="宋体"/>
                <w:kern w:val="0"/>
                <w:sz w:val="20"/>
                <w:lang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eastAsia="宋体"/>
                <w:lang w:eastAsia="zh-CN"/>
              </w:rPr>
            </w:pPr>
            <w:r>
              <w:rPr>
                <w:rFonts w:hint="eastAsia" w:cs="Calibri"/>
                <w:kern w:val="0"/>
                <w:sz w:val="20"/>
                <w:lang w:val="en-US" w:eastAsia="zh-CN" w:bidi="ar"/>
              </w:rPr>
              <w:t>9</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eastAsia="宋体"/>
                <w:lang w:eastAsia="zh-CN"/>
              </w:rPr>
            </w:pPr>
            <w:r>
              <w:rPr>
                <w:rFonts w:hint="eastAsia" w:cs="Calibri"/>
                <w:kern w:val="0"/>
                <w:sz w:val="20"/>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hint="default" w:eastAsia="宋体"/>
                <w:lang w:val="en-US" w:eastAsia="zh-CN"/>
              </w:rPr>
            </w:pPr>
            <w:r>
              <w:rPr>
                <w:rFonts w:hint="eastAsia" w:cs="Calibri"/>
                <w:kern w:val="0"/>
                <w:sz w:val="20"/>
                <w:lang w:val="en-US" w:eastAsia="zh-CN" w:bidi="ar"/>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jc w:val="left"/>
            </w:pPr>
            <w:r>
              <w:rPr>
                <w:rFonts w:hint="eastAsia" w:ascii="宋体" w:hAnsi="宋体" w:cs="宋体"/>
                <w:kern w:val="0"/>
                <w:sz w:val="20"/>
                <w:lang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eastAsia="宋体"/>
                <w:lang w:val="en-US" w:eastAsia="zh-CN"/>
              </w:rPr>
            </w:pPr>
            <w:r>
              <w:rPr>
                <w:rFonts w:hint="eastAsia"/>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hint="eastAsia" w:eastAsia="宋体"/>
                <w:lang w:eastAsia="zh-CN"/>
              </w:rPr>
            </w:pPr>
            <w:r>
              <w:rPr>
                <w:rFonts w:hint="eastAsia" w:cs="Calibri"/>
                <w:kern w:val="0"/>
                <w:sz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left"/>
            </w:pPr>
            <w:r>
              <w:rPr>
                <w:rFonts w:hint="eastAsia" w:ascii="宋体" w:hAnsi="宋体" w:cs="宋体"/>
                <w:kern w:val="0"/>
                <w:sz w:val="20"/>
                <w:lang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jc w:val="left"/>
            </w:pPr>
            <w:r>
              <w:rPr>
                <w:rFonts w:hint="eastAsia" w:ascii="宋体" w:hAnsi="宋体" w:cs="宋体"/>
                <w:kern w:val="0"/>
                <w:sz w:val="20"/>
                <w:lang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eastAsia="宋体"/>
                <w:lang w:val="en-US" w:eastAsia="zh-CN"/>
              </w:rPr>
            </w:pPr>
            <w:r>
              <w:rPr>
                <w:rFonts w:hint="eastAsia"/>
                <w:lang w:val="en-US" w:eastAsia="zh-CN"/>
              </w:rPr>
              <w:t>5</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jc w:val="center"/>
              <w:rPr>
                <w:rFonts w:hint="eastAsia" w:eastAsia="宋体"/>
                <w:lang w:eastAsia="zh-CN"/>
              </w:rPr>
            </w:pPr>
            <w:r>
              <w:rPr>
                <w:rFonts w:hint="eastAsia" w:cs="Calibri"/>
                <w:kern w:val="0"/>
                <w:sz w:val="20"/>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jc w:val="left"/>
            </w:pPr>
            <w:r>
              <w:rPr>
                <w:rFonts w:hint="eastAsia" w:ascii="宋体" w:hAnsi="宋体" w:cs="宋体"/>
                <w:kern w:val="0"/>
                <w:sz w:val="20"/>
                <w:lang w:bidi="ar"/>
              </w:rPr>
              <w:t>（二）部分公开</w:t>
            </w:r>
            <w:r>
              <w:rPr>
                <w:rFonts w:ascii="楷体" w:hAnsi="楷体" w:eastAsia="楷体" w:cs="楷体"/>
                <w:kern w:val="0"/>
                <w:sz w:val="20"/>
                <w:lang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jc w:val="left"/>
            </w:pPr>
            <w:r>
              <w:rPr>
                <w:rFonts w:hint="eastAsia" w:ascii="宋体" w:hAnsi="宋体" w:cs="宋体"/>
                <w:kern w:val="0"/>
                <w:sz w:val="20"/>
                <w:lang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jc w:val="left"/>
            </w:pPr>
            <w:r>
              <w:rPr>
                <w:rFonts w:hint="eastAsia" w:ascii="宋体" w:hAnsi="宋体" w:cs="宋体"/>
                <w:kern w:val="0"/>
                <w:sz w:val="20"/>
                <w:lang w:bidi="ar"/>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jc w:val="left"/>
            </w:pPr>
            <w:r>
              <w:rPr>
                <w:rFonts w:hint="eastAsia" w:ascii="宋体" w:hAnsi="宋体" w:cs="宋体"/>
                <w:kern w:val="0"/>
                <w:sz w:val="20"/>
                <w:lang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jc w:val="left"/>
            </w:pPr>
            <w:r>
              <w:rPr>
                <w:rFonts w:hint="eastAsia" w:ascii="宋体" w:hAnsi="宋体" w:cs="宋体"/>
                <w:kern w:val="0"/>
                <w:sz w:val="20"/>
                <w:lang w:bidi="ar"/>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jc w:val="left"/>
            </w:pPr>
            <w:r>
              <w:rPr>
                <w:rFonts w:hint="eastAsia" w:ascii="宋体" w:hAnsi="宋体" w:cs="宋体"/>
                <w:kern w:val="0"/>
                <w:sz w:val="20"/>
                <w:lang w:bidi="ar"/>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jc w:val="left"/>
            </w:pPr>
            <w:r>
              <w:rPr>
                <w:rFonts w:hint="eastAsia" w:ascii="宋体" w:hAnsi="宋体" w:cs="宋体"/>
                <w:kern w:val="0"/>
                <w:sz w:val="20"/>
                <w:lang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jc w:val="left"/>
            </w:pPr>
            <w:r>
              <w:rPr>
                <w:rFonts w:hint="eastAsia" w:ascii="宋体" w:hAnsi="宋体" w:cs="宋体"/>
                <w:kern w:val="0"/>
                <w:sz w:val="20"/>
                <w:lang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jc w:val="left"/>
            </w:pPr>
            <w:r>
              <w:rPr>
                <w:rFonts w:hint="eastAsia" w:ascii="宋体" w:hAnsi="宋体" w:cs="宋体"/>
                <w:kern w:val="0"/>
                <w:sz w:val="20"/>
                <w:lang w:bidi="ar"/>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eastAsia="宋体"/>
                <w:lang w:val="en-US" w:eastAsia="zh-CN"/>
              </w:rPr>
            </w:pPr>
            <w:r>
              <w:rPr>
                <w:rFonts w:hint="eastAsia"/>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hint="eastAsia" w:eastAsia="宋体"/>
                <w:lang w:val="en-US" w:eastAsia="zh-CN"/>
              </w:rPr>
            </w:pPr>
            <w:r>
              <w:rPr>
                <w:rFonts w:hint="eastAsia"/>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jc w:val="left"/>
            </w:pPr>
            <w:r>
              <w:rPr>
                <w:rFonts w:hint="eastAsia" w:ascii="宋体" w:hAnsi="宋体" w:cs="宋体"/>
                <w:kern w:val="0"/>
                <w:sz w:val="20"/>
                <w:lang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jc w:val="left"/>
            </w:pPr>
            <w:r>
              <w:rPr>
                <w:rFonts w:hint="eastAsia" w:ascii="宋体" w:hAnsi="宋体" w:cs="宋体"/>
                <w:kern w:val="0"/>
                <w:sz w:val="20"/>
                <w:lang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jc w:val="left"/>
            </w:pPr>
            <w:r>
              <w:rPr>
                <w:rFonts w:hint="eastAsia" w:ascii="宋体" w:hAnsi="宋体" w:cs="宋体"/>
                <w:kern w:val="0"/>
                <w:sz w:val="20"/>
                <w:lang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jc w:val="left"/>
            </w:pPr>
            <w:r>
              <w:rPr>
                <w:rFonts w:hint="eastAsia" w:ascii="宋体" w:hAnsi="宋体" w:cs="宋体"/>
                <w:kern w:val="0"/>
                <w:sz w:val="20"/>
                <w:lang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jc w:val="left"/>
            </w:pPr>
            <w:r>
              <w:rPr>
                <w:rFonts w:hint="eastAsia" w:ascii="宋体" w:hAnsi="宋体" w:cs="宋体"/>
                <w:kern w:val="0"/>
                <w:sz w:val="20"/>
                <w:lang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jc w:val="left"/>
            </w:pPr>
            <w:r>
              <w:rPr>
                <w:rFonts w:hint="eastAsia" w:ascii="宋体" w:hAnsi="宋体" w:cs="宋体"/>
                <w:kern w:val="0"/>
                <w:sz w:val="20"/>
                <w:lang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jc w:val="left"/>
            </w:pPr>
            <w:r>
              <w:rPr>
                <w:rFonts w:hint="eastAsia" w:ascii="宋体" w:hAnsi="宋体" w:cs="宋体"/>
                <w:kern w:val="0"/>
                <w:sz w:val="20"/>
                <w:lang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eastAsia="宋体"/>
                <w:lang w:val="en-US" w:eastAsia="zh-CN"/>
              </w:rPr>
            </w:pPr>
            <w:r>
              <w:rPr>
                <w:rFonts w:hint="eastAsia"/>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hint="eastAsia" w:eastAsia="宋体"/>
                <w:lang w:val="en-US" w:eastAsia="zh-CN"/>
              </w:rPr>
            </w:pPr>
            <w:r>
              <w:rPr>
                <w:rFonts w:hint="eastAsia"/>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jc w:val="left"/>
            </w:pPr>
            <w:r>
              <w:rPr>
                <w:rFonts w:hint="eastAsia" w:ascii="宋体" w:hAnsi="宋体" w:cs="宋体"/>
                <w:kern w:val="0"/>
                <w:sz w:val="20"/>
                <w:lang w:bidi="ar"/>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jc w:val="left"/>
            </w:pPr>
            <w:r>
              <w:rPr>
                <w:rFonts w:hint="eastAsia" w:ascii="宋体" w:hAnsi="宋体" w:cs="宋体"/>
                <w:kern w:val="0"/>
                <w:sz w:val="20"/>
                <w:lang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jc w:val="left"/>
            </w:pPr>
            <w:r>
              <w:rPr>
                <w:rFonts w:hint="eastAsia" w:ascii="宋体" w:hAnsi="宋体" w:cs="宋体"/>
                <w:kern w:val="0"/>
                <w:sz w:val="20"/>
                <w:lang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r>
              <w:rPr>
                <w:rFonts w:hint="eastAsia" w:ascii="宋体" w:hAnsi="宋体" w:cs="宋体"/>
                <w:kern w:val="0"/>
                <w:sz w:val="20"/>
                <w:lang w:bidi="ar"/>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9" w:type="dxa"/>
            <w:tcBorders>
              <w:top w:val="nil"/>
              <w:left w:val="nil"/>
              <w:bottom w:val="outset"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jc w:val="left"/>
            </w:pPr>
            <w:r>
              <w:rPr>
                <w:rFonts w:hint="eastAsia" w:ascii="宋体" w:hAnsi="宋体" w:cs="宋体"/>
                <w:kern w:val="0"/>
                <w:sz w:val="20"/>
                <w:lang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r>
              <w:rPr>
                <w:rFonts w:hint="eastAsia" w:ascii="宋体" w:hAnsi="宋体" w:cs="宋体"/>
                <w:kern w:val="0"/>
                <w:sz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r>
              <w:rPr>
                <w:rFonts w:hint="eastAsia" w:ascii="宋体" w:hAnsi="宋体" w:cs="宋体"/>
                <w:kern w:val="0"/>
                <w:sz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jc w:val="left"/>
            </w:pPr>
            <w:r>
              <w:rPr>
                <w:rFonts w:hint="eastAsia" w:ascii="宋体" w:hAnsi="宋体" w:cs="宋体"/>
                <w:kern w:val="0"/>
                <w:sz w:val="20"/>
                <w:lang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eastAsia="宋体"/>
                <w:lang w:eastAsia="zh-CN"/>
              </w:rPr>
            </w:pPr>
            <w:r>
              <w:rPr>
                <w:rFonts w:hint="eastAsia" w:cs="Calibri"/>
                <w:kern w:val="0"/>
                <w:sz w:val="20"/>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hint="eastAsia" w:eastAsia="宋体"/>
                <w:lang w:eastAsia="zh-CN"/>
              </w:rPr>
            </w:pPr>
            <w:r>
              <w:rPr>
                <w:rFonts w:hint="eastAsia" w:cs="Calibri"/>
                <w:kern w:val="0"/>
                <w:sz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jc w:val="left"/>
            </w:pPr>
            <w:r>
              <w:rPr>
                <w:rFonts w:hint="eastAsia" w:ascii="宋体" w:hAnsi="宋体" w:cs="宋体"/>
                <w:kern w:val="0"/>
                <w:sz w:val="20"/>
                <w:lang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eastAsia="宋体"/>
                <w:lang w:eastAsia="zh-CN"/>
              </w:rPr>
            </w:pPr>
            <w:r>
              <w:rPr>
                <w:rFonts w:hint="eastAsia" w:cs="Calibri"/>
                <w:kern w:val="0"/>
                <w:sz w:val="20"/>
                <w:lang w:val="en-US" w:eastAsia="zh-CN" w:bidi="ar"/>
              </w:rPr>
              <w:t>9</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rPr>
                <w:rFonts w:hint="eastAsia" w:eastAsia="宋体"/>
                <w:lang w:val="en-US" w:eastAsia="zh-CN"/>
              </w:rPr>
            </w:pPr>
            <w:r>
              <w:rPr>
                <w:rFonts w:hint="eastAsia"/>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jc w:val="center"/>
            </w:pPr>
            <w:r>
              <w:rPr>
                <w:rFonts w:hint="eastAsia" w:cs="Calibri"/>
                <w:kern w:val="0"/>
                <w:sz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hint="default" w:eastAsia="宋体"/>
                <w:lang w:val="en-US" w:eastAsia="zh-CN"/>
              </w:rPr>
            </w:pPr>
            <w:r>
              <w:rPr>
                <w:rFonts w:hint="eastAsia"/>
                <w:lang w:val="en-US" w:eastAsia="zh-CN"/>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jc w:val="left"/>
            </w:pPr>
            <w:r>
              <w:rPr>
                <w:rFonts w:hint="eastAsia" w:ascii="宋体" w:hAnsi="宋体" w:cs="宋体"/>
                <w:kern w:val="0"/>
                <w:sz w:val="20"/>
                <w:lang w:bidi="ar"/>
              </w:rPr>
              <w:t>四、结转下年度继续办理</w:t>
            </w:r>
          </w:p>
        </w:tc>
        <w:tc>
          <w:tcPr>
            <w:tcW w:w="0" w:type="auto"/>
            <w:tcBorders>
              <w:top w:val="outset" w:color="auto" w:sz="6" w:space="0"/>
              <w:left w:val="nil"/>
              <w:bottom w:val="outset" w:color="auto" w:sz="6" w:space="0"/>
              <w:right w:val="outset" w:color="auto" w:sz="6" w:space="0"/>
            </w:tcBorders>
            <w:vAlign w:val="center"/>
          </w:tcPr>
          <w:p>
            <w:pPr>
              <w:jc w:val="center"/>
              <w:rPr>
                <w:rFonts w:ascii="宋体"/>
                <w:sz w:val="24"/>
                <w:szCs w:val="24"/>
              </w:rPr>
            </w:pPr>
            <w:r>
              <w:rPr>
                <w:rFonts w:hint="eastAsia" w:ascii="宋体"/>
                <w:sz w:val="24"/>
                <w:szCs w:val="24"/>
              </w:rPr>
              <w:t>1</w:t>
            </w:r>
          </w:p>
        </w:tc>
        <w:tc>
          <w:tcPr>
            <w:tcW w:w="0" w:type="auto"/>
            <w:tcBorders>
              <w:top w:val="outset" w:color="auto" w:sz="6" w:space="0"/>
              <w:left w:val="nil"/>
              <w:bottom w:val="outset" w:color="auto" w:sz="6" w:space="0"/>
              <w:right w:val="outset" w:color="auto" w:sz="6" w:space="0"/>
            </w:tcBorders>
            <w:vAlign w:val="center"/>
          </w:tcPr>
          <w:p>
            <w:pPr>
              <w:jc w:val="center"/>
            </w:pPr>
            <w:r>
              <w:rPr>
                <w:rFonts w:hint="eastAsia" w:cs="Calibri"/>
                <w:kern w:val="0"/>
                <w:sz w:val="20"/>
                <w:lang w:bidi="ar"/>
              </w:rPr>
              <w:t>0</w:t>
            </w:r>
          </w:p>
        </w:tc>
        <w:tc>
          <w:tcPr>
            <w:tcW w:w="688" w:type="dxa"/>
            <w:tcBorders>
              <w:top w:val="outset" w:color="auto" w:sz="6" w:space="0"/>
              <w:left w:val="nil"/>
              <w:bottom w:val="outset" w:color="auto" w:sz="6" w:space="0"/>
              <w:right w:val="outset" w:color="auto" w:sz="6" w:space="0"/>
            </w:tcBorders>
            <w:vAlign w:val="center"/>
          </w:tcPr>
          <w:p>
            <w:pPr>
              <w:jc w:val="center"/>
            </w:pPr>
            <w:r>
              <w:rPr>
                <w:rFonts w:hint="eastAsia" w:cs="Calibri"/>
                <w:kern w:val="0"/>
                <w:sz w:val="20"/>
                <w:lang w:bidi="ar"/>
              </w:rPr>
              <w:t>0</w:t>
            </w:r>
          </w:p>
        </w:tc>
        <w:tc>
          <w:tcPr>
            <w:tcW w:w="688" w:type="dxa"/>
            <w:tcBorders>
              <w:top w:val="outset" w:color="auto" w:sz="6" w:space="0"/>
              <w:left w:val="nil"/>
              <w:bottom w:val="outset" w:color="auto" w:sz="6" w:space="0"/>
              <w:right w:val="outset" w:color="auto" w:sz="6" w:space="0"/>
            </w:tcBorders>
            <w:vAlign w:val="center"/>
          </w:tcPr>
          <w:p>
            <w:pPr>
              <w:jc w:val="center"/>
            </w:pPr>
            <w:r>
              <w:rPr>
                <w:rFonts w:hint="eastAsia" w:cs="Calibri"/>
                <w:kern w:val="0"/>
                <w:sz w:val="20"/>
                <w:lang w:bidi="ar"/>
              </w:rPr>
              <w:t>0</w:t>
            </w:r>
          </w:p>
        </w:tc>
        <w:tc>
          <w:tcPr>
            <w:tcW w:w="0" w:type="auto"/>
            <w:tcBorders>
              <w:top w:val="outset" w:color="auto" w:sz="6" w:space="0"/>
              <w:left w:val="nil"/>
              <w:bottom w:val="outset" w:color="auto" w:sz="6" w:space="0"/>
              <w:right w:val="outset" w:color="auto" w:sz="6" w:space="0"/>
            </w:tcBorders>
            <w:vAlign w:val="center"/>
          </w:tcPr>
          <w:p>
            <w:pPr>
              <w:jc w:val="center"/>
            </w:pPr>
            <w:r>
              <w:rPr>
                <w:rFonts w:hint="eastAsia" w:cs="Calibri"/>
                <w:kern w:val="0"/>
                <w:sz w:val="20"/>
                <w:lang w:bidi="ar"/>
              </w:rPr>
              <w:t>0</w:t>
            </w:r>
          </w:p>
        </w:tc>
        <w:tc>
          <w:tcPr>
            <w:tcW w:w="0" w:type="auto"/>
            <w:tcBorders>
              <w:top w:val="outset" w:color="auto" w:sz="6" w:space="0"/>
              <w:left w:val="nil"/>
              <w:bottom w:val="outset" w:color="auto" w:sz="6" w:space="0"/>
              <w:right w:val="outset" w:color="auto" w:sz="6" w:space="0"/>
            </w:tcBorders>
            <w:vAlign w:val="center"/>
          </w:tcPr>
          <w:p>
            <w:pPr>
              <w:jc w:val="center"/>
            </w:pPr>
            <w:r>
              <w:rPr>
                <w:rFonts w:hint="eastAsia" w:cs="Calibri"/>
                <w:kern w:val="0"/>
                <w:sz w:val="20"/>
                <w:lang w:bidi="ar"/>
              </w:rPr>
              <w:t>0</w:t>
            </w:r>
          </w:p>
        </w:tc>
        <w:tc>
          <w:tcPr>
            <w:tcW w:w="0" w:type="auto"/>
            <w:tcBorders>
              <w:top w:val="outset" w:color="auto" w:sz="6" w:space="0"/>
              <w:left w:val="nil"/>
              <w:bottom w:val="outset" w:color="auto" w:sz="6" w:space="0"/>
              <w:right w:val="outset" w:color="auto" w:sz="6" w:space="0"/>
            </w:tcBorders>
            <w:vAlign w:val="center"/>
          </w:tcPr>
          <w:p>
            <w:pPr>
              <w:jc w:val="center"/>
              <w:rPr>
                <w:rFonts w:ascii="宋体"/>
                <w:sz w:val="24"/>
                <w:szCs w:val="24"/>
              </w:rPr>
            </w:pPr>
            <w:r>
              <w:rPr>
                <w:rFonts w:hint="eastAsia" w:ascii="宋体"/>
                <w:sz w:val="24"/>
                <w:szCs w:val="24"/>
              </w:rPr>
              <w:t>1</w:t>
            </w:r>
          </w:p>
        </w:tc>
      </w:tr>
    </w:tbl>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8"/>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jc w:val="center"/>
            </w:pPr>
            <w:r>
              <w:rPr>
                <w:rFonts w:hint="eastAsia" w:ascii="宋体" w:hAnsi="宋体" w:cs="宋体"/>
                <w:kern w:val="0"/>
                <w:sz w:val="20"/>
                <w:lang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jc w:val="center"/>
            </w:pPr>
            <w:r>
              <w:rPr>
                <w:rFonts w:hint="eastAsia" w:ascii="宋体" w:hAnsi="宋体" w:cs="宋体"/>
                <w:kern w:val="0"/>
                <w:sz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pPr>
            <w:r>
              <w:rPr>
                <w:rFonts w:hint="eastAsia" w:ascii="宋体" w:hAnsi="宋体" w:cs="宋体"/>
                <w:kern w:val="0"/>
                <w:sz w:val="20"/>
                <w:lang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pPr>
            <w:r>
              <w:rPr>
                <w:rFonts w:hint="eastAsia" w:ascii="宋体" w:hAnsi="宋体" w:cs="宋体"/>
                <w:kern w:val="0"/>
                <w:sz w:val="20"/>
                <w:lang w:bidi="ar"/>
              </w:rPr>
              <w:t>结果</w:t>
            </w:r>
            <w:r>
              <w:rPr>
                <w:rFonts w:hint="eastAsia" w:ascii="宋体" w:hAnsi="宋体" w:cs="宋体"/>
                <w:kern w:val="0"/>
                <w:sz w:val="20"/>
                <w:lang w:bidi="ar"/>
              </w:rPr>
              <w:br w:type="textWrapping"/>
            </w:r>
            <w:r>
              <w:rPr>
                <w:rFonts w:hint="eastAsia" w:ascii="宋体" w:hAnsi="宋体" w:cs="宋体"/>
                <w:kern w:val="0"/>
                <w:sz w:val="20"/>
                <w:lang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pPr>
            <w:r>
              <w:rPr>
                <w:rFonts w:hint="eastAsia" w:ascii="宋体" w:hAnsi="宋体" w:cs="宋体"/>
                <w:kern w:val="0"/>
                <w:sz w:val="20"/>
                <w:lang w:bidi="ar"/>
              </w:rPr>
              <w:t>其他</w:t>
            </w:r>
            <w:r>
              <w:rPr>
                <w:rFonts w:hint="eastAsia" w:ascii="宋体" w:hAnsi="宋体" w:cs="宋体"/>
                <w:kern w:val="0"/>
                <w:sz w:val="20"/>
                <w:lang w:bidi="ar"/>
              </w:rPr>
              <w:br w:type="textWrapping"/>
            </w:r>
            <w:r>
              <w:rPr>
                <w:rFonts w:hint="eastAsia" w:ascii="宋体" w:hAnsi="宋体" w:cs="宋体"/>
                <w:kern w:val="0"/>
                <w:sz w:val="20"/>
                <w:lang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pPr>
            <w:r>
              <w:rPr>
                <w:rFonts w:hint="eastAsia" w:ascii="宋体" w:hAnsi="宋体" w:cs="宋体"/>
                <w:kern w:val="0"/>
                <w:sz w:val="20"/>
                <w:lang w:bidi="ar"/>
              </w:rPr>
              <w:t>尚未</w:t>
            </w:r>
            <w:r>
              <w:rPr>
                <w:rFonts w:hint="eastAsia" w:ascii="宋体" w:hAnsi="宋体" w:cs="宋体"/>
                <w:kern w:val="0"/>
                <w:sz w:val="20"/>
                <w:lang w:bidi="ar"/>
              </w:rPr>
              <w:br w:type="textWrapping"/>
            </w:r>
            <w:r>
              <w:rPr>
                <w:rFonts w:hint="eastAsia" w:ascii="宋体" w:hAnsi="宋体" w:cs="宋体"/>
                <w:kern w:val="0"/>
                <w:sz w:val="20"/>
                <w:lang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pPr>
            <w:r>
              <w:rPr>
                <w:rFonts w:hint="eastAsia" w:ascii="宋体" w:hAnsi="宋体" w:cs="宋体"/>
                <w:kern w:val="0"/>
                <w:sz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jc w:val="center"/>
            </w:pPr>
            <w:r>
              <w:rPr>
                <w:rFonts w:hint="eastAsia" w:ascii="宋体" w:hAnsi="宋体" w:cs="宋体"/>
                <w:kern w:val="0"/>
                <w:sz w:val="20"/>
                <w:lang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jc w:val="center"/>
            </w:pPr>
            <w:r>
              <w:rPr>
                <w:rFonts w:hint="eastAsia" w:ascii="宋体" w:hAnsi="宋体" w:cs="宋体"/>
                <w:kern w:val="0"/>
                <w:sz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jc w:val="center"/>
            </w:pPr>
            <w:r>
              <w:rPr>
                <w:rFonts w:hint="eastAsia" w:ascii="宋体" w:hAnsi="宋体" w:cs="宋体"/>
                <w:kern w:val="0"/>
                <w:sz w:val="20"/>
                <w:lang w:bidi="ar"/>
              </w:rPr>
              <w:t>结果</w:t>
            </w:r>
            <w:r>
              <w:rPr>
                <w:rFonts w:hint="eastAsia" w:ascii="宋体" w:hAnsi="宋体" w:cs="宋体"/>
                <w:kern w:val="0"/>
                <w:sz w:val="20"/>
                <w:lang w:bidi="ar"/>
              </w:rPr>
              <w:br w:type="textWrapping"/>
            </w:r>
            <w:r>
              <w:rPr>
                <w:rFonts w:hint="eastAsia" w:ascii="宋体" w:hAnsi="宋体" w:cs="宋体"/>
                <w:kern w:val="0"/>
                <w:sz w:val="20"/>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jc w:val="center"/>
            </w:pPr>
            <w:r>
              <w:rPr>
                <w:rFonts w:hint="eastAsia" w:ascii="宋体" w:hAnsi="宋体" w:cs="宋体"/>
                <w:kern w:val="0"/>
                <w:sz w:val="20"/>
                <w:lang w:bidi="ar"/>
              </w:rPr>
              <w:t>结果</w:t>
            </w:r>
            <w:r>
              <w:rPr>
                <w:rFonts w:hint="eastAsia" w:ascii="宋体" w:hAnsi="宋体" w:cs="宋体"/>
                <w:kern w:val="0"/>
                <w:sz w:val="20"/>
                <w:lang w:bidi="ar"/>
              </w:rPr>
              <w:br w:type="textWrapping"/>
            </w:r>
            <w:r>
              <w:rPr>
                <w:rFonts w:hint="eastAsia" w:ascii="宋体" w:hAnsi="宋体" w:cs="宋体"/>
                <w:kern w:val="0"/>
                <w:sz w:val="20"/>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pPr>
            <w:r>
              <w:rPr>
                <w:rFonts w:hint="eastAsia" w:ascii="宋体" w:hAnsi="宋体" w:cs="宋体"/>
                <w:kern w:val="0"/>
                <w:sz w:val="20"/>
                <w:lang w:bidi="ar"/>
              </w:rPr>
              <w:t>其他</w:t>
            </w:r>
            <w:r>
              <w:rPr>
                <w:rFonts w:hint="eastAsia" w:ascii="宋体" w:hAnsi="宋体" w:cs="宋体"/>
                <w:kern w:val="0"/>
                <w:sz w:val="20"/>
                <w:lang w:bidi="ar"/>
              </w:rPr>
              <w:br w:type="textWrapping"/>
            </w:r>
            <w:r>
              <w:rPr>
                <w:rFonts w:hint="eastAsia" w:ascii="宋体" w:hAnsi="宋体" w:cs="宋体"/>
                <w:kern w:val="0"/>
                <w:sz w:val="20"/>
                <w:lang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pPr>
            <w:r>
              <w:rPr>
                <w:rFonts w:hint="eastAsia" w:ascii="宋体" w:hAnsi="宋体" w:cs="宋体"/>
                <w:kern w:val="0"/>
                <w:sz w:val="20"/>
                <w:lang w:bidi="ar"/>
              </w:rPr>
              <w:t>尚未</w:t>
            </w:r>
            <w:r>
              <w:rPr>
                <w:rFonts w:hint="eastAsia" w:ascii="宋体" w:hAnsi="宋体" w:cs="宋体"/>
                <w:kern w:val="0"/>
                <w:sz w:val="20"/>
                <w:lang w:bidi="ar"/>
              </w:rPr>
              <w:br w:type="textWrapping"/>
            </w:r>
            <w:r>
              <w:rPr>
                <w:rFonts w:hint="eastAsia" w:ascii="宋体" w:hAnsi="宋体" w:cs="宋体"/>
                <w:kern w:val="0"/>
                <w:sz w:val="20"/>
                <w:lang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pPr>
            <w:r>
              <w:rPr>
                <w:rFonts w:hint="eastAsia" w:ascii="宋体" w:hAnsi="宋体" w:cs="宋体"/>
                <w:color w:val="000000"/>
                <w:kern w:val="0"/>
                <w:sz w:val="20"/>
                <w:lang w:bidi="ar"/>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pPr>
            <w:r>
              <w:rPr>
                <w:rFonts w:hint="eastAsia" w:ascii="宋体" w:hAnsi="宋体" w:cs="宋体"/>
                <w:kern w:val="0"/>
                <w:sz w:val="20"/>
                <w:lang w:bidi="ar"/>
              </w:rPr>
              <w:t>结果</w:t>
            </w:r>
            <w:r>
              <w:rPr>
                <w:rFonts w:hint="eastAsia" w:ascii="宋体" w:hAnsi="宋体" w:cs="宋体"/>
                <w:kern w:val="0"/>
                <w:sz w:val="20"/>
                <w:lang w:bidi="ar"/>
              </w:rPr>
              <w:br w:type="textWrapping"/>
            </w:r>
            <w:r>
              <w:rPr>
                <w:rFonts w:hint="eastAsia" w:ascii="宋体" w:hAnsi="宋体" w:cs="宋体"/>
                <w:kern w:val="0"/>
                <w:sz w:val="20"/>
                <w:lang w:bidi="ar"/>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pPr>
            <w:r>
              <w:rPr>
                <w:rFonts w:hint="eastAsia" w:ascii="宋体" w:hAnsi="宋体" w:cs="宋体"/>
                <w:kern w:val="0"/>
                <w:sz w:val="20"/>
                <w:lang w:bidi="ar"/>
              </w:rPr>
              <w:t>结果</w:t>
            </w:r>
            <w:r>
              <w:rPr>
                <w:rFonts w:hint="eastAsia" w:ascii="宋体" w:hAnsi="宋体" w:cs="宋体"/>
                <w:kern w:val="0"/>
                <w:sz w:val="20"/>
                <w:lang w:bidi="ar"/>
              </w:rPr>
              <w:br w:type="textWrapping"/>
            </w:r>
            <w:r>
              <w:rPr>
                <w:rFonts w:hint="eastAsia" w:ascii="宋体" w:hAnsi="宋体" w:cs="宋体"/>
                <w:kern w:val="0"/>
                <w:sz w:val="20"/>
                <w:lang w:bidi="ar"/>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pPr>
            <w:r>
              <w:rPr>
                <w:rFonts w:hint="eastAsia" w:ascii="宋体" w:hAnsi="宋体" w:cs="宋体"/>
                <w:color w:val="000000"/>
                <w:kern w:val="0"/>
                <w:sz w:val="20"/>
                <w:lang w:bidi="ar"/>
              </w:rPr>
              <w:t>其他</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pPr>
            <w:r>
              <w:rPr>
                <w:rFonts w:hint="eastAsia" w:ascii="宋体" w:hAnsi="宋体" w:cs="宋体"/>
                <w:kern w:val="0"/>
                <w:sz w:val="20"/>
                <w:lang w:bidi="ar"/>
              </w:rPr>
              <w:t>尚未</w:t>
            </w:r>
            <w:r>
              <w:rPr>
                <w:rFonts w:hint="eastAsia" w:ascii="宋体" w:hAnsi="宋体" w:cs="宋体"/>
                <w:kern w:val="0"/>
                <w:sz w:val="20"/>
                <w:lang w:bidi="ar"/>
              </w:rPr>
              <w:br w:type="textWrapping"/>
            </w:r>
            <w:r>
              <w:rPr>
                <w:rFonts w:hint="eastAsia" w:ascii="宋体" w:hAnsi="宋体" w:cs="宋体"/>
                <w:kern w:val="0"/>
                <w:sz w:val="20"/>
                <w:lang w:bidi="ar"/>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pPr>
            <w:r>
              <w:rPr>
                <w:rFonts w:hint="eastAsia" w:ascii="宋体" w:hAnsi="宋体" w:cs="宋体"/>
                <w:color w:val="000000"/>
                <w:kern w:val="0"/>
                <w:sz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jc w:val="center"/>
              <w:textAlignment w:val="center"/>
            </w:pPr>
            <w:r>
              <w:rPr>
                <w:rFonts w:hint="eastAsia" w:ascii="黑体" w:hAnsi="宋体" w:eastAsia="黑体" w:cs="黑体"/>
                <w:i w:val="0"/>
                <w:iCs w:val="0"/>
                <w:color w:val="000000"/>
                <w:kern w:val="0"/>
                <w:sz w:val="20"/>
                <w:szCs w:val="20"/>
                <w:u w:val="none"/>
                <w:lang w:val="en-US" w:eastAsia="zh-CN" w:bidi="ar"/>
              </w:rPr>
              <w:t>6</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jc w:val="center"/>
              <w:textAlignment w:val="center"/>
            </w:pPr>
            <w:r>
              <w:rPr>
                <w:rFonts w:hint="eastAsia" w:ascii="黑体" w:hAnsi="宋体" w:eastAsia="黑体" w:cs="黑体"/>
                <w:i w:val="0"/>
                <w:iCs w:val="0"/>
                <w:color w:val="000000"/>
                <w:kern w:val="0"/>
                <w:sz w:val="20"/>
                <w:szCs w:val="20"/>
                <w:u w:val="none"/>
                <w:lang w:val="en-US" w:eastAsia="zh-CN" w:bidi="ar"/>
              </w:rPr>
              <w:t>1</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eastAsia="宋体"/>
                <w:lang w:val="en-US" w:eastAsia="zh-CN"/>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jc w:val="center"/>
              <w:textAlignment w:val="center"/>
            </w:pPr>
            <w:r>
              <w:rPr>
                <w:rFonts w:hint="eastAsia" w:ascii="黑体" w:hAnsi="宋体" w:eastAsia="黑体" w:cs="黑体"/>
                <w:i w:val="0"/>
                <w:iCs w:val="0"/>
                <w:color w:val="000000"/>
                <w:kern w:val="0"/>
                <w:sz w:val="20"/>
                <w:szCs w:val="20"/>
                <w:u w:val="none"/>
                <w:lang w:val="en-US" w:eastAsia="zh-CN" w:bidi="ar"/>
              </w:rPr>
              <w:t>9</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jc w:val="center"/>
              <w:textAlignment w:val="center"/>
            </w:pPr>
            <w:r>
              <w:rPr>
                <w:rFonts w:hint="eastAsia" w:ascii="黑体" w:hAnsi="宋体" w:eastAsia="黑体" w:cs="黑体"/>
                <w:i w:val="0"/>
                <w:iCs w:val="0"/>
                <w:color w:val="000000"/>
                <w:kern w:val="0"/>
                <w:sz w:val="20"/>
                <w:szCs w:val="20"/>
                <w:u w:val="none"/>
                <w:lang w:val="en-US" w:eastAsia="zh-CN" w:bidi="ar"/>
              </w:rPr>
              <w:t>16</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eastAsia="宋体"/>
                <w:lang w:val="en-US" w:eastAsia="zh-CN"/>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eastAsia="宋体"/>
                <w:lang w:val="en-US" w:eastAsia="zh-CN"/>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eastAsia="宋体"/>
                <w:lang w:val="en-US" w:eastAsia="zh-CN"/>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eastAsia="宋体"/>
                <w:lang w:val="en-US" w:eastAsia="zh-CN"/>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eastAsia="宋体"/>
                <w:lang w:val="en-US" w:eastAsia="zh-CN"/>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jc w:val="center"/>
              <w:textAlignment w:val="center"/>
            </w:pPr>
            <w:r>
              <w:rPr>
                <w:rFonts w:hint="eastAsia" w:ascii="黑体" w:hAnsi="宋体" w:eastAsia="黑体" w:cs="黑体"/>
                <w:i w:val="0"/>
                <w:iCs w:val="0"/>
                <w:color w:val="000000"/>
                <w:kern w:val="0"/>
                <w:sz w:val="20"/>
                <w:szCs w:val="20"/>
                <w:u w:val="none"/>
                <w:lang w:val="en-US" w:eastAsia="zh-CN" w:bidi="ar"/>
              </w:rPr>
              <w:t>3</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eastAsia="宋体"/>
                <w:lang w:val="en-US" w:eastAsia="zh-CN"/>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eastAsia="宋体"/>
                <w:lang w:val="en-US" w:eastAsia="zh-CN"/>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jc w:val="center"/>
              <w:textAlignment w:val="center"/>
            </w:pPr>
            <w:r>
              <w:rPr>
                <w:rFonts w:hint="eastAsia" w:ascii="黑体" w:hAnsi="宋体" w:eastAsia="黑体" w:cs="黑体"/>
                <w:i w:val="0"/>
                <w:iCs w:val="0"/>
                <w:color w:val="000000"/>
                <w:kern w:val="0"/>
                <w:sz w:val="20"/>
                <w:szCs w:val="20"/>
                <w:u w:val="none"/>
                <w:lang w:val="en-US" w:eastAsia="zh-CN" w:bidi="ar"/>
              </w:rPr>
              <w:t>1</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jc w:val="center"/>
              <w:textAlignment w:val="center"/>
              <w:rPr>
                <w:rFonts w:ascii="宋体"/>
                <w:sz w:val="24"/>
                <w:szCs w:val="24"/>
              </w:rPr>
            </w:pPr>
            <w:r>
              <w:rPr>
                <w:rFonts w:hint="eastAsia" w:ascii="黑体" w:hAnsi="宋体" w:eastAsia="黑体" w:cs="黑体"/>
                <w:i w:val="0"/>
                <w:iCs w:val="0"/>
                <w:color w:val="000000"/>
                <w:kern w:val="0"/>
                <w:sz w:val="20"/>
                <w:szCs w:val="20"/>
                <w:u w:val="none"/>
                <w:lang w:val="en-US" w:eastAsia="zh-CN" w:bidi="ar"/>
              </w:rPr>
              <w:t>4</w:t>
            </w:r>
          </w:p>
        </w:tc>
      </w:tr>
    </w:tbl>
    <w:p>
      <w:pPr>
        <w:spacing w:line="560" w:lineRule="exact"/>
        <w:ind w:left="420" w:leftChars="200" w:firstLine="336" w:firstLineChars="100"/>
        <w:jc w:val="left"/>
        <w:rPr>
          <w:rFonts w:ascii="黑体" w:hAnsi="黑体" w:eastAsia="黑体" w:cs="宋体"/>
          <w:spacing w:val="8"/>
          <w:kern w:val="0"/>
          <w:sz w:val="32"/>
          <w:szCs w:val="32"/>
        </w:rPr>
      </w:pPr>
      <w:r>
        <w:rPr>
          <w:rFonts w:hint="eastAsia" w:ascii="黑体" w:hAnsi="黑体" w:eastAsia="黑体" w:cs="宋体"/>
          <w:spacing w:val="8"/>
          <w:kern w:val="0"/>
          <w:sz w:val="32"/>
          <w:szCs w:val="32"/>
        </w:rPr>
        <w:t>五、</w:t>
      </w:r>
      <w:r>
        <w:rPr>
          <w:rFonts w:ascii="黑体" w:hAnsi="黑体" w:eastAsia="黑体" w:cs="宋体"/>
          <w:spacing w:val="8"/>
          <w:kern w:val="0"/>
          <w:sz w:val="32"/>
          <w:szCs w:val="32"/>
        </w:rPr>
        <w:t>在的主要问题及改进情况</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通过自查和检查结果反馈，我们在</w:t>
      </w:r>
      <w:r>
        <w:rPr>
          <w:rFonts w:hint="eastAsia" w:ascii="仿宋_GB2312" w:hAnsi="仿宋_GB2312" w:eastAsia="仿宋_GB2312" w:cs="仿宋_GB2312"/>
          <w:sz w:val="32"/>
          <w:szCs w:val="32"/>
        </w:rPr>
        <w:t>政府信息公开工作中</w:t>
      </w:r>
      <w:r>
        <w:rPr>
          <w:rFonts w:hint="eastAsia" w:ascii="仿宋_GB2312" w:hAnsi="仿宋_GB2312" w:eastAsia="仿宋_GB2312" w:cs="仿宋_GB2312"/>
          <w:sz w:val="32"/>
          <w:szCs w:val="32"/>
          <w:lang w:eastAsia="zh-CN"/>
        </w:rPr>
        <w:t>也存在一些问题，</w:t>
      </w:r>
      <w:r>
        <w:rPr>
          <w:rFonts w:hint="eastAsia" w:ascii="仿宋_GB2312" w:hAnsi="仿宋_GB2312" w:eastAsia="仿宋_GB2312" w:cs="仿宋_GB2312"/>
          <w:sz w:val="32"/>
          <w:szCs w:val="32"/>
        </w:rPr>
        <w:t>还</w:t>
      </w:r>
      <w:r>
        <w:rPr>
          <w:rFonts w:hint="eastAsia" w:ascii="仿宋_GB2312" w:hAnsi="仿宋_GB2312" w:eastAsia="仿宋_GB2312" w:cs="仿宋_GB2312"/>
          <w:sz w:val="32"/>
          <w:szCs w:val="32"/>
          <w:lang w:eastAsia="zh-CN"/>
        </w:rPr>
        <w:t>需要不断改进</w:t>
      </w: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：一是公开内容</w:t>
      </w:r>
      <w:r>
        <w:rPr>
          <w:rFonts w:hint="eastAsia" w:ascii="仿宋_GB2312" w:hAnsi="仿宋_GB2312" w:eastAsia="仿宋_GB2312" w:cs="仿宋_GB2312"/>
          <w:sz w:val="32"/>
          <w:szCs w:val="32"/>
          <w:lang w:eastAsia="zh-CN"/>
        </w:rPr>
        <w:t>时效性、内容丰富性上还需要进一步增强</w:t>
      </w:r>
      <w:r>
        <w:rPr>
          <w:rFonts w:hint="eastAsia" w:ascii="仿宋_GB2312" w:hAnsi="仿宋_GB2312" w:eastAsia="仿宋_GB2312" w:cs="仿宋_GB2312"/>
          <w:sz w:val="32"/>
          <w:szCs w:val="32"/>
        </w:rPr>
        <w:t>；二是</w:t>
      </w:r>
      <w:r>
        <w:rPr>
          <w:rFonts w:hint="eastAsia" w:ascii="仿宋_GB2312" w:hAnsi="仿宋_GB2312" w:eastAsia="仿宋_GB2312" w:cs="仿宋_GB2312"/>
          <w:sz w:val="32"/>
          <w:szCs w:val="32"/>
          <w:lang w:eastAsia="zh-CN"/>
        </w:rPr>
        <w:t>要加强不同业务工作新举措、新成绩的主动公开，便于群众知晓区内卫生健康新动态</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年，我委将</w:t>
      </w:r>
      <w:r>
        <w:rPr>
          <w:rFonts w:hint="eastAsia" w:ascii="仿宋_GB2312" w:hAnsi="仿宋_GB2312" w:eastAsia="仿宋_GB2312" w:cs="仿宋_GB2312"/>
          <w:sz w:val="32"/>
          <w:szCs w:val="32"/>
          <w:lang w:eastAsia="zh-CN"/>
        </w:rPr>
        <w:t>继续坚持自查，优化工作流程，降低错敏字出现率，推动</w:t>
      </w:r>
      <w:r>
        <w:rPr>
          <w:rFonts w:hint="eastAsia" w:ascii="仿宋_GB2312" w:hAnsi="仿宋_GB2312" w:eastAsia="仿宋_GB2312" w:cs="仿宋_GB2312"/>
          <w:sz w:val="32"/>
          <w:szCs w:val="32"/>
        </w:rPr>
        <w:t>政府信息公开工作</w:t>
      </w:r>
      <w:r>
        <w:rPr>
          <w:rFonts w:hint="eastAsia" w:ascii="仿宋_GB2312" w:hAnsi="仿宋_GB2312" w:eastAsia="仿宋_GB2312" w:cs="仿宋_GB2312"/>
          <w:sz w:val="32"/>
          <w:szCs w:val="32"/>
          <w:lang w:eastAsia="zh-CN"/>
        </w:rPr>
        <w:t>高质量发展</w:t>
      </w:r>
      <w:r>
        <w:rPr>
          <w:rFonts w:hint="eastAsia" w:ascii="仿宋_GB2312" w:hAnsi="仿宋_GB2312" w:eastAsia="仿宋_GB2312" w:cs="仿宋_GB2312"/>
          <w:sz w:val="32"/>
          <w:szCs w:val="32"/>
        </w:rPr>
        <w:t>。</w:t>
      </w:r>
    </w:p>
    <w:p>
      <w:pPr>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spacing w:line="560" w:lineRule="exact"/>
        <w:jc w:val="left"/>
        <w:rPr>
          <w:rFonts w:ascii="仿宋_GB2312" w:hAnsi="仿宋_GB2312" w:eastAsia="仿宋_GB2312" w:cs="仿宋_GB2312"/>
          <w:sz w:val="32"/>
          <w:szCs w:val="32"/>
        </w:rPr>
      </w:pPr>
      <w:r>
        <w:rPr>
          <w:rFonts w:ascii="宋体" w:hAnsi="宋体" w:cs="宋体"/>
          <w:spacing w:val="8"/>
          <w:kern w:val="0"/>
          <w:sz w:val="32"/>
          <w:szCs w:val="32"/>
        </w:rPr>
        <w:t>　</w:t>
      </w:r>
      <w:r>
        <w:rPr>
          <w:rFonts w:ascii="仿宋_GB2312" w:hAnsi="仿宋_GB2312" w:eastAsia="仿宋_GB2312" w:cs="仿宋_GB2312"/>
          <w:sz w:val="32"/>
          <w:szCs w:val="32"/>
        </w:rPr>
        <w:t>　</w:t>
      </w:r>
      <w:bookmarkStart w:id="1" w:name="OLE_LINK5"/>
      <w:r>
        <w:rPr>
          <w:rFonts w:ascii="仿宋_GB2312" w:hAnsi="仿宋_GB2312" w:eastAsia="仿宋_GB2312" w:cs="仿宋_GB2312"/>
          <w:sz w:val="32"/>
          <w:szCs w:val="32"/>
        </w:rPr>
        <w:t>本年度我委发出收费通知件数和总的金额以及实际收取的总金额均为</w:t>
      </w:r>
      <w:r>
        <w:rPr>
          <w:rFonts w:hint="eastAsia" w:ascii="仿宋_GB2312" w:hAnsi="仿宋_GB2312" w:eastAsia="仿宋_GB2312" w:cs="仿宋_GB2312"/>
          <w:sz w:val="32"/>
          <w:szCs w:val="32"/>
        </w:rPr>
        <w:t>0。</w:t>
      </w:r>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5NGViMjc0YmYxMWFmZDkyZmVjNzcyNGQyZTBmMDkifQ=="/>
  </w:docVars>
  <w:rsids>
    <w:rsidRoot w:val="66A9245F"/>
    <w:rsid w:val="00135542"/>
    <w:rsid w:val="00426080"/>
    <w:rsid w:val="00431C3A"/>
    <w:rsid w:val="005C271D"/>
    <w:rsid w:val="00AF1A1C"/>
    <w:rsid w:val="00E64555"/>
    <w:rsid w:val="00FF7E5F"/>
    <w:rsid w:val="0269418A"/>
    <w:rsid w:val="047150F2"/>
    <w:rsid w:val="0A14667A"/>
    <w:rsid w:val="0FDF5034"/>
    <w:rsid w:val="12547D4A"/>
    <w:rsid w:val="150572EB"/>
    <w:rsid w:val="187C3D68"/>
    <w:rsid w:val="22205764"/>
    <w:rsid w:val="2A697F63"/>
    <w:rsid w:val="38AC5B4C"/>
    <w:rsid w:val="3A940645"/>
    <w:rsid w:val="3B7E9117"/>
    <w:rsid w:val="40BF48A2"/>
    <w:rsid w:val="4E3C072E"/>
    <w:rsid w:val="4EF7916A"/>
    <w:rsid w:val="5F2D4A41"/>
    <w:rsid w:val="66A9245F"/>
    <w:rsid w:val="709822EA"/>
    <w:rsid w:val="75A76E46"/>
    <w:rsid w:val="79AC21AE"/>
    <w:rsid w:val="FA6FE9BC"/>
    <w:rsid w:val="FCAF5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Calibri" w:hAnsi="Calibri"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annotation text"/>
    <w:basedOn w:val="1"/>
    <w:link w:val="11"/>
    <w:autoRedefine/>
    <w:uiPriority w:val="0"/>
    <w:pPr>
      <w:jc w:val="left"/>
    </w:pPr>
  </w:style>
  <w:style w:type="paragraph" w:styleId="4">
    <w:name w:val="footer"/>
    <w:basedOn w:val="1"/>
    <w:link w:val="14"/>
    <w:autoRedefine/>
    <w:uiPriority w:val="0"/>
    <w:pPr>
      <w:tabs>
        <w:tab w:val="center" w:pos="4153"/>
        <w:tab w:val="right" w:pos="8306"/>
      </w:tabs>
      <w:snapToGrid w:val="0"/>
      <w:jc w:val="left"/>
    </w:pPr>
    <w:rPr>
      <w:sz w:val="18"/>
      <w:szCs w:val="18"/>
    </w:rPr>
  </w:style>
  <w:style w:type="paragraph" w:styleId="5">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spacing w:before="100" w:beforeAutospacing="1" w:after="100" w:afterAutospacing="1"/>
      <w:jc w:val="left"/>
    </w:pPr>
    <w:rPr>
      <w:kern w:val="0"/>
      <w:sz w:val="24"/>
    </w:rPr>
  </w:style>
  <w:style w:type="paragraph" w:styleId="7">
    <w:name w:val="annotation subject"/>
    <w:basedOn w:val="3"/>
    <w:next w:val="3"/>
    <w:link w:val="12"/>
    <w:autoRedefine/>
    <w:uiPriority w:val="0"/>
    <w:rPr>
      <w:b/>
      <w:bCs/>
    </w:rPr>
  </w:style>
  <w:style w:type="character" w:styleId="10">
    <w:name w:val="annotation reference"/>
    <w:basedOn w:val="9"/>
    <w:qFormat/>
    <w:uiPriority w:val="0"/>
    <w:rPr>
      <w:sz w:val="21"/>
      <w:szCs w:val="21"/>
    </w:rPr>
  </w:style>
  <w:style w:type="character" w:customStyle="1" w:styleId="11">
    <w:name w:val="批注文字 字符"/>
    <w:basedOn w:val="9"/>
    <w:link w:val="3"/>
    <w:qFormat/>
    <w:uiPriority w:val="0"/>
    <w:rPr>
      <w:rFonts w:ascii="Calibri" w:hAnsi="Calibri"/>
      <w:kern w:val="2"/>
      <w:sz w:val="21"/>
    </w:rPr>
  </w:style>
  <w:style w:type="character" w:customStyle="1" w:styleId="12">
    <w:name w:val="批注主题 字符"/>
    <w:basedOn w:val="11"/>
    <w:link w:val="7"/>
    <w:qFormat/>
    <w:uiPriority w:val="0"/>
    <w:rPr>
      <w:rFonts w:ascii="Calibri" w:hAnsi="Calibri"/>
      <w:b/>
      <w:bCs/>
      <w:kern w:val="2"/>
      <w:sz w:val="21"/>
    </w:rPr>
  </w:style>
  <w:style w:type="character" w:customStyle="1" w:styleId="13">
    <w:name w:val="页眉 字符"/>
    <w:basedOn w:val="9"/>
    <w:link w:val="5"/>
    <w:autoRedefine/>
    <w:qFormat/>
    <w:uiPriority w:val="0"/>
    <w:rPr>
      <w:rFonts w:ascii="Calibri" w:hAnsi="Calibri"/>
      <w:kern w:val="2"/>
      <w:sz w:val="18"/>
      <w:szCs w:val="18"/>
    </w:rPr>
  </w:style>
  <w:style w:type="character" w:customStyle="1" w:styleId="14">
    <w:name w:val="页脚 字符"/>
    <w:basedOn w:val="9"/>
    <w:link w:val="4"/>
    <w:autoRedefine/>
    <w:qFormat/>
    <w:uiPriority w:val="0"/>
    <w:rPr>
      <w:rFonts w:ascii="Calibri" w:hAnsi="Calibri"/>
      <w:kern w:val="2"/>
      <w:sz w:val="18"/>
      <w:szCs w:val="18"/>
    </w:rPr>
  </w:style>
  <w:style w:type="paragraph" w:customStyle="1" w:styleId="15">
    <w:name w:val="Revision"/>
    <w:autoRedefine/>
    <w:hidden/>
    <w:semiHidden/>
    <w:qFormat/>
    <w:uiPriority w:val="99"/>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8C724-4958-4228-B48B-B177C00A7B9C}">
  <ds:schemaRefs/>
</ds:datastoreItem>
</file>

<file path=docProps/app.xml><?xml version="1.0" encoding="utf-8"?>
<Properties xmlns="http://schemas.openxmlformats.org/officeDocument/2006/extended-properties" xmlns:vt="http://schemas.openxmlformats.org/officeDocument/2006/docPropsVTypes">
  <Template>Normal</Template>
  <Pages>4</Pages>
  <Words>1313</Words>
  <Characters>1313</Characters>
  <Lines>119</Lines>
  <Paragraphs>218</Paragraphs>
  <TotalTime>12</TotalTime>
  <ScaleCrop>false</ScaleCrop>
  <LinksUpToDate>false</LinksUpToDate>
  <CharactersWithSpaces>2408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2023-01-17T08:57:00Z</dcterms:created>
  <dc:creator>lc</dc:creator>
  <cp:lastModifiedBy>思维是最美的存在</cp:lastModifiedBy>
  <dcterms:modified xsi:type="dcterms:W3CDTF">2024-01-15T06:39:25Z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582BB82DFC0C44C5A7B63D9460D22CE5</vt:lpwstr>
  </property>
</Properties>
</file>