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56"/>
        <w:gridCol w:w="2523"/>
        <w:gridCol w:w="1217"/>
        <w:gridCol w:w="1217"/>
        <w:gridCol w:w="3057"/>
        <w:gridCol w:w="1970"/>
        <w:gridCol w:w="22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jc w:val="center"/>
        </w:trPr>
        <w:tc>
          <w:tcPr>
            <w:tcW w:w="1656" w:type="dxa"/>
            <w:vMerge w:val="restart"/>
            <w:tcBorders>
              <w:top w:val="single" w:color="auto" w:sz="8" w:space="0"/>
              <w:left w:val="single" w:color="auto" w:sz="8" w:space="0"/>
              <w:bottom w:val="single" w:color="auto" w:sz="8" w:space="0"/>
              <w:right w:val="single" w:color="auto" w:sz="8" w:space="0"/>
            </w:tcBorders>
            <w:shd w:val="clear" w:color="auto" w:fill="BFBFB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ascii="Calibri" w:hAnsi="Calibri" w:cs="Calibri"/>
                <w:sz w:val="21"/>
                <w:szCs w:val="21"/>
              </w:rPr>
            </w:pPr>
            <w:bookmarkStart w:id="0" w:name="_GoBack"/>
            <w:r>
              <w:rPr>
                <w:rFonts w:hint="eastAsia" w:ascii="宋体" w:hAnsi="宋体" w:eastAsia="宋体" w:cs="宋体"/>
                <w:b/>
                <w:color w:val="000000"/>
                <w:sz w:val="21"/>
                <w:szCs w:val="21"/>
              </w:rPr>
              <w:t>序号</w:t>
            </w:r>
          </w:p>
        </w:tc>
        <w:tc>
          <w:tcPr>
            <w:tcW w:w="2523" w:type="dxa"/>
            <w:vMerge w:val="restart"/>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color w:val="000000"/>
                <w:sz w:val="21"/>
                <w:szCs w:val="21"/>
              </w:rPr>
              <w:t>具体职责</w:t>
            </w:r>
          </w:p>
        </w:tc>
        <w:tc>
          <w:tcPr>
            <w:tcW w:w="1217" w:type="dxa"/>
            <w:vMerge w:val="restart"/>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color w:val="000000"/>
                <w:sz w:val="21"/>
                <w:szCs w:val="21"/>
              </w:rPr>
              <w:t>业务事项</w:t>
            </w:r>
          </w:p>
        </w:tc>
        <w:tc>
          <w:tcPr>
            <w:tcW w:w="1217" w:type="dxa"/>
            <w:vMerge w:val="restart"/>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color w:val="000000"/>
                <w:sz w:val="21"/>
                <w:szCs w:val="21"/>
              </w:rPr>
              <w:t>信息类别</w:t>
            </w:r>
          </w:p>
        </w:tc>
        <w:tc>
          <w:tcPr>
            <w:tcW w:w="3057" w:type="dxa"/>
            <w:vMerge w:val="restart"/>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color w:val="000000"/>
                <w:sz w:val="21"/>
                <w:szCs w:val="21"/>
              </w:rPr>
              <w:t>内容标准</w:t>
            </w:r>
          </w:p>
        </w:tc>
        <w:tc>
          <w:tcPr>
            <w:tcW w:w="1970" w:type="dxa"/>
            <w:vMerge w:val="restart"/>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color w:val="000000"/>
                <w:sz w:val="21"/>
                <w:szCs w:val="21"/>
              </w:rPr>
              <w:t>公开时限</w:t>
            </w:r>
          </w:p>
        </w:tc>
        <w:tc>
          <w:tcPr>
            <w:tcW w:w="2228" w:type="dxa"/>
            <w:vMerge w:val="restart"/>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color w:val="000000"/>
                <w:sz w:val="21"/>
                <w:szCs w:val="21"/>
              </w:rPr>
              <w:t>公开形式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jc w:val="center"/>
        </w:trPr>
        <w:tc>
          <w:tcPr>
            <w:tcW w:w="1656" w:type="dxa"/>
            <w:vMerge w:val="continue"/>
            <w:tcBorders>
              <w:top w:val="single" w:color="auto" w:sz="8" w:space="0"/>
              <w:left w:val="single" w:color="auto" w:sz="8" w:space="0"/>
              <w:bottom w:val="single" w:color="auto" w:sz="8" w:space="0"/>
              <w:right w:val="single" w:color="auto" w:sz="8" w:space="0"/>
            </w:tcBorders>
            <w:shd w:val="clear" w:color="auto" w:fill="BFBFBF"/>
            <w:tcMar>
              <w:left w:w="108" w:type="dxa"/>
              <w:right w:w="108" w:type="dxa"/>
            </w:tcMar>
            <w:vAlign w:val="center"/>
          </w:tcPr>
          <w:p>
            <w:pPr>
              <w:rPr>
                <w:rFonts w:hint="eastAsia" w:ascii="宋体" w:hAnsi="宋体" w:eastAsia="宋体" w:cs="宋体"/>
                <w:sz w:val="18"/>
                <w:szCs w:val="18"/>
              </w:rPr>
            </w:pPr>
          </w:p>
        </w:tc>
        <w:tc>
          <w:tcPr>
            <w:tcW w:w="2523" w:type="dxa"/>
            <w:vMerge w:val="continue"/>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rPr>
                <w:rFonts w:hint="eastAsia" w:ascii="宋体" w:hAnsi="宋体" w:eastAsia="宋体" w:cs="宋体"/>
                <w:sz w:val="18"/>
                <w:szCs w:val="18"/>
              </w:rPr>
            </w:pPr>
          </w:p>
        </w:tc>
        <w:tc>
          <w:tcPr>
            <w:tcW w:w="3057" w:type="dxa"/>
            <w:vMerge w:val="continue"/>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rPr>
                <w:rFonts w:hint="eastAsia" w:ascii="宋体" w:hAnsi="宋体" w:eastAsia="宋体" w:cs="宋体"/>
                <w:sz w:val="18"/>
                <w:szCs w:val="18"/>
              </w:rPr>
            </w:pPr>
          </w:p>
        </w:tc>
        <w:tc>
          <w:tcPr>
            <w:tcW w:w="1970" w:type="dxa"/>
            <w:vMerge w:val="continue"/>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rPr>
                <w:rFonts w:hint="eastAsia" w:ascii="宋体" w:hAnsi="宋体" w:eastAsia="宋体" w:cs="宋体"/>
                <w:sz w:val="18"/>
                <w:szCs w:val="18"/>
              </w:rPr>
            </w:pPr>
          </w:p>
        </w:tc>
        <w:tc>
          <w:tcPr>
            <w:tcW w:w="2228" w:type="dxa"/>
            <w:vMerge w:val="continue"/>
            <w:tcBorders>
              <w:top w:val="single" w:color="auto" w:sz="8" w:space="0"/>
              <w:left w:val="nil"/>
              <w:bottom w:val="single" w:color="auto" w:sz="8" w:space="0"/>
              <w:right w:val="single" w:color="auto" w:sz="8" w:space="0"/>
            </w:tcBorders>
            <w:shd w:val="clear" w:color="auto" w:fill="BFBFBF"/>
            <w:tcMar>
              <w:left w:w="108" w:type="dxa"/>
              <w:right w:w="108" w:type="dxa"/>
            </w:tcMar>
            <w:vAlign w:val="center"/>
          </w:tcPr>
          <w:p>
            <w:pPr>
              <w:rPr>
                <w:rFonts w:hint="eastAsia" w:ascii="宋体" w:hAnsi="宋体" w:eastAsia="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1"/>
                <w:szCs w:val="21"/>
              </w:rPr>
              <w:t>机构基本情况</w:t>
            </w:r>
          </w:p>
        </w:tc>
        <w:tc>
          <w:tcPr>
            <w:tcW w:w="121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机构职权信息</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基本信息</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【机构名称】【联系方式】【咨询服务】【监督投诉】</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宋体" w:hAnsi="宋体" w:eastAsia="宋体" w:cs="宋体"/>
                <w:color w:val="000000"/>
                <w:sz w:val="21"/>
                <w:szCs w:val="21"/>
                <w:lang w:eastAsia="zh-CN"/>
              </w:rPr>
              <w:t>信息产生或变更后</w:t>
            </w:r>
            <w:r>
              <w:rPr>
                <w:rFonts w:hint="eastAsia" w:ascii="宋体" w:hAnsi="宋体" w:eastAsia="宋体" w:cs="宋体"/>
                <w:color w:val="000000"/>
                <w:sz w:val="21"/>
                <w:szCs w:val="21"/>
                <w:lang w:val="en-US" w:eastAsia="zh-CN"/>
              </w:rPr>
              <w:t>20个工作日</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机构职能</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依据职责调整情况确定的最新法定职责</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机构设置</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【机构名称】【职责】【联系方式】</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领导介绍</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【基本信息】【个人基本信息】【工作分工】【标准工作照】</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负责机关政务工作</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年度工作总结</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总结报告</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【标题】【内容】</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信息公开工作</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信息公开指南</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【标题】【内容】</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信息公开工作</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信息公开目录</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【标题】【内容】</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信息公开工作</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信息公开年度报告</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【组织机构】【制度建设】【渠道场所】【教育培训】【主动公开】【行政复议和行政诉讼】【主要问题和改进措施】【其他事项】</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按年度公开</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信息公开工作</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年度工作要点</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【全文公开】</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按年度公开</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信息公开工作</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体育局政府信息主动公开全清单</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信息公开</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【具体职责】【业务事项】【信息类别】【内容标准】【公开时限】【公开形式】</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按年度公开</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活动场地</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群众体育专项活动场地</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场地设施</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【标题】【内容】</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按年度公开</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指导开展群众性体育活动</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开展体育赛事活动</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体育赛事活动</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【标题】【内容】</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负责国民体质监测工作</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组织开展国民体质监测工作</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年度工作</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【标题】【内容】</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指导和推动社区体育发展</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全民健身示范街道</w:t>
            </w:r>
          </w:p>
        </w:tc>
        <w:tc>
          <w:tcPr>
            <w:tcW w:w="12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体育组织</w:t>
            </w:r>
          </w:p>
        </w:tc>
        <w:tc>
          <w:tcPr>
            <w:tcW w:w="305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【标题】【内容】</w:t>
            </w:r>
          </w:p>
        </w:tc>
        <w:tc>
          <w:tcPr>
            <w:tcW w:w="19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按年度公开</w:t>
            </w:r>
          </w:p>
        </w:tc>
        <w:tc>
          <w:tcPr>
            <w:tcW w:w="22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全民健身服务体系建设</w:t>
            </w: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组织、指导和监督本区各行业、社区开展全民健身活动</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活动通知</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【活动时间】【活动地点】【参加人员】【活动内容】</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活动信息</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【活动时间】【活动地点】【参加人员】【活动内容】</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国民体质测试与监测、社会体育指导员两项制度</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社会体育指导员培训</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【培训时间】【培训地点】【参加人员】【内容】</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社会体育指导员审批</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【二、三级社会体育指导员名单】</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社会体育指导员评选表彰</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【“一、二、三星”级社会体育指导员名单】</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全民健身设施建设、管理工作</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全民健身工程建设信息</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【招标公告】【中标公告】</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全民健身专项场地建设信息</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【招标公告】【中标公告】</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体育类民办非企业单位和个人进行登记审查及相关管理</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民办非企业登记</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体育类民办非企业的登记审查</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sz w:val="21"/>
                <w:szCs w:val="21"/>
              </w:rPr>
            </w:pPr>
          </w:p>
        </w:tc>
        <w:tc>
          <w:tcPr>
            <w:tcW w:w="252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行政执法、行政许可、行政审批、社会服务事项及办事代理工作</w:t>
            </w: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行政许可</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经营高危险性体育项目的行政许可</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事项名称】【事项编码】【事项类别】【设定依据】【审批对象】【实施机关】【办理处室】【受理方式】【受理地点】【审批流程】【申报材料】【审查内容】【审查标准】【批准形式】【收费依据】【收费标准】【办理时限】【有效时限】</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宋体" w:hAnsi="宋体" w:eastAsia="宋体" w:cs="宋体"/>
                <w:color w:val="000000"/>
                <w:sz w:val="21"/>
                <w:szCs w:val="21"/>
                <w:lang w:val="en-US" w:eastAsia="zh-CN"/>
              </w:rPr>
            </w:pPr>
          </w:p>
        </w:tc>
        <w:tc>
          <w:tcPr>
            <w:tcW w:w="2523" w:type="dxa"/>
            <w:vMerge w:val="continue"/>
            <w:tcBorders>
              <w:left w:val="nil"/>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1217" w:type="dxa"/>
            <w:vMerge w:val="continue"/>
            <w:tcBorders>
              <w:left w:val="nil"/>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"javascript:viewItemPage('finish','8b31a443-81a0-4ef5-a73b-6bfa99e09f3a','XZXK_NEW','1');"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举办高危险性体育赛事活动许可</w:t>
            </w:r>
            <w:r>
              <w:rPr>
                <w:rFonts w:hint="eastAsia" w:ascii="宋体" w:hAnsi="宋体" w:eastAsia="宋体" w:cs="宋体"/>
                <w:color w:val="000000"/>
                <w:sz w:val="21"/>
                <w:szCs w:val="21"/>
              </w:rPr>
              <w:fldChar w:fldCharType="end"/>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事项名称】【事项编码】【事项类别】【设定依据】【审批对象】【实施机关】【办理处室】【受理方式】【受理地点】【审批流程】【申报材料】【审查内容】【审查标准】【批准形式】【收费依据】【收费标准】【办理时限】【有效时限】</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Calibri" w:hAnsi="Calibri" w:cs="Calibri" w:eastAsiaTheme="minorEastAsia"/>
                <w:kern w:val="0"/>
                <w:sz w:val="21"/>
                <w:szCs w:val="21"/>
                <w:lang w:val="en-US" w:eastAsia="zh-CN" w:bidi="ar"/>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Calibri" w:hAnsi="Calibri" w:cs="Calibri" w:eastAsiaTheme="minorEastAsia"/>
                <w:kern w:val="0"/>
                <w:sz w:val="21"/>
                <w:szCs w:val="21"/>
                <w:lang w:val="en-US" w:eastAsia="zh-CN" w:bidi="ar"/>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临时占用公共体育设施开展非体育性活动的行政许可</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事项名称】【事项编码】【事项类别】【设定依据】【审批对象】【实施机关】【办理处室】【受理方式】【受理地点】【审批流程】【申报材料】【审查内容】【审查标准】【批准形式】【收费依据】【收费标准】【办理时限】【有效时限】</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"javascript:viewItemPage('finish','d064be2e-38f7-4169-bbf8-e473bf3ba0cc','','1');"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举办健身气功活动及设立站点审批</w:t>
            </w:r>
            <w:r>
              <w:rPr>
                <w:rFonts w:hint="eastAsia" w:ascii="宋体" w:hAnsi="宋体" w:eastAsia="宋体" w:cs="宋体"/>
                <w:color w:val="000000"/>
                <w:sz w:val="21"/>
                <w:szCs w:val="21"/>
              </w:rPr>
              <w:fldChar w:fldCharType="end"/>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事项名称】【事项编码】【事项类别】【设定依据】【审批对象】【实施机关】【办理处室】【受理方式】【受理地点】【审批流程】【申报材料】【审查内容】【审查标准】【批准形式】【收费依据】【收费标准】【办理时限】【有效时限】</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Calibri" w:hAnsi="Calibri" w:cs="Calibri" w:eastAsiaTheme="minorEastAsia"/>
                <w:kern w:val="0"/>
                <w:sz w:val="21"/>
                <w:szCs w:val="21"/>
                <w:lang w:val="en-US" w:eastAsia="zh-CN" w:bidi="ar"/>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Calibri" w:hAnsi="Calibri" w:cs="Calibri" w:eastAsiaTheme="minorEastAsia"/>
                <w:kern w:val="0"/>
                <w:sz w:val="21"/>
                <w:szCs w:val="21"/>
                <w:lang w:val="en-US" w:eastAsia="zh-CN" w:bidi="ar"/>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健身气功活动设立站点的行政许可</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事项名称】【事项编码】【事项类别】【设定依据】【审批对象】【实施机关】【办理处室】【受理方式】【受理地点】【审批流程】【申报材料】【审查内容】【审查标准】【批准形式】【收费依据】【收费标准】【办理时限】【有效时限】</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行政确认</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北京市裁判员技术等级称号确认</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社会体育指导员技术等级称号确认</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运动员技术等级称号确认</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行政检查</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经营高危险性体育项目行政许可工作的检查</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cs="Calibri" w:eastAsiaTheme="minorEastAsia"/>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体育竞赛举办情况的检查</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体育训练场、体育竞赛场所和运动员驻地兴奋剂检查</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行政处罚</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体育竞赛主办者未遵守国家和本市的强制性体育服务标准的行为处罚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体育竞赛主办者委派未经体育行政部门依法注册的人员担任裁判工作的处罚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公共文化体育设施管理单位开展与公共文化体育设施功能、用途不相适应的服务活动的行为处罚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公共文化体育设施管理单位违反规定出租文化体育设施的行为处罚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体育运动项目经营单位未建立安全生产例会制度或者未制定安全生产措施的行为处罚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体育运动项目经营单位未建立生产安全事故隐患排查制度的行为处罚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体育运动项目经营单位未配备持有相应运动项目执业证书的从业人员的行为处罚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体育运动项目经营单位未配备专职水上救生员的行为处罚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体育运动项目经营单位未设置能够覆盖全部营业区域的应急广播或者不能使用中英文两种语言播放的行为处罚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未经批准、擅自经营高危险性体育项目的行为处罚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高危险性体育项目经营者取得许可证后，不再符合本条例规定条件仍经营该体育项目的行为处罚</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【职权编码】【职权名称】【依据】【实施主体】【流程图】【监督方式】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1"/>
                <w:szCs w:val="21"/>
                <w:lang w:eastAsia="zh-CN"/>
              </w:rPr>
              <w:t>信息产生或变更后20个工作日</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法制宣传</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组织及宣传工作</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新闻稿、报告</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【会议名称】【时间】【地点】【会议主题】【会议内容】</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政府网站常规公开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发展规划、政策和计划（规划），并组织实施</w:t>
            </w: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拟定发展规划、政策和计划（规划）</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青少年体育发展规划、政策和计划（草案）</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【指导思想】【总体目标】【主要任务】【保障措施】【组织实施】</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青少年体育发展规划、政策和计划</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【指导思想】【总体目标】【主要任务】【保障措施】【组织实施】</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青少年体育发展规划、政策和计划解读</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【重点内容】【主要特色】</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青少年体育相关工作审核、审批与上报工作</w:t>
            </w: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运动员技术等级审核审批</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二级运动员材料的审核、审批</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【总则】【管理权限】【申请和审核】【审批】【证书】【监督检查和处罚】【附则】【申请表】【审批单位】【编码】</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7个工作日内公开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eastAsia" w:ascii="Calibri" w:hAnsi="Calibri" w:eastAsia="宋体" w:cs="Calibri"/>
                <w:sz w:val="21"/>
                <w:szCs w:val="21"/>
                <w:lang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三级运动员材料的审核、审批</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【总则】【管理权限】【申请和审核】【审批】【证书】【监督检查和处罚】【附则】【申请表】【审批单位】【编码】</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7个工作日内公开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7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负责本系统财务预决算编审；</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本部门预算公开</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部门预算信息</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收支总体情况表：①部门收支总体情况表。②部门收入总体情况表。③部门支出总体情况表。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一般公共预算支出情况表公开到功能分类项级科目。一般公共预算基本支出表公开到经济分类款级科目。</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进行说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没有数据的表格应当列出空表并说明。</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按年度公开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3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本部门决算公开</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部门决算信息</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收支总体情况表：①部门收支总体情况表。②部门收入总体情况表。③部门支出总体情况表。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一般公共预算支出情况表公开到功能分类项级科目。一般公共预算基本支出表公开到经济分类款级科目。</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没有数据的表格应当列出空表并说明。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按年度公开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负责监督管理本系统国有资产</w:t>
            </w:r>
          </w:p>
        </w:tc>
        <w:tc>
          <w:tcPr>
            <w:tcW w:w="12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政府采购</w:t>
            </w: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政府采购招标公告</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【集中采购机构采购项目】【部门净增采购项目】【分散采购及限额标准】【政府采购公开招标数额标准】</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5" w:hRule="atLeast"/>
          <w:jc w:val="center"/>
        </w:trPr>
        <w:tc>
          <w:tcPr>
            <w:tcW w:w="16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numPr>
                <w:ilvl w:val="0"/>
                <w:numId w:val="1"/>
              </w:numPr>
              <w:suppressLineNumbers w:val="0"/>
              <w:spacing w:before="0" w:beforeAutospacing="0" w:after="0" w:afterAutospacing="0"/>
              <w:ind w:left="425" w:leftChars="0" w:right="0" w:rightChars="0" w:hanging="425" w:firstLineChars="0"/>
              <w:jc w:val="center"/>
              <w:textAlignment w:val="center"/>
              <w:rPr>
                <w:rFonts w:hint="default" w:ascii="Calibri" w:hAnsi="Calibri" w:cs="Calibri" w:eastAsiaTheme="minorEastAsia"/>
                <w:sz w:val="21"/>
                <w:szCs w:val="21"/>
                <w:lang w:val="en-US" w:eastAsia="zh-CN"/>
              </w:rPr>
            </w:pPr>
          </w:p>
        </w:tc>
        <w:tc>
          <w:tcPr>
            <w:tcW w:w="252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sz w:val="18"/>
                <w:szCs w:val="18"/>
              </w:rPr>
            </w:pPr>
          </w:p>
        </w:tc>
        <w:tc>
          <w:tcPr>
            <w:tcW w:w="12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政府采购中标公告</w:t>
            </w:r>
          </w:p>
        </w:tc>
        <w:tc>
          <w:tcPr>
            <w:tcW w:w="30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【公告信息】【联系人及联系方式】</w:t>
            </w:r>
          </w:p>
        </w:tc>
        <w:tc>
          <w:tcPr>
            <w:tcW w:w="1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实时公开</w:t>
            </w:r>
          </w:p>
        </w:tc>
        <w:tc>
          <w:tcPr>
            <w:tcW w:w="22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1"/>
                <w:szCs w:val="21"/>
              </w:rPr>
              <w:t>政府网站专题集中公开</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89859"/>
    <w:multiLevelType w:val="singleLevel"/>
    <w:tmpl w:val="C0189859"/>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F6A8B"/>
    <w:rsid w:val="05CF6A8B"/>
    <w:rsid w:val="183E2908"/>
    <w:rsid w:val="1E3D5634"/>
    <w:rsid w:val="4DB70824"/>
    <w:rsid w:val="5C5A4CE0"/>
    <w:rsid w:val="6ADC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2022-07-15T06:30:00Z</dcterms:created>
  <dc:creator>赵艳涛</dc:creator>
  <cp:lastModifiedBy>赵艳涛</cp:lastModifiedBy>
  <dcterms:modified xsi:type="dcterms:W3CDTF">2025-06-24T08:09:40Z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F0C8E12FFC1842859E757BC1E4EBAC93</vt:lpwstr>
  </property>
</Properties>
</file>