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D977">
      <w:pPr>
        <w:spacing w:line="560" w:lineRule="exact"/>
        <w:jc w:val="both"/>
        <w:rPr>
          <w:rFonts w:hint="eastAsia" w:ascii="方正小标宋简体" w:hAnsi="方正小标宋简体" w:eastAsia="方正小标宋简体" w:cs="方正小标宋简体"/>
          <w:sz w:val="44"/>
          <w:szCs w:val="44"/>
          <w:highlight w:val="none"/>
        </w:rPr>
      </w:pPr>
    </w:p>
    <w:p w14:paraId="33C35AF8">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北京市丰台区国防动员办公室</w:t>
      </w:r>
    </w:p>
    <w:p w14:paraId="2134ECC3">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p>
    <w:p w14:paraId="3E90535F">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14:paraId="3046A37E">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57A82DE0">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14262695">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2024年丰台区国防动员办公室严格执行《政府信息公开条例》规定，大力推进重点领域信息公开、加强决策解读、回应社会关切，以公开促落实、以公开促服务，政府信息公开工作规范化水平不断提升。</w:t>
      </w:r>
    </w:p>
    <w:p w14:paraId="2D410F80">
      <w:pPr>
        <w:pStyle w:val="2"/>
        <w:ind w:firstLine="672" w:firstLineChars="200"/>
        <w:rPr>
          <w:rFonts w:hint="default"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全年发布微博、微信各138条。聚焦媒体互动性，长期与北京日报、北京青年报、北京丰台、丰台时报等具有影响力的媒体平台合作，提高国动宣传在主流媒体的发生频率和质量，扩大举办活动的影响力。在北京日报客户端发布《丰台区国动办扎实完成国防动员第一阶段业务训练》等文章，在北京青年报客户端发布《疏散演练进校园 防灾减灾筑防线防线》等文章，被首都各大媒体纷纷转载。</w:t>
      </w:r>
      <w:r>
        <w:rPr>
          <w:rFonts w:hint="default" w:ascii="仿宋_GB2312" w:hAnsi="宋体" w:eastAsia="仿宋_GB2312" w:cs="宋体"/>
          <w:spacing w:val="8"/>
          <w:kern w:val="0"/>
          <w:sz w:val="32"/>
          <w:szCs w:val="32"/>
          <w:lang w:val="en-US" w:eastAsia="zh-CN" w:bidi="ar-SA"/>
        </w:rPr>
        <w:t>结合</w:t>
      </w:r>
      <w:r>
        <w:rPr>
          <w:rFonts w:hint="eastAsia" w:ascii="仿宋_GB2312" w:hAnsi="宋体" w:eastAsia="仿宋_GB2312" w:cs="宋体"/>
          <w:spacing w:val="8"/>
          <w:kern w:val="0"/>
          <w:sz w:val="32"/>
          <w:szCs w:val="32"/>
          <w:lang w:val="en-US" w:eastAsia="zh-CN" w:bidi="ar-SA"/>
        </w:rPr>
        <w:t>北京市</w:t>
      </w:r>
      <w:r>
        <w:rPr>
          <w:rFonts w:hint="default" w:ascii="仿宋_GB2312" w:hAnsi="宋体" w:eastAsia="仿宋_GB2312" w:cs="宋体"/>
          <w:spacing w:val="8"/>
          <w:kern w:val="0"/>
          <w:sz w:val="32"/>
          <w:szCs w:val="32"/>
          <w:lang w:val="en-US" w:eastAsia="zh-CN" w:bidi="ar-SA"/>
        </w:rPr>
        <w:t>国</w:t>
      </w:r>
      <w:r>
        <w:rPr>
          <w:rFonts w:hint="eastAsia" w:ascii="仿宋_GB2312" w:hAnsi="宋体" w:eastAsia="仿宋_GB2312" w:cs="宋体"/>
          <w:spacing w:val="8"/>
          <w:kern w:val="0"/>
          <w:sz w:val="32"/>
          <w:szCs w:val="32"/>
          <w:lang w:val="en-US" w:eastAsia="zh-CN" w:bidi="ar-SA"/>
        </w:rPr>
        <w:t>防动员</w:t>
      </w:r>
      <w:r>
        <w:rPr>
          <w:rFonts w:hint="default" w:ascii="仿宋_GB2312" w:hAnsi="宋体" w:eastAsia="仿宋_GB2312" w:cs="宋体"/>
          <w:spacing w:val="8"/>
          <w:kern w:val="0"/>
          <w:sz w:val="32"/>
          <w:szCs w:val="32"/>
          <w:lang w:val="en-US" w:eastAsia="zh-CN" w:bidi="ar-SA"/>
        </w:rPr>
        <w:t>工作实际，依托政府网站及各类新媒体政务平台，认真抓好国防动员及人民防空领域政府信息公开工作的贯彻落实，确保公开内容全面、准确、详实。</w:t>
      </w:r>
    </w:p>
    <w:p w14:paraId="057762BE">
      <w:pPr>
        <w:pStyle w:val="2"/>
        <w:ind w:firstLine="672" w:firstLineChars="200"/>
        <w:rPr>
          <w:rFonts w:hint="default" w:ascii="仿宋_GB2312" w:hAnsi="宋体" w:eastAsia="仿宋_GB2312" w:cs="宋体"/>
          <w:spacing w:val="8"/>
          <w:kern w:val="0"/>
          <w:sz w:val="32"/>
          <w:szCs w:val="32"/>
          <w:lang w:val="en-US" w:eastAsia="zh-CN" w:bidi="ar-SA"/>
        </w:rPr>
      </w:pPr>
      <w:r>
        <w:rPr>
          <w:rFonts w:hint="default" w:ascii="仿宋_GB2312" w:hAnsi="宋体" w:eastAsia="仿宋_GB2312" w:cs="宋体"/>
          <w:spacing w:val="8"/>
          <w:kern w:val="0"/>
          <w:sz w:val="32"/>
          <w:szCs w:val="32"/>
          <w:lang w:val="en-US" w:eastAsia="zh-CN" w:bidi="ar-SA"/>
        </w:rPr>
        <w:t>严格执行我办政府信息公开保密审查机制，定期对制度落实情况开展自查，无失泄密问题发生。严格落实《政府信息公开条例》要求，坚持以人为本、服务便民，畅通当面、信函、网络申请受理渠道和便民电话。保证申请按期答复，不断提高告知时效，答复要素完备、形式规范、内容准确。强化告知依据援引，在告知书中明示申请人救济渠道。全年受理政府信息依申请公开</w:t>
      </w:r>
      <w:r>
        <w:rPr>
          <w:rFonts w:hint="eastAsia" w:ascii="仿宋_GB2312" w:hAnsi="宋体" w:eastAsia="仿宋_GB2312" w:cs="宋体"/>
          <w:spacing w:val="8"/>
          <w:kern w:val="0"/>
          <w:sz w:val="32"/>
          <w:szCs w:val="32"/>
          <w:lang w:val="en-US" w:eastAsia="zh-CN" w:bidi="ar-SA"/>
        </w:rPr>
        <w:t>23</w:t>
      </w:r>
      <w:r>
        <w:rPr>
          <w:rFonts w:hint="default" w:ascii="仿宋_GB2312" w:hAnsi="宋体" w:eastAsia="仿宋_GB2312" w:cs="宋体"/>
          <w:spacing w:val="8"/>
          <w:kern w:val="0"/>
          <w:sz w:val="32"/>
          <w:szCs w:val="32"/>
          <w:lang w:val="en-US" w:eastAsia="zh-CN" w:bidi="ar-SA"/>
        </w:rPr>
        <w:t>件</w:t>
      </w:r>
      <w:r>
        <w:rPr>
          <w:rFonts w:hint="eastAsia" w:ascii="仿宋_GB2312" w:hAnsi="宋体" w:eastAsia="仿宋_GB2312" w:cs="宋体"/>
          <w:spacing w:val="8"/>
          <w:kern w:val="0"/>
          <w:sz w:val="32"/>
          <w:szCs w:val="32"/>
          <w:lang w:val="en-US" w:eastAsia="zh-CN" w:bidi="ar-SA"/>
        </w:rPr>
        <w:t>。持续健全政府信息发布管理机制，优化报批流程，加强公开审查。加强群众监督，积极接受群众意见建议，直面弱项工作、加强整改落实、不断提升政务公开水平。</w:t>
      </w:r>
    </w:p>
    <w:p w14:paraId="1F2E8DD7">
      <w:pPr>
        <w:numPr>
          <w:ilvl w:val="0"/>
          <w:numId w:val="1"/>
        </w:numPr>
        <w:spacing w:line="560" w:lineRule="exact"/>
        <w:ind w:left="-10" w:firstLine="640" w:firstLineChars="0"/>
        <w:rPr>
          <w:rFonts w:hint="eastAsia" w:ascii="黑体" w:hAnsi="黑体" w:eastAsia="黑体" w:cs="黑体"/>
          <w:sz w:val="32"/>
          <w:szCs w:val="32"/>
        </w:rPr>
      </w:pPr>
      <w:r>
        <w:rPr>
          <w:rFonts w:hint="eastAsia" w:ascii="黑体" w:hAnsi="黑体" w:eastAsia="黑体" w:cs="黑体"/>
          <w:sz w:val="32"/>
          <w:szCs w:val="32"/>
        </w:rPr>
        <w:t>主动公开政府信息情况</w:t>
      </w:r>
    </w:p>
    <w:p w14:paraId="4DF8FF5C">
      <w:pPr>
        <w:pStyle w:val="2"/>
        <w:rPr>
          <w:rFonts w:hint="eastAsia"/>
        </w:rPr>
      </w:pPr>
    </w:p>
    <w:p w14:paraId="5FC3647A">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46E8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E039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683A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9157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2461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D0B2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7497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0CC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3B14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3BD5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44DF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480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14:paraId="2023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49DD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D6E8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B81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AE2F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3</w:t>
            </w:r>
          </w:p>
        </w:tc>
      </w:tr>
      <w:tr w14:paraId="375F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5A4C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9EF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269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E5A3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33B0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BFCC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64FC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113</w:t>
            </w:r>
          </w:p>
        </w:tc>
      </w:tr>
      <w:tr w14:paraId="578F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9B9F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59D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F7F6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48E70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1DE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11AA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1C67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14:paraId="0A66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C740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BEC6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14:paraId="33DF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D238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BAB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5D4B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28161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40A7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48F8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F909E25">
            <w:pPr>
              <w:rPr>
                <w:rFonts w:hint="default" w:ascii="宋体" w:eastAsia="宋体"/>
                <w:sz w:val="24"/>
                <w:szCs w:val="24"/>
                <w:lang w:val="en-US" w:eastAsia="zh-CN"/>
              </w:rPr>
            </w:pPr>
            <w:r>
              <w:rPr>
                <w:rFonts w:hint="eastAsia" w:ascii="宋体"/>
                <w:sz w:val="24"/>
                <w:szCs w:val="24"/>
                <w:lang w:val="en-US" w:eastAsia="zh-CN"/>
              </w:rPr>
              <w:t>191.74</w:t>
            </w:r>
          </w:p>
        </w:tc>
      </w:tr>
    </w:tbl>
    <w:p w14:paraId="7E69440B">
      <w:pPr>
        <w:pStyle w:val="2"/>
        <w:numPr>
          <w:ilvl w:val="0"/>
          <w:numId w:val="0"/>
        </w:numPr>
        <w:rPr>
          <w:rFonts w:hint="eastAsia"/>
        </w:rPr>
      </w:pPr>
    </w:p>
    <w:p w14:paraId="3F4C90AF">
      <w:pPr>
        <w:pStyle w:val="2"/>
        <w:numPr>
          <w:ilvl w:val="0"/>
          <w:numId w:val="0"/>
        </w:numPr>
        <w:rPr>
          <w:rFonts w:hint="eastAsia"/>
        </w:rPr>
      </w:pPr>
    </w:p>
    <w:p w14:paraId="08598896">
      <w:pPr>
        <w:pStyle w:val="2"/>
        <w:numPr>
          <w:ilvl w:val="0"/>
          <w:numId w:val="0"/>
        </w:numPr>
        <w:rPr>
          <w:rFonts w:hint="eastAsia"/>
        </w:rPr>
      </w:pPr>
    </w:p>
    <w:p w14:paraId="24F9FAA7">
      <w:pPr>
        <w:pStyle w:val="2"/>
        <w:numPr>
          <w:ilvl w:val="0"/>
          <w:numId w:val="0"/>
        </w:numPr>
        <w:rPr>
          <w:rFonts w:hint="eastAsia"/>
        </w:rPr>
      </w:pPr>
    </w:p>
    <w:p w14:paraId="485791A0">
      <w:pPr>
        <w:pStyle w:val="2"/>
        <w:numPr>
          <w:ilvl w:val="0"/>
          <w:numId w:val="0"/>
        </w:numPr>
        <w:rPr>
          <w:rFonts w:hint="eastAsia"/>
        </w:rPr>
      </w:pPr>
    </w:p>
    <w:p w14:paraId="4F632975">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14:paraId="7F486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6"/>
        <w:gridCol w:w="688"/>
        <w:gridCol w:w="688"/>
        <w:gridCol w:w="688"/>
        <w:gridCol w:w="688"/>
        <w:gridCol w:w="688"/>
        <w:gridCol w:w="688"/>
        <w:gridCol w:w="695"/>
      </w:tblGrid>
      <w:tr w14:paraId="7626B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640F1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B84E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04544D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7D36EECF">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6B952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54C0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570D3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7EDF9A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74D7B30A">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17F08EC6">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82A6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56FCD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10DF7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29CB1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8CC4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C8F5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7D6B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09968DAB">
            <w:pPr>
              <w:rPr>
                <w:rFonts w:hint="eastAsia" w:ascii="宋体"/>
                <w:sz w:val="24"/>
                <w:szCs w:val="24"/>
              </w:rPr>
            </w:pPr>
          </w:p>
        </w:tc>
      </w:tr>
      <w:tr w14:paraId="2B164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A6ED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C58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24</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F80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A02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19B9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5BD7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07E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FA6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24</w:t>
            </w:r>
          </w:p>
        </w:tc>
      </w:tr>
      <w:tr w14:paraId="67B1F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189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FAB3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1A6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7ADB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7FA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EFC2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C16E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19BE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6A728D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D8FA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6F14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D1E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5BF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252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275F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7409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31A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7E644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r>
      <w:tr w14:paraId="447C1D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292A573">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C7F1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9D8F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521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55C6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F01F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6A9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6B20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3E61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both"/>
            </w:pPr>
            <w:r>
              <w:rPr>
                <w:rFonts w:hint="eastAsia" w:ascii="Calibri" w:hAnsi="Calibri" w:cs="Calibri"/>
                <w:kern w:val="0"/>
                <w:sz w:val="20"/>
                <w:szCs w:val="20"/>
                <w:lang w:val="en-US" w:eastAsia="zh-CN" w:bidi="ar"/>
              </w:rPr>
              <w:t>3</w:t>
            </w:r>
          </w:p>
        </w:tc>
      </w:tr>
      <w:tr w14:paraId="13B4C4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09EC0F6">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FECE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AA2C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A3A9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470C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896E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48E0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86BA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70F9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4DC95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499186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018B483">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797F823">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4884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979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2B42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FC97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9B0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7C6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60C1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C037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17CB1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85C3A7D">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FC85E1E">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DD05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480D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DF5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2D6B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0A3D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1C0E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4AA7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EE4D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2DDD0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24017BE">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25BBAE1">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92931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5F8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36A7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F51C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F6C1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0BE3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E3DE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E953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403FF0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849365B">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5E7FBD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C2C5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1C18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2E05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757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8DD8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9E1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21F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51E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2283FF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4A6A98E">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C1DFB7C">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D173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2F3F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7A9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0E6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14C8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1601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E188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EE4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24C0F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C8967E9">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FA5463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5FE7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62DF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8EAB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D72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A47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ECD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FE7B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F035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01F34B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36B4C5A">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947C0FF">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3DD3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4017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6B7D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2E2E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664E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638C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B14E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BF8D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00FF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5899AC0">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1CE2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0632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4495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528B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D6C7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7C82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E011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907A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669A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r>
      <w:tr w14:paraId="72DABD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844B8A5">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0C15011">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A5D4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5F7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07C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654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1771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BA51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3832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F012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20DB8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9F68293">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72D81E2">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C7BC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C650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E54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D70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7644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0142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A1AD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A82F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1436A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219B4CF">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85D2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36E8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67A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4B9C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B3D6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7048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0F0F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FE03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D85A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63FE6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F804471">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748AF5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9B78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CAD9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B9B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AC63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FE37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8C10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873E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496B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113ED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4B6AF8F">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37EDC3C">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CEFA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647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318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68C9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7135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CA8F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DD3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A1AB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4DE6D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4F18846">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21482DB">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12E0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1290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A72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7430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4819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AAB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636F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F80D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18E88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C3A37CE">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209FF53">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74EE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70981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14C36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684B0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0AC8C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638AAB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730F8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c>
          <w:tcPr>
            <w:tcW w:w="714" w:type="dxa"/>
            <w:tcBorders>
              <w:top w:val="nil"/>
              <w:left w:val="nil"/>
              <w:bottom w:val="single" w:color="auto" w:sz="8" w:space="0"/>
              <w:right w:val="single" w:color="auto" w:sz="8" w:space="0"/>
            </w:tcBorders>
            <w:noWrap w:val="0"/>
            <w:tcMar>
              <w:left w:w="57" w:type="dxa"/>
              <w:right w:w="57" w:type="dxa"/>
            </w:tcMar>
            <w:vAlign w:val="top"/>
          </w:tcPr>
          <w:p w14:paraId="0D2B1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tc>
      </w:tr>
      <w:tr w14:paraId="5EB340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F9416EB">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7FE13E3">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BDB1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14872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2A783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7427F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42777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27E53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7C3F6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73014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CAB48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F647775">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18338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6616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4747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AC3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AC7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BE2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B26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60D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0E26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12931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FF5973C">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6D94A81">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EC94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7DEE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4E0C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E296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52E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3891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F881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4B2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06A494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5D4B83C">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EA33411">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719A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CFD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69D6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058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121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2E5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3A13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616B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79CFCE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8FD126E">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E2BB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6D21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C8E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CB4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29D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6D0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911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BF59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24</w:t>
            </w:r>
          </w:p>
        </w:tc>
      </w:tr>
      <w:tr w14:paraId="485DE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AC85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14:paraId="0D140570">
            <w:pPr>
              <w:jc w:val="center"/>
              <w:rPr>
                <w:rFonts w:hint="eastAsia" w:ascii="宋体" w:eastAsia="宋体"/>
                <w:sz w:val="24"/>
                <w:szCs w:val="24"/>
                <w:lang w:val="en-US" w:eastAsia="zh-CN"/>
              </w:rPr>
            </w:pPr>
            <w:r>
              <w:rPr>
                <w:rFonts w:hint="eastAsia" w:ascii="宋体"/>
                <w:sz w:val="24"/>
                <w:szCs w:val="24"/>
                <w:lang w:val="en-US" w:eastAsia="zh-CN"/>
              </w:rPr>
              <w:t>1</w:t>
            </w:r>
          </w:p>
        </w:tc>
        <w:tc>
          <w:tcPr>
            <w:tcW w:w="0" w:type="auto"/>
            <w:tcBorders>
              <w:top w:val="outset" w:color="auto" w:sz="6" w:space="0"/>
              <w:left w:val="nil"/>
              <w:bottom w:val="outset" w:color="auto" w:sz="6" w:space="0"/>
              <w:right w:val="outset" w:color="auto" w:sz="6" w:space="0"/>
            </w:tcBorders>
            <w:noWrap w:val="0"/>
            <w:vAlign w:val="center"/>
          </w:tcPr>
          <w:p w14:paraId="0F4E82A9">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0352BDC6">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67D749CC">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1F3F6072">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196BD464">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116BE5AB">
            <w:pPr>
              <w:jc w:val="center"/>
              <w:rPr>
                <w:rFonts w:hint="eastAsia" w:ascii="宋体" w:eastAsia="宋体"/>
                <w:sz w:val="24"/>
                <w:szCs w:val="24"/>
                <w:lang w:val="en-US" w:eastAsia="zh-CN"/>
              </w:rPr>
            </w:pPr>
            <w:r>
              <w:rPr>
                <w:rFonts w:hint="eastAsia" w:ascii="宋体"/>
                <w:sz w:val="24"/>
                <w:szCs w:val="24"/>
                <w:lang w:val="en-US" w:eastAsia="zh-CN"/>
              </w:rPr>
              <w:t>1</w:t>
            </w:r>
          </w:p>
        </w:tc>
      </w:tr>
    </w:tbl>
    <w:p w14:paraId="6AFF13A2">
      <w:pPr>
        <w:pStyle w:val="2"/>
        <w:numPr>
          <w:ilvl w:val="0"/>
          <w:numId w:val="0"/>
        </w:numPr>
        <w:ind w:leftChars="200"/>
        <w:rPr>
          <w:rFonts w:hint="eastAsia"/>
        </w:rPr>
      </w:pPr>
    </w:p>
    <w:p w14:paraId="204D11E6">
      <w:pPr>
        <w:pStyle w:val="2"/>
        <w:numPr>
          <w:ilvl w:val="0"/>
          <w:numId w:val="0"/>
        </w:numPr>
        <w:ind w:leftChars="200"/>
        <w:rPr>
          <w:rFonts w:hint="eastAsia"/>
        </w:rPr>
      </w:pPr>
    </w:p>
    <w:p w14:paraId="1B02115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45359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6ECA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5B77A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11ECA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74EFD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CD4E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91B2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3032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E34C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B7EA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5DE89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4160E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8D691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8690C3">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39BC837">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C42F3F">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008774">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630A1A">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0E9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976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A54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707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40F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7FE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F8A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37C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2C4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BAF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005D8B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B72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F26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655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029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37E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1F36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C64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0C2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6F3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29F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663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C66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1F0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F32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E78FE3">
            <w:pPr>
              <w:jc w:val="center"/>
              <w:rPr>
                <w:rFonts w:hint="eastAsia" w:ascii="宋体" w:eastAsia="宋体"/>
                <w:sz w:val="24"/>
                <w:szCs w:val="24"/>
                <w:lang w:val="en-US" w:eastAsia="zh-CN"/>
              </w:rPr>
            </w:pPr>
            <w:r>
              <w:rPr>
                <w:rFonts w:hint="eastAsia" w:ascii="宋体"/>
                <w:sz w:val="24"/>
                <w:szCs w:val="24"/>
                <w:lang w:val="en-US" w:eastAsia="zh-CN"/>
              </w:rPr>
              <w:t>0</w:t>
            </w:r>
          </w:p>
        </w:tc>
      </w:tr>
    </w:tbl>
    <w:p w14:paraId="5D64131A">
      <w:pPr>
        <w:keepNext w:val="0"/>
        <w:keepLines w:val="0"/>
        <w:widowControl/>
        <w:suppressLineNumbers w:val="0"/>
        <w:jc w:val="left"/>
      </w:pPr>
    </w:p>
    <w:p w14:paraId="37795433">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74FB9D10">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区</w:t>
      </w:r>
      <w:r>
        <w:rPr>
          <w:rFonts w:hint="eastAsia" w:ascii="仿宋_GB2312" w:hAnsi="宋体" w:eastAsia="仿宋_GB2312" w:cs="宋体"/>
          <w:spacing w:val="8"/>
          <w:kern w:val="0"/>
          <w:sz w:val="32"/>
          <w:szCs w:val="32"/>
          <w:lang w:eastAsia="zh-CN"/>
        </w:rPr>
        <w:t>国动</w:t>
      </w:r>
      <w:r>
        <w:rPr>
          <w:rFonts w:hint="eastAsia" w:ascii="仿宋_GB2312" w:hAnsi="宋体" w:eastAsia="仿宋_GB2312" w:cs="宋体"/>
          <w:spacing w:val="8"/>
          <w:kern w:val="0"/>
          <w:sz w:val="32"/>
          <w:szCs w:val="32"/>
        </w:rPr>
        <w:t>办政府信息公开工作存在的问题包括：一是公开信息的时效性</w:t>
      </w:r>
      <w:r>
        <w:rPr>
          <w:rFonts w:hint="eastAsia" w:ascii="仿宋_GB2312" w:hAnsi="宋体" w:eastAsia="仿宋_GB2312" w:cs="宋体"/>
          <w:spacing w:val="8"/>
          <w:kern w:val="0"/>
          <w:sz w:val="32"/>
          <w:szCs w:val="32"/>
          <w:lang w:eastAsia="zh-CN"/>
        </w:rPr>
        <w:t>欠缺</w:t>
      </w:r>
      <w:r>
        <w:rPr>
          <w:rFonts w:hint="eastAsia" w:ascii="仿宋_GB2312" w:hAnsi="宋体" w:eastAsia="仿宋_GB2312" w:cs="宋体"/>
          <w:spacing w:val="8"/>
          <w:kern w:val="0"/>
          <w:sz w:val="32"/>
          <w:szCs w:val="32"/>
        </w:rPr>
        <w:t>;二是主动公开政府信息的数量还需要增加，公开的内容需要进一步细化;三是宣传和引导工作需要进一步加强，提升政府信息公开工作的认识程度，满足群众对政府信息的需求。</w:t>
      </w:r>
    </w:p>
    <w:p w14:paraId="2CED18CC">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针对上述问题我们有以下几点改进措施：一是加强信息公开负责部门及负责人与机关内部各科室、中心之间联系，及时将各科室、中心生成的信息发布，尽量做到信息生成与发布保持同步，进一步提高信息公开实效性;二是进一步扩大信息公开的范围，除正式文件外，其他由本单位生成的对社会公众有指导或帮助意义的信息也要纳入信息公开的范畴之中予以发布;三是加大对信息公开工作的宣传力度，使社会公众对</w:t>
      </w:r>
      <w:r>
        <w:rPr>
          <w:rFonts w:hint="eastAsia" w:ascii="仿宋_GB2312" w:hAnsi="宋体" w:eastAsia="仿宋_GB2312" w:cs="宋体"/>
          <w:spacing w:val="8"/>
          <w:kern w:val="0"/>
          <w:sz w:val="32"/>
          <w:szCs w:val="32"/>
          <w:lang w:eastAsia="zh-CN"/>
        </w:rPr>
        <w:t>国防动员</w:t>
      </w:r>
      <w:r>
        <w:rPr>
          <w:rFonts w:hint="eastAsia" w:ascii="仿宋_GB2312" w:hAnsi="宋体" w:eastAsia="仿宋_GB2312" w:cs="宋体"/>
          <w:spacing w:val="8"/>
          <w:kern w:val="0"/>
          <w:sz w:val="32"/>
          <w:szCs w:val="32"/>
        </w:rPr>
        <w:t>工作有进一步的了解和更深的认识</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继续坚持政府信息公开值班制度，及时处理网上留言、咨询和相关申请工作，为广大人民群众服好务。</w:t>
      </w:r>
    </w:p>
    <w:p w14:paraId="4FC0DEF4">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下一步，区</w:t>
      </w:r>
      <w:r>
        <w:rPr>
          <w:rFonts w:hint="eastAsia" w:ascii="仿宋_GB2312" w:hAnsi="宋体" w:eastAsia="仿宋_GB2312" w:cs="宋体"/>
          <w:spacing w:val="8"/>
          <w:kern w:val="0"/>
          <w:sz w:val="32"/>
          <w:szCs w:val="32"/>
          <w:lang w:eastAsia="zh-CN"/>
        </w:rPr>
        <w:t>国动办</w:t>
      </w:r>
      <w:r>
        <w:rPr>
          <w:rFonts w:hint="eastAsia" w:ascii="仿宋_GB2312" w:hAnsi="宋体" w:eastAsia="仿宋_GB2312" w:cs="宋体"/>
          <w:spacing w:val="8"/>
          <w:kern w:val="0"/>
          <w:sz w:val="32"/>
          <w:szCs w:val="32"/>
        </w:rPr>
        <w:t>将不断推进</w:t>
      </w:r>
      <w:r>
        <w:rPr>
          <w:rFonts w:hint="eastAsia" w:ascii="仿宋_GB2312" w:hAnsi="宋体" w:eastAsia="仿宋_GB2312" w:cs="宋体"/>
          <w:spacing w:val="8"/>
          <w:kern w:val="0"/>
          <w:sz w:val="32"/>
          <w:szCs w:val="32"/>
          <w:lang w:eastAsia="zh-CN"/>
        </w:rPr>
        <w:t>开展</w:t>
      </w:r>
      <w:r>
        <w:rPr>
          <w:rFonts w:hint="eastAsia" w:ascii="仿宋_GB2312" w:hAnsi="宋体" w:eastAsia="仿宋_GB2312" w:cs="宋体"/>
          <w:spacing w:val="8"/>
          <w:kern w:val="0"/>
          <w:sz w:val="32"/>
          <w:szCs w:val="32"/>
        </w:rPr>
        <w:t>政府信息公开工作</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进一步加强和完善政府信息公开管理制度，规范政府信息公开工作流程</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继续完善和充实政府信息公开内容，及时根据情况变化调整信息公开内容，确保准确、全面、及时。</w:t>
      </w:r>
    </w:p>
    <w:p w14:paraId="420C8FCA">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1ABFA6E0">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年，发出收费通知的件数和总金额以及实际收取的总金额均为0。</w:t>
      </w:r>
    </w:p>
    <w:p w14:paraId="58997C6B">
      <w:pPr>
        <w:pStyle w:val="2"/>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本报告中所列数据的统计期限自202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年1月1日起，至202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年12月31日止。全文包括202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丰台区国动办政府信息公开工作总体情况，主动公开政府信息情况，依申请公开政府信息情况，因政府信息公开工作被申请行政复议、提起行政诉讼等情况。由于篇幅所限，如对本报告有任何疑问，请与丰台区国防动员办公室综合科联系（地址：北京市丰台区南四环西路188号16区10号楼；邮编：100070；电话：57900600、57900666；电子邮箱：rfbzhk@mail.bjft.gov.cn。)</w:t>
      </w:r>
    </w:p>
    <w:p w14:paraId="49D87E14">
      <w:pPr>
        <w:pStyle w:val="2"/>
        <w:spacing w:line="560" w:lineRule="exact"/>
        <w:rPr>
          <w:rFonts w:hint="eastAsia" w:ascii="仿宋_GB2312" w:hAnsi="宋体" w:eastAsia="仿宋_GB2312" w:cs="宋体"/>
          <w:spacing w:val="8"/>
          <w:kern w:val="0"/>
          <w:sz w:val="32"/>
          <w:szCs w:val="32"/>
        </w:rPr>
      </w:pPr>
    </w:p>
    <w:p w14:paraId="28FD141D">
      <w:pPr>
        <w:pStyle w:val="2"/>
        <w:spacing w:line="560" w:lineRule="exact"/>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rPr>
        <w:t>丰台区人民政府门户网站网址为www.bjft.gov.cn，如需了解更多政府信息，请登录查询。</w:t>
      </w:r>
      <w:bookmarkStart w:id="0" w:name="_GoBack"/>
      <w:bookmarkEnd w:id="0"/>
    </w:p>
    <w:p w14:paraId="7A950AF7">
      <w:pPr>
        <w:pStyle w:val="2"/>
        <w:spacing w:line="560" w:lineRule="exact"/>
        <w:rPr>
          <w:rFonts w:hint="eastAsia"/>
          <w:highlight w:val="none"/>
        </w:rPr>
      </w:pPr>
    </w:p>
    <w:p w14:paraId="0CFE626D">
      <w:pPr>
        <w:pStyle w:val="2"/>
        <w:spacing w:line="560" w:lineRule="exact"/>
        <w:rPr>
          <w:rFonts w:hint="eastAsia"/>
          <w:highlight w:val="none"/>
        </w:rPr>
      </w:pPr>
    </w:p>
    <w:p w14:paraId="61E90B94">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043D55DA">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27CDED8A">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7CAF2E34">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3514A3D"/>
    <w:rsid w:val="0889311C"/>
    <w:rsid w:val="12D62A33"/>
    <w:rsid w:val="25691855"/>
    <w:rsid w:val="27F72836"/>
    <w:rsid w:val="2FB5386F"/>
    <w:rsid w:val="33FD1455"/>
    <w:rsid w:val="61FC300A"/>
    <w:rsid w:val="6554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Words>
  <Characters>295</Characters>
  <Lines>0</Lines>
  <Paragraphs>0</Paragraphs>
  <TotalTime>1290</TotalTime>
  <ScaleCrop>false</ScaleCrop>
  <LinksUpToDate>false</LinksUpToDate>
  <CharactersWithSpaces>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WPS_1508309126</cp:lastModifiedBy>
  <dcterms:modified xsi:type="dcterms:W3CDTF">2025-01-10T03:00:21Z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6875E895816C4DC79A3DCE4CEC33A7CE</vt:lpwstr>
  </property>
</Properties>
</file>