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丰台区国防动员办公室政府信息主动公开清单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31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400"/>
        <w:gridCol w:w="1596"/>
        <w:gridCol w:w="1692"/>
        <w:gridCol w:w="3960"/>
        <w:gridCol w:w="1572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具体职责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业务事项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内容标准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承担机关及所属单位的人事、机构编制等工作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基本信息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机构信息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【机构名称】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【联系方式】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 网址 办公电话 传真 电子邮箱 通信地址 邮政编码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【咨询服务】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咨询方式 受理时间 受理部门 联系电话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【监督投诉】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投诉方式 受理部门 受理时间 联系电话 通讯地址 邮政编码 电子邮箱 程序标准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承担机关及所属单位的人事、机构编制等工作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法定职责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依据“三定”方案及职责调整情况确定的本部门最新法定职责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承担机关及所属单位的人事、机构编制等工作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领导简历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【基本信息】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领导姓名 职务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【个人基本信息】出生年份 性别 民族 学历背景 职称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【工作分工】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【标准工作照】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承担机关及所属单位的人事、机构编制等工作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【内设机构名称】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【职　　责】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【联系方式】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  传真 电子邮箱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承担机关及所属单位的人事、机构编制等工作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【单位名称】【单位类别】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【单位职责】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【联系方式】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 网址 办公电话  传真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 通信地址 邮政编码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政务信息公开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年报目录指南流程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信息公开指南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政府信息公开指南全文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信息公开目录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年度政府信息公开目录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信息公开年度工作报告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【主动公开数据】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【依申请公开数据】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信访受理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信访管理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宣传动态信息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宣传活动时间、地点、参与人员、宣传效果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相关政策、法规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全文公开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联系电话、邮箱、地址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制定本市人防工程突发事件应急预案，并组织应急演练；负责人防应急救援队伍、应急避难场所的建设、管理；会同有关部门建设、管理应急物资储备场所；承担北京市人防工程事故应急指挥部的具体工作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人防工程应急预案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人防应急预案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全文公开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人防工程应急避难场所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人防应急避难场所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人防应急避难场所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负责人防警报器拆除行政许可审批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对人防警报器的拆除申请进行审批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行政审批结果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【事项结果】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参与本区新建人防工程的建设规划，负责本区新建人防工程的竣工验收备案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新建人防工程的竣工验收备案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行政审批结果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【行政许可决定书文号】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【项目名称】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【审批类别】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【许可内容】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【行政相对人名称】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【许可决定日期】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【许可机关】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【当前状态】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【地方编码】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【数据更新时间戳】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7个工作日内公开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本区人防工程改造、拆除和平时开发利用的行政许可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人防工程改造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行政审批结果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【行政许可决定书文号】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【项目名称】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【审批类别】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【许可内容】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【行政相对人名称】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【许可决定日期】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【许可机关】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【当前状态】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【地方编码】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【数据更新时间戳】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7个工作日内公开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人防工程拆除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行政审批结果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【行政许可决定书文号】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【项目名称】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【审批类别】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【许可内容】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【行政相对人名称】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【许可决定日期】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【许可机关】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【当前状态】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【地方编码】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【数据更新时间戳】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7个工作日内公开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人防工程平时开发利用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行政审批结果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【行政许可决定书文号】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【项目名称】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【审批类别】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【许可内容】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【行政相对人名称】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【许可决定日期】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【许可机关】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【当前状态】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【地方编码】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【数据更新时间戳】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7个工作日内公开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负责本机关依法行政推进工作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法律依据梳理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法律、法规、政策文件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【依据名称】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【制定机关】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【实施时间】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按需要公开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行政职权梳理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权力清单目录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【事项名称】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【设定依据】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【实施科室】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【工作环节和应尽责任】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【监督电话】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【流程图】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15个工作日内公开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85" cy="9525"/>
                  <wp:effectExtent l="0" t="0" r="0" b="0"/>
                  <wp:wrapNone/>
                  <wp:docPr id="8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_SpCnt_1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法律依据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9525"/>
                  <wp:effectExtent l="0" t="0" r="0" b="0"/>
                  <wp:wrapNone/>
                  <wp:docPr id="7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_SpCnt_1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行政处罚结果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【依据名称】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【制定机关】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【实施时间】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7个工作日内公开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F1ED6"/>
    <w:rsid w:val="03A44815"/>
    <w:rsid w:val="0962714B"/>
    <w:rsid w:val="0AF40008"/>
    <w:rsid w:val="1BA1166A"/>
    <w:rsid w:val="340A4904"/>
    <w:rsid w:val="343F3055"/>
    <w:rsid w:val="382A2DCC"/>
    <w:rsid w:val="3F69120E"/>
    <w:rsid w:val="42D10E7F"/>
    <w:rsid w:val="582F1ED6"/>
    <w:rsid w:val="5CFC1D91"/>
    <w:rsid w:val="5E33418F"/>
    <w:rsid w:val="612816D9"/>
    <w:rsid w:val="67D80C1C"/>
    <w:rsid w:val="6BE103AE"/>
    <w:rsid w:val="705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C:\Users\XXN\AppData\Local\Temp\ksohtml\clip_image78938.png" TargetMode="External"/><Relationship Id="rId4" Type="http://schemas.openxmlformats.org/officeDocument/2006/relationships/image" Target="file:///C:\Users\XXN\AppData\Local\Temp\ksohtml\clip_image7893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2020-08-20T09:18:00Z</dcterms:created>
  <dc:creator>朱承洁</dc:creator>
  <cp:lastModifiedBy>马新宇</cp:lastModifiedBy>
  <dcterms:modified xsi:type="dcterms:W3CDTF">2024-04-08T01:32:11Z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9678A64B2D9144EEA7B74695D7B14F09</vt:lpwstr>
  </property>
</Properties>
</file>