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bookmarkStart w:id="0" w:name="OLE_LINK1"/>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丰台区信访办公室</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2018年政府信息公开工作年度报告</w:t>
      </w:r>
    </w:p>
    <w:p>
      <w:pPr>
        <w:spacing w:line="560" w:lineRule="exact"/>
        <w:rPr>
          <w:rFonts w:ascii="仿宋_GB2312" w:hAnsi="宋体" w:eastAsia="仿宋_GB2312" w:cs="宋体"/>
          <w:b/>
          <w:kern w:val="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本报告是根据《</w:t>
      </w:r>
      <w:bookmarkStart w:id="1" w:name="_GoBack"/>
      <w:bookmarkEnd w:id="1"/>
      <w:r>
        <w:rPr>
          <w:rFonts w:hint="eastAsia" w:ascii="仿宋_GB2312" w:eastAsia="仿宋_GB2312"/>
          <w:sz w:val="32"/>
          <w:szCs w:val="32"/>
        </w:rPr>
        <w:t>中华人民共和国政府信息公开条例》要求，由丰台区信访办公室编制的2018年度政府信息公开年度报告。</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全文包括概述，本单位落实《丰台区2018年政务公开工作要点》情况，政府信息公开组织机构、制度建设和渠道场所、教育培训等工作情况</w:t>
      </w:r>
      <w:r>
        <w:rPr>
          <w:rFonts w:hint="eastAsia" w:ascii="仿宋_GB2312" w:eastAsia="仿宋_GB2312"/>
          <w:sz w:val="32"/>
          <w:szCs w:val="32"/>
        </w:rPr>
        <w:t>，主动公开政府信息情况，依申请公开政府信息和不予公开政府信息情况，因政府信息公开申请行政复议、提起行政诉讼情况</w:t>
      </w:r>
      <w:r>
        <w:rPr>
          <w:rFonts w:hint="eastAsia" w:ascii="仿宋_GB2312" w:hAnsi="宋体" w:eastAsia="仿宋_GB2312" w:cs="宋体"/>
          <w:kern w:val="0"/>
          <w:sz w:val="32"/>
          <w:szCs w:val="32"/>
        </w:rPr>
        <w:t>，政府信息公开工作存在的主要问题及改进情况等内容。</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本报告中所列数据的统计期限自2018年1月1日起，至2018年12月31日止。本报告电子版可在丰台区信访办公室政府信息公开专栏中下载,下载网址如下：</w:t>
      </w:r>
      <w:r>
        <w:fldChar w:fldCharType="begin"/>
      </w:r>
      <w:r>
        <w:instrText xml:space="preserve"> HYPERLINK "http://www.beijing.gov.cn/zfxxgk/ftq11GG28/zfxxgknb/ft_yjlist.shtml" </w:instrText>
      </w:r>
      <w:r>
        <w:fldChar w:fldCharType="separate"/>
      </w:r>
      <w:r>
        <w:rPr>
          <w:rStyle w:val="11"/>
          <w:rFonts w:hint="eastAsia" w:ascii="仿宋_GB2312" w:hAnsi="宋体" w:eastAsia="仿宋_GB2312" w:cs="宋体"/>
          <w:kern w:val="0"/>
          <w:sz w:val="32"/>
          <w:szCs w:val="32"/>
        </w:rPr>
        <w:t>http://www.beijing.gov.cn/zfxxgk/ftq11GG28/zfxxgknb/ft_yjlist.shtml</w:t>
      </w:r>
      <w:r>
        <w:rPr>
          <w:rStyle w:val="11"/>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如对本报告有任何疑问，请联系丰台区信访办公室（地址：北京市丰台区文体路2号；邮编：100071；联系电话：83656425；电子邮箱：</w:t>
      </w:r>
      <w:r>
        <w:fldChar w:fldCharType="begin"/>
      </w:r>
      <w:r>
        <w:instrText xml:space="preserve"> HYPERLINK "mailto:bjsftqxfb@163.com" </w:instrText>
      </w:r>
      <w:r>
        <w:fldChar w:fldCharType="separate"/>
      </w:r>
      <w:r>
        <w:rPr>
          <w:rFonts w:hint="eastAsia" w:asciiTheme="minorEastAsia" w:hAnsiTheme="minorEastAsia"/>
          <w:sz w:val="32"/>
          <w:szCs w:val="32"/>
        </w:rPr>
        <w:t>bjsftqxfb@163.com</w:t>
      </w:r>
      <w:r>
        <w:rPr>
          <w:rFonts w:hint="eastAsia" w:asciiTheme="minorEastAsia" w:hAnsiTheme="minorEastAsia"/>
          <w:sz w:val="32"/>
          <w:szCs w:val="32"/>
        </w:rPr>
        <w:fldChar w:fldCharType="end"/>
      </w:r>
      <w:r>
        <w:rPr>
          <w:rFonts w:hint="eastAsia" w:ascii="仿宋_GB2312" w:hAnsi="宋体" w:eastAsia="仿宋_GB2312" w:cs="宋体"/>
          <w:kern w:val="0"/>
          <w:sz w:val="32"/>
          <w:szCs w:val="32"/>
        </w:rPr>
        <w:t>）。</w:t>
      </w:r>
    </w:p>
    <w:p>
      <w:pPr>
        <w:spacing w:line="560" w:lineRule="exact"/>
        <w:ind w:firstLine="640" w:firstLineChars="200"/>
        <w:jc w:val="left"/>
        <w:rPr>
          <w:rFonts w:ascii="仿宋_GB2312" w:hAnsi="宋体" w:eastAsia="仿宋_GB2312" w:cs="宋体"/>
          <w:kern w:val="0"/>
          <w:sz w:val="32"/>
          <w:szCs w:val="32"/>
        </w:rPr>
      </w:pPr>
    </w:p>
    <w:p>
      <w:pPr>
        <w:spacing w:line="560" w:lineRule="exact"/>
        <w:ind w:firstLine="640" w:firstLineChars="200"/>
        <w:jc w:val="left"/>
        <w:rPr>
          <w:rFonts w:ascii="仿宋_GB2312" w:hAnsi="宋体" w:eastAsia="仿宋_GB2312" w:cs="宋体"/>
          <w:kern w:val="0"/>
          <w:sz w:val="32"/>
          <w:szCs w:val="32"/>
        </w:rPr>
      </w:pPr>
    </w:p>
    <w:p>
      <w:pPr>
        <w:spacing w:line="560" w:lineRule="exact"/>
        <w:ind w:firstLine="640" w:firstLineChars="200"/>
        <w:jc w:val="lef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宋体"/>
          <w:kern w:val="0"/>
          <w:sz w:val="32"/>
          <w:szCs w:val="32"/>
        </w:rPr>
        <w:t xml:space="preserve">一、概述 </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2018年，丰台区信访办公室贯彻落实《中华人民共和国政府信息公开条例》、《北京市政府信息公开规定》和市、区有关工作要求，</w:t>
      </w:r>
      <w:r>
        <w:rPr>
          <w:rFonts w:hint="eastAsia" w:ascii="仿宋_GB2312" w:hAnsi="宋体" w:eastAsia="仿宋_GB2312" w:cs="宋体"/>
          <w:color w:val="000000"/>
          <w:kern w:val="0"/>
          <w:sz w:val="32"/>
          <w:szCs w:val="28"/>
        </w:rPr>
        <w:t>把政府信息公开工作作为一项重点工作来抓，坚持以“公开为原则，不公开为例外”的总体要求，</w:t>
      </w:r>
      <w:r>
        <w:rPr>
          <w:rFonts w:hint="eastAsia" w:ascii="仿宋_GB2312" w:hAnsi="宋体" w:eastAsia="仿宋_GB2312" w:cs="宋体"/>
          <w:kern w:val="0"/>
          <w:sz w:val="32"/>
          <w:szCs w:val="32"/>
        </w:rPr>
        <w:t xml:space="preserve">有序推进政府信息公开工作。                                                                                                                                                                                                                                                                                                                                                                                                                                                                                                                                                                                                                                                                                                                                                                                                                                                                                                                                                                                                                                                                                                                                                                                                                                                                                                                                                                                                                                                                                                                                                                                                                                                                                                                                                                                   </w:t>
      </w:r>
    </w:p>
    <w:p>
      <w:pPr>
        <w:pStyle w:val="15"/>
        <w:numPr>
          <w:ilvl w:val="0"/>
          <w:numId w:val="1"/>
        </w:numPr>
        <w:spacing w:line="560" w:lineRule="exact"/>
        <w:ind w:firstLineChars="0"/>
        <w:rPr>
          <w:rFonts w:ascii="黑体" w:hAnsi="黑体" w:eastAsia="黑体" w:cs="宋体"/>
          <w:kern w:val="0"/>
          <w:sz w:val="32"/>
          <w:szCs w:val="32"/>
        </w:rPr>
      </w:pPr>
      <w:r>
        <w:rPr>
          <w:rFonts w:hint="eastAsia" w:ascii="黑体" w:hAnsi="黑体" w:eastAsia="黑体" w:cs="宋体"/>
          <w:kern w:val="0"/>
          <w:sz w:val="32"/>
          <w:szCs w:val="32"/>
        </w:rPr>
        <w:t>落实2018年政务公开工作要求的情况</w:t>
      </w:r>
    </w:p>
    <w:p>
      <w:pPr>
        <w:spacing w:line="50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区信访办根据《北京市丰台区2018年政务公开工作要点》内容要求，认真落实本单位政务公开工作。</w:t>
      </w:r>
    </w:p>
    <w:p>
      <w:pPr>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为认真抓实政府信息公开工作，我办成立政府信息公开领导小组，主任任组长，副主任任成员，办公室为工作机构，并由3名人员兼职负责政府信息公开日常管理。</w:t>
      </w:r>
      <w:r>
        <w:rPr>
          <w:rFonts w:hint="eastAsia" w:ascii="仿宋_GB2312" w:hAnsi="宋体" w:eastAsia="仿宋_GB2312" w:cs="宋体"/>
          <w:kern w:val="0"/>
          <w:sz w:val="32"/>
          <w:szCs w:val="32"/>
        </w:rPr>
        <w:t xml:space="preserve">加强组织领导，明确职责分工，将政府信息公开工作落实到具体科室和个人，确保工作要求的有效落实。健全信息发布机制，通过网站和头条号等渠道进行公开。以接访大厅为依托，向申请人提供信息公开申请及查阅场所。依据《条例》和区政府信息公开办的各项工作要求在政府信息主动公开过程中，严格按照“先审查、后公开”的规范程序做好政府信息保密审查和审批发布工作。加强责任落实，制定内部信息工作规定，做好政府信息主动公开工作；借鉴典型经验做法，做好政府信息依申请公开工作；积极参与各类政府信息公开培训，提高政府信息公开工作人员业务素质。 </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三、政府信息主动公开情况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2018年，主动公开政府信息75条。</w:t>
      </w:r>
      <w:r>
        <w:rPr>
          <w:rFonts w:hint="eastAsia" w:ascii="仿宋_GB2312" w:hAnsi="华文中宋" w:eastAsia="仿宋_GB2312"/>
          <w:snapToGrid w:val="0"/>
          <w:kern w:val="0"/>
          <w:sz w:val="32"/>
          <w:szCs w:val="32"/>
        </w:rPr>
        <w:t>其中，工作动态类信息73条，重点领域信息2条。</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四、政府信息依申请公开情况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2018年，受理政府信息依申请公开申请14件（其中当面申请0件，传真申请0件，网络申请2件，信函申请12件）。当年办结11件（其中按时办结9件，延期办结2件），结转办理 3件。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答复11件（其中属于已主动公开范围0件，同意公开答复1件，同意部分公开答复0件，不同意公开答复0件，不属于本行政机关公开0件，申请信息不存在4件，告知作出更改补充数0件，告知通过其他途径办理6件）。</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五、行政复议、行政诉讼情况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2018年，未发生因政府信息公开引发的行政诉讼和行政复议案件，未接到与政府信息公开有关的投诉举报。</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六、政府信息公开收费及免除费用情况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2018年，未收取信息公开费用。</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七、不足及改进措施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政府信息公开工作存在的不足有：</w:t>
      </w:r>
    </w:p>
    <w:p>
      <w:pPr>
        <w:spacing w:line="560" w:lineRule="exact"/>
        <w:ind w:firstLine="640"/>
        <w:rPr>
          <w:rFonts w:ascii="仿宋_GB2312" w:eastAsia="仿宋_GB2312"/>
          <w:sz w:val="32"/>
          <w:szCs w:val="32"/>
        </w:rPr>
      </w:pPr>
      <w:r>
        <w:rPr>
          <w:rFonts w:hint="eastAsia" w:ascii="楷体_GB2312" w:eastAsia="楷体_GB2312"/>
          <w:kern w:val="0"/>
          <w:sz w:val="32"/>
          <w:szCs w:val="32"/>
        </w:rPr>
        <w:t>（一）内容单薄。</w:t>
      </w:r>
      <w:r>
        <w:rPr>
          <w:rFonts w:hint="eastAsia" w:ascii="仿宋_GB2312" w:eastAsia="仿宋_GB2312"/>
          <w:kern w:val="0"/>
          <w:sz w:val="32"/>
          <w:szCs w:val="32"/>
        </w:rPr>
        <w:t>主动公开政府信息的内容不够丰富，篇幅相对较短，未体现出信访工作的整体情况</w:t>
      </w:r>
      <w:r>
        <w:rPr>
          <w:rFonts w:hint="eastAsia" w:ascii="仿宋_GB2312" w:eastAsia="仿宋_GB2312"/>
          <w:sz w:val="32"/>
          <w:szCs w:val="32"/>
        </w:rPr>
        <w:t>，撰写能力需要进一步提高。</w:t>
      </w:r>
    </w:p>
    <w:p>
      <w:pPr>
        <w:spacing w:line="560" w:lineRule="exact"/>
        <w:ind w:firstLine="640"/>
        <w:rPr>
          <w:rFonts w:ascii="仿宋_GB2312" w:eastAsia="仿宋_GB2312"/>
          <w:kern w:val="0"/>
          <w:sz w:val="32"/>
          <w:szCs w:val="32"/>
        </w:rPr>
      </w:pPr>
      <w:r>
        <w:rPr>
          <w:rFonts w:hint="eastAsia" w:ascii="楷体_GB2312" w:eastAsia="楷体_GB2312"/>
          <w:kern w:val="0"/>
          <w:sz w:val="32"/>
          <w:szCs w:val="32"/>
        </w:rPr>
        <w:t>（二）经验不足。</w:t>
      </w:r>
      <w:r>
        <w:rPr>
          <w:rFonts w:hint="eastAsia" w:ascii="仿宋_GB2312" w:eastAsia="仿宋_GB2312"/>
          <w:kern w:val="0"/>
          <w:sz w:val="32"/>
          <w:szCs w:val="32"/>
        </w:rPr>
        <w:t>信息公开工作人员需进一步提高业务素质，克服经验不足、对政府信息的范畴把握不到位的短板，加强自身知识的储备，多积累经典案例。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w:t>
      </w:r>
      <w:r>
        <w:rPr>
          <w:rFonts w:hint="eastAsia" w:ascii="仿宋_GB2312" w:eastAsia="仿宋_GB2312"/>
          <w:kern w:val="0"/>
          <w:sz w:val="32"/>
          <w:szCs w:val="32"/>
        </w:rPr>
        <w:t>丰台区信访办公室将继续落实区政府信息公开办的工作要求和部署。</w:t>
      </w:r>
      <w:r>
        <w:rPr>
          <w:rFonts w:hint="eastAsia" w:ascii="仿宋_GB2312" w:eastAsia="仿宋_GB2312"/>
          <w:sz w:val="32"/>
          <w:szCs w:val="32"/>
        </w:rPr>
        <w:t>重点做好以下工作：</w:t>
      </w:r>
    </w:p>
    <w:p>
      <w:pPr>
        <w:spacing w:line="560" w:lineRule="exact"/>
        <w:ind w:firstLine="640" w:firstLineChars="200"/>
        <w:rPr>
          <w:rFonts w:ascii="仿宋_GB2312" w:eastAsia="仿宋_GB2312"/>
          <w:sz w:val="32"/>
          <w:szCs w:val="32"/>
        </w:rPr>
      </w:pPr>
      <w:r>
        <w:rPr>
          <w:rFonts w:hint="eastAsia" w:ascii="楷体_GB2312" w:eastAsia="楷体_GB2312"/>
          <w:kern w:val="0"/>
          <w:sz w:val="32"/>
          <w:szCs w:val="32"/>
        </w:rPr>
        <w:t>（一）加强学习。</w:t>
      </w:r>
      <w:r>
        <w:rPr>
          <w:rFonts w:hint="eastAsia" w:ascii="仿宋_GB2312" w:eastAsia="仿宋_GB2312"/>
          <w:kern w:val="0"/>
          <w:sz w:val="32"/>
          <w:szCs w:val="32"/>
        </w:rPr>
        <w:t>提高政府信息写作能力和公开质量。</w:t>
      </w:r>
    </w:p>
    <w:p>
      <w:pPr>
        <w:spacing w:line="560" w:lineRule="exact"/>
        <w:ind w:firstLine="640" w:firstLineChars="200"/>
        <w:rPr>
          <w:rFonts w:ascii="仿宋_GB2312" w:hAnsi="Calibri" w:eastAsia="仿宋_GB2312" w:cs="Times New Roman"/>
          <w:sz w:val="32"/>
          <w:szCs w:val="32"/>
        </w:rPr>
      </w:pPr>
      <w:r>
        <w:rPr>
          <w:rFonts w:hint="eastAsia" w:ascii="楷体_GB2312" w:eastAsia="楷体_GB2312"/>
          <w:kern w:val="0"/>
          <w:sz w:val="32"/>
          <w:szCs w:val="32"/>
        </w:rPr>
        <w:t>（二）提升业务。</w:t>
      </w:r>
      <w:r>
        <w:rPr>
          <w:rFonts w:hint="eastAsia" w:ascii="仿宋_GB2312" w:eastAsia="仿宋_GB2312"/>
          <w:kern w:val="0"/>
          <w:sz w:val="32"/>
          <w:szCs w:val="32"/>
        </w:rPr>
        <w:t>结</w:t>
      </w:r>
      <w:r>
        <w:rPr>
          <w:rFonts w:hint="eastAsia" w:ascii="仿宋_GB2312" w:hAnsi="Calibri" w:eastAsia="仿宋_GB2312" w:cs="Times New Roman"/>
          <w:sz w:val="32"/>
          <w:szCs w:val="32"/>
        </w:rPr>
        <w:t>合政府信息公开规定学习研究典型政府信息依申请公开案例，把握政府信息范畴，提高依申请公开业务能力。</w:t>
      </w:r>
    </w:p>
    <w:p>
      <w:pPr>
        <w:spacing w:line="560" w:lineRule="exact"/>
        <w:ind w:firstLine="640" w:firstLineChars="200"/>
        <w:rPr>
          <w:rFonts w:ascii="仿宋_GB2312" w:eastAsia="仿宋_GB2312"/>
          <w:sz w:val="32"/>
          <w:szCs w:val="32"/>
        </w:rPr>
      </w:pPr>
    </w:p>
    <w:p>
      <w:pPr>
        <w:spacing w:line="560" w:lineRule="exact"/>
      </w:pPr>
    </w:p>
    <w:p>
      <w:pPr>
        <w:spacing w:line="560" w:lineRule="exact"/>
        <w:ind w:firstLine="4480" w:firstLineChars="1400"/>
        <w:jc w:val="right"/>
        <w:rPr>
          <w:rFonts w:ascii="仿宋_GB2312" w:eastAsia="仿宋_GB2312"/>
          <w:sz w:val="32"/>
          <w:szCs w:val="32"/>
        </w:rPr>
      </w:pPr>
      <w:r>
        <w:rPr>
          <w:rFonts w:hint="eastAsia" w:ascii="仿宋_GB2312" w:eastAsia="仿宋_GB2312"/>
          <w:sz w:val="32"/>
          <w:szCs w:val="32"/>
        </w:rPr>
        <w:t>丰台区信访办公室</w:t>
      </w:r>
    </w:p>
    <w:p>
      <w:pPr>
        <w:spacing w:line="560" w:lineRule="exact"/>
        <w:ind w:firstLine="6240" w:firstLineChars="1950"/>
        <w:rPr>
          <w:rFonts w:ascii="仿宋_GB2312" w:eastAsia="仿宋_GB2312"/>
          <w:sz w:val="32"/>
          <w:szCs w:val="32"/>
        </w:rPr>
      </w:pPr>
      <w:r>
        <w:rPr>
          <w:rFonts w:hint="eastAsia" w:ascii="仿宋_GB2312" w:eastAsia="仿宋_GB2312"/>
          <w:sz w:val="32"/>
          <w:szCs w:val="32"/>
        </w:rPr>
        <w:t>2019年3月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附表：</w:t>
      </w:r>
    </w:p>
    <w:p>
      <w:pPr>
        <w:spacing w:line="560" w:lineRule="exact"/>
        <w:rPr>
          <w:rFonts w:hint="eastAsia" w:ascii="仿宋_GB2312" w:eastAsia="仿宋_GB2312"/>
          <w:sz w:val="32"/>
          <w:szCs w:val="32"/>
        </w:rPr>
      </w:pPr>
    </w:p>
    <w:p>
      <w:pPr>
        <w:spacing w:line="560" w:lineRule="exa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政府信息公开情况统计表</w:t>
      </w:r>
    </w:p>
    <w:p>
      <w:pPr>
        <w:spacing w:line="560" w:lineRule="exa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（2018年度）</w:t>
      </w:r>
    </w:p>
    <w:p>
      <w:pPr>
        <w:spacing w:line="560" w:lineRule="exact"/>
        <w:rPr>
          <w:rFonts w:ascii="宋体" w:hAnsi="宋体" w:eastAsia="宋体" w:cs="宋体"/>
          <w:b/>
          <w:bCs/>
          <w:kern w:val="0"/>
          <w:sz w:val="24"/>
          <w:szCs w:val="24"/>
        </w:rPr>
      </w:pPr>
      <w:r>
        <w:rPr>
          <w:rFonts w:hint="eastAsia" w:ascii="宋体" w:hAnsi="宋体" w:eastAsia="宋体" w:cs="宋体"/>
          <w:b/>
          <w:bCs/>
          <w:kern w:val="0"/>
          <w:sz w:val="24"/>
          <w:szCs w:val="24"/>
        </w:rPr>
        <w:t>填报单位：北京市丰台区信访办公室</w:t>
      </w:r>
    </w:p>
    <w:tbl>
      <w:tblPr>
        <w:tblStyle w:val="7"/>
        <w:tblW w:w="9632" w:type="dxa"/>
        <w:jc w:val="center"/>
        <w:tblLayout w:type="fixed"/>
        <w:tblCellMar>
          <w:top w:w="0" w:type="dxa"/>
          <w:left w:w="108" w:type="dxa"/>
          <w:bottom w:w="0" w:type="dxa"/>
          <w:right w:w="108" w:type="dxa"/>
        </w:tblCellMar>
      </w:tblPr>
      <w:tblGrid>
        <w:gridCol w:w="7464"/>
        <w:gridCol w:w="1134"/>
        <w:gridCol w:w="1034"/>
      </w:tblGrid>
      <w:tr>
        <w:tblPrEx>
          <w:tblCellMar>
            <w:top w:w="0" w:type="dxa"/>
            <w:left w:w="108" w:type="dxa"/>
            <w:bottom w:w="0" w:type="dxa"/>
            <w:right w:w="108" w:type="dxa"/>
          </w:tblCellMar>
        </w:tblPrEx>
        <w:trPr>
          <w:trHeight w:val="435" w:hRule="atLeast"/>
          <w:jc w:val="center"/>
        </w:trPr>
        <w:tc>
          <w:tcPr>
            <w:tcW w:w="7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统 计 指 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单位</w:t>
            </w:r>
          </w:p>
        </w:tc>
        <w:tc>
          <w:tcPr>
            <w:tcW w:w="1034" w:type="dxa"/>
            <w:tcBorders>
              <w:top w:val="single" w:color="000000" w:sz="4" w:space="0"/>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统计数</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 一、主动公开情况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nil"/>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  （一）主动公开政府信息数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75</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    （不同渠道和方式公开相同信息计1条）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     其中：主动公开规范性文件数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        制发规范性文件总数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nil"/>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  （二）重点领域公开政府信息数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    （不同渠道和方式公开相同信息计1条）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     其中：主动公开财政预算决算、</w:t>
            </w:r>
            <w:r>
              <w:rPr>
                <w:rFonts w:hint="eastAsia" w:ascii="宋体" w:hAnsi="宋体" w:eastAsia="宋体" w:cs="宋体"/>
                <w:kern w:val="0"/>
                <w:sz w:val="22"/>
                <w:lang w:eastAsia="zh-CN"/>
              </w:rPr>
              <w:t>“三公”经费</w:t>
            </w:r>
            <w:r>
              <w:rPr>
                <w:rFonts w:hint="eastAsia" w:ascii="宋体" w:hAnsi="宋体" w:eastAsia="宋体" w:cs="宋体"/>
                <w:kern w:val="0"/>
                <w:sz w:val="22"/>
              </w:rPr>
              <w:t>和行政经费信息数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        主动公开保障性安居工程建设计划、项目开工和竣工情况，保障性住房的分配和退出等信息数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        主动公开食品安全标准，食品生产经营许可、专项检查整治等信息数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        主动公开环境核查审批、环境状况公报和重特大突发环境事件等信息数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        主动公开招投标违法违规行为及处理情况、国有资金占控股或者主导地位依法应当招标的项目等信息数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        主动公开生产安全事故的政府举措、处置进展、风险预警、防范措施等信息数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        主动公开农用地转为建设用地批准、征收集体土地批准征地公告、征地补偿安置公示、集体土地征收结案等信息数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        主动公开政府指导价、政府定价和收费标准调整的项目、价格、依据、执行时间和范围等信息数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        主动公开本市企业信用信息系统中的警示信息和良好信息等信息数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        主动公开政府部门预算执行审计结果等信息数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760" w:hanging="1760" w:hangingChars="800"/>
              <w:rPr>
                <w:rFonts w:ascii="宋体" w:hAnsi="宋体" w:eastAsia="宋体" w:cs="宋体"/>
                <w:kern w:val="0"/>
                <w:sz w:val="22"/>
              </w:rPr>
            </w:pPr>
            <w:r>
              <w:rPr>
                <w:rFonts w:hint="eastAsia" w:ascii="宋体" w:hAnsi="宋体" w:eastAsia="宋体" w:cs="宋体"/>
                <w:kern w:val="0"/>
                <w:sz w:val="22"/>
              </w:rPr>
              <w:t>        主动公开行政机关对与人民群众利益密切相关的公共企事业单位进行监督管理的信息数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        主动公开市人民政府决定主动公开的其他信息数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  （三）通过不同渠道和方式公开政府信息的情况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       1.政府公报公开政府信息数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       2.政府网站公开政府信息数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77</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       3.政务微博公开政府信息数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       4.政务微信公开政府信息数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       5.其他方式公开政府信息数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 二、回应解读情况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nil"/>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  （一）回应公众关注热点或重大舆情数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60"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     （不同方式回应同一热点或舆情计1次）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  （二）通过不同渠道和方式回应解读的情况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       1.参加或举办新闻发布会总次数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         其中：主要负责同志参加新闻发布会次数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         其中：主要负责同志参加政府网站在线访谈次数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       3.政策解读稿件发布数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篇</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       4.微博微信回应事件数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       5.其他方式回应事件数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 三、依申请公开情况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  （一）收到申请数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14</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       1.当面申请数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       2.传真申请数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       3.网络申请数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       4.信函申请数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  （二）申请办结数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11</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       1.按时办结数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9</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       2.延期办结数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  （三）申请答复数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11</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       1.属于已主动公开范围数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       3.同意部分公开答复数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       4.不同意公开答复数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         其中：涉及国家秘密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            涉及商业秘密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            涉及个人隐私</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            危及国家安全、公共安全、经济安全和社会稳定</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            不是《条例》所指政府信息</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            法律法规规定的其他情形</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       5.不属于本行政机关公开数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       6.申请信息不存在数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4</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       7.告知作出更改补充数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       8.告知通过其他途径办理数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6</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 四、行政复议数量</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  （一）维持具体行政行为数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 五、行政诉讼数量</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  （一）维持具体行政行为或者驳回原告诉讼请求数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 六、举报投诉数量</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 七、依申请公开信息收取的费用</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元</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 八、机构建设和保障经费情况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  （一）政府信息公开工作专门机构数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个</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  （二）设置政府信息公开查阅点数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个</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  （三）从事政府信息公开工作人员数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       1.专职人员数（不包括政府公报及政府网站工作人员数）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       2.兼职人员数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7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ind w:left="1100" w:hanging="1100" w:hangingChars="500"/>
              <w:rPr>
                <w:rFonts w:ascii="宋体" w:hAnsi="宋体" w:eastAsia="宋体" w:cs="宋体"/>
                <w:kern w:val="0"/>
                <w:sz w:val="22"/>
              </w:rPr>
            </w:pPr>
            <w:r>
              <w:rPr>
                <w:rFonts w:hint="eastAsia" w:ascii="宋体" w:hAnsi="宋体" w:eastAsia="宋体" w:cs="宋体"/>
                <w:kern w:val="0"/>
                <w:sz w:val="22"/>
              </w:rPr>
              <w:t>  （四）政府信息公开专项经费（不包括用于政府公报编辑管理及政府网站建设维护等方面的经费）</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元</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b/>
                <w:bCs/>
                <w:kern w:val="0"/>
                <w:sz w:val="22"/>
              </w:rPr>
            </w:pPr>
            <w:r>
              <w:rPr>
                <w:rFonts w:hint="eastAsia" w:ascii="宋体" w:hAnsi="宋体" w:eastAsia="宋体" w:cs="宋体"/>
                <w:b/>
                <w:bCs/>
                <w:kern w:val="0"/>
                <w:sz w:val="22"/>
              </w:rPr>
              <w:t> 九、政府信息公开会议和培训情况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  （一）召开政府信息公开工作会议或专题会议数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  （二）举办各类培训班数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7464" w:type="dxa"/>
            <w:tcBorders>
              <w:top w:val="nil"/>
              <w:left w:val="single" w:color="000000" w:sz="4" w:space="0"/>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  （三）接受培训人员数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人次</w:t>
            </w:r>
          </w:p>
        </w:tc>
        <w:tc>
          <w:tcPr>
            <w:tcW w:w="1034" w:type="dxa"/>
            <w:tcBorders>
              <w:top w:val="nil"/>
              <w:left w:val="nil"/>
              <w:bottom w:val="single" w:color="000000" w:sz="4" w:space="0"/>
              <w:right w:val="single" w:color="000000" w:sz="4" w:space="0"/>
            </w:tcBorders>
            <w:shd w:val="clear" w:color="auto" w:fill="auto"/>
            <w:vAlign w:val="center"/>
          </w:tcPr>
          <w:p>
            <w:pPr>
              <w:widowControl/>
              <w:spacing w:line="560" w:lineRule="exact"/>
              <w:rPr>
                <w:rFonts w:ascii="宋体" w:hAnsi="宋体" w:eastAsia="宋体" w:cs="宋体"/>
                <w:kern w:val="0"/>
                <w:sz w:val="22"/>
              </w:rPr>
            </w:pPr>
            <w:r>
              <w:rPr>
                <w:rFonts w:hint="eastAsia" w:ascii="宋体" w:hAnsi="宋体" w:eastAsia="宋体" w:cs="宋体"/>
                <w:kern w:val="0"/>
                <w:sz w:val="22"/>
              </w:rPr>
              <w:t>3</w:t>
            </w:r>
          </w:p>
        </w:tc>
      </w:tr>
      <w:bookmarkEnd w:id="0"/>
    </w:tbl>
    <w:p>
      <w:pPr>
        <w:spacing w:line="560" w:lineRule="exact"/>
        <w:jc w:val="left"/>
        <w:rPr>
          <w:rFonts w:asciiTheme="minorEastAsia" w:hAnsiTheme="minorEastAsia"/>
          <w:sz w:val="22"/>
        </w:rPr>
      </w:pPr>
      <w:r>
        <w:rPr>
          <w:rFonts w:hint="eastAsia" w:asciiTheme="minorEastAsia" w:hAnsiTheme="minorEastAsia"/>
          <w:sz w:val="22"/>
        </w:rPr>
        <w:t>单位负责人：王凯               审核人：梁涛            填报人：李莹                              联系电话：83656425                                     填报时间：2019年3月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C3DED"/>
    <w:multiLevelType w:val="multilevel"/>
    <w:tmpl w:val="274C3DED"/>
    <w:lvl w:ilvl="0" w:tentative="0">
      <w:start w:val="2"/>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a938ac28-95c2-46a8-8641-335f6064bdb0"/>
  </w:docVars>
  <w:rsids>
    <w:rsidRoot w:val="00782148"/>
    <w:rsid w:val="00000156"/>
    <w:rsid w:val="000120E3"/>
    <w:rsid w:val="000205E3"/>
    <w:rsid w:val="00024AD2"/>
    <w:rsid w:val="00034ED2"/>
    <w:rsid w:val="000364D2"/>
    <w:rsid w:val="0006010D"/>
    <w:rsid w:val="000705D5"/>
    <w:rsid w:val="00090045"/>
    <w:rsid w:val="000A4FC5"/>
    <w:rsid w:val="000B1E5C"/>
    <w:rsid w:val="001435D2"/>
    <w:rsid w:val="00146315"/>
    <w:rsid w:val="0019383A"/>
    <w:rsid w:val="001A1B94"/>
    <w:rsid w:val="001A651B"/>
    <w:rsid w:val="001B00D6"/>
    <w:rsid w:val="001B3757"/>
    <w:rsid w:val="001D4299"/>
    <w:rsid w:val="0021616F"/>
    <w:rsid w:val="00233B09"/>
    <w:rsid w:val="00241C59"/>
    <w:rsid w:val="00267AC4"/>
    <w:rsid w:val="00286A75"/>
    <w:rsid w:val="002A2770"/>
    <w:rsid w:val="002B5DCC"/>
    <w:rsid w:val="002D3B6C"/>
    <w:rsid w:val="002D690B"/>
    <w:rsid w:val="002F1627"/>
    <w:rsid w:val="003048EE"/>
    <w:rsid w:val="00307963"/>
    <w:rsid w:val="0031762E"/>
    <w:rsid w:val="003420A2"/>
    <w:rsid w:val="00347C9C"/>
    <w:rsid w:val="0038224E"/>
    <w:rsid w:val="003C01C4"/>
    <w:rsid w:val="003E322E"/>
    <w:rsid w:val="003E39D9"/>
    <w:rsid w:val="003F5443"/>
    <w:rsid w:val="004142C8"/>
    <w:rsid w:val="00424E5D"/>
    <w:rsid w:val="004A73F9"/>
    <w:rsid w:val="004E1783"/>
    <w:rsid w:val="004F78EB"/>
    <w:rsid w:val="005052FE"/>
    <w:rsid w:val="00533CC0"/>
    <w:rsid w:val="005447C5"/>
    <w:rsid w:val="00556C23"/>
    <w:rsid w:val="00564E7D"/>
    <w:rsid w:val="00570BB9"/>
    <w:rsid w:val="00574352"/>
    <w:rsid w:val="0058359B"/>
    <w:rsid w:val="005863AD"/>
    <w:rsid w:val="005928CA"/>
    <w:rsid w:val="005A1728"/>
    <w:rsid w:val="005B0760"/>
    <w:rsid w:val="005D05D2"/>
    <w:rsid w:val="005E51EB"/>
    <w:rsid w:val="005F115E"/>
    <w:rsid w:val="005F65E6"/>
    <w:rsid w:val="00604F7C"/>
    <w:rsid w:val="00605C99"/>
    <w:rsid w:val="006071FD"/>
    <w:rsid w:val="00622E04"/>
    <w:rsid w:val="0062382E"/>
    <w:rsid w:val="00643608"/>
    <w:rsid w:val="00664787"/>
    <w:rsid w:val="006870FD"/>
    <w:rsid w:val="006D2B09"/>
    <w:rsid w:val="006E4FC7"/>
    <w:rsid w:val="0071064A"/>
    <w:rsid w:val="007268B0"/>
    <w:rsid w:val="00732ED9"/>
    <w:rsid w:val="00737C9E"/>
    <w:rsid w:val="0074343F"/>
    <w:rsid w:val="0074395E"/>
    <w:rsid w:val="00753DD9"/>
    <w:rsid w:val="00766BDC"/>
    <w:rsid w:val="007738B6"/>
    <w:rsid w:val="007802FC"/>
    <w:rsid w:val="00780553"/>
    <w:rsid w:val="00782148"/>
    <w:rsid w:val="00797674"/>
    <w:rsid w:val="0079775A"/>
    <w:rsid w:val="007A4A83"/>
    <w:rsid w:val="007A6265"/>
    <w:rsid w:val="007A7F33"/>
    <w:rsid w:val="007B1767"/>
    <w:rsid w:val="007C569F"/>
    <w:rsid w:val="007D208C"/>
    <w:rsid w:val="00817FF9"/>
    <w:rsid w:val="00856EC1"/>
    <w:rsid w:val="00857943"/>
    <w:rsid w:val="0088055D"/>
    <w:rsid w:val="00890426"/>
    <w:rsid w:val="008D0A6B"/>
    <w:rsid w:val="008D4346"/>
    <w:rsid w:val="008D74C9"/>
    <w:rsid w:val="00901D2F"/>
    <w:rsid w:val="00906C5B"/>
    <w:rsid w:val="009120C7"/>
    <w:rsid w:val="00930071"/>
    <w:rsid w:val="00961DC2"/>
    <w:rsid w:val="009655C1"/>
    <w:rsid w:val="0098029C"/>
    <w:rsid w:val="00990135"/>
    <w:rsid w:val="009A45A8"/>
    <w:rsid w:val="009C43A6"/>
    <w:rsid w:val="009C52AD"/>
    <w:rsid w:val="009C6BE3"/>
    <w:rsid w:val="009C750D"/>
    <w:rsid w:val="009D2346"/>
    <w:rsid w:val="009D4F04"/>
    <w:rsid w:val="00A04F73"/>
    <w:rsid w:val="00A2505A"/>
    <w:rsid w:val="00A3380B"/>
    <w:rsid w:val="00A37482"/>
    <w:rsid w:val="00A51CA6"/>
    <w:rsid w:val="00A63353"/>
    <w:rsid w:val="00A70625"/>
    <w:rsid w:val="00A86C17"/>
    <w:rsid w:val="00AC0702"/>
    <w:rsid w:val="00AC4074"/>
    <w:rsid w:val="00AC7852"/>
    <w:rsid w:val="00AE3E81"/>
    <w:rsid w:val="00B24BC0"/>
    <w:rsid w:val="00B32375"/>
    <w:rsid w:val="00B56078"/>
    <w:rsid w:val="00BE6F3D"/>
    <w:rsid w:val="00BF1B08"/>
    <w:rsid w:val="00BF782B"/>
    <w:rsid w:val="00C1242C"/>
    <w:rsid w:val="00C24072"/>
    <w:rsid w:val="00C43BB1"/>
    <w:rsid w:val="00C723EA"/>
    <w:rsid w:val="00C75832"/>
    <w:rsid w:val="00C81BFE"/>
    <w:rsid w:val="00C85C1A"/>
    <w:rsid w:val="00CA11A4"/>
    <w:rsid w:val="00CA56F9"/>
    <w:rsid w:val="00CF3654"/>
    <w:rsid w:val="00D06C2B"/>
    <w:rsid w:val="00D2417F"/>
    <w:rsid w:val="00D26647"/>
    <w:rsid w:val="00D50D9D"/>
    <w:rsid w:val="00D65B71"/>
    <w:rsid w:val="00D7235F"/>
    <w:rsid w:val="00D84CFC"/>
    <w:rsid w:val="00DD6BB9"/>
    <w:rsid w:val="00DE6F38"/>
    <w:rsid w:val="00DF44D7"/>
    <w:rsid w:val="00E253EB"/>
    <w:rsid w:val="00E6072D"/>
    <w:rsid w:val="00E614B7"/>
    <w:rsid w:val="00E85CCF"/>
    <w:rsid w:val="00EB0E15"/>
    <w:rsid w:val="00EB3DCD"/>
    <w:rsid w:val="00ED25A9"/>
    <w:rsid w:val="00F23776"/>
    <w:rsid w:val="00F31FE2"/>
    <w:rsid w:val="00F372D7"/>
    <w:rsid w:val="00F6417C"/>
    <w:rsid w:val="00F90859"/>
    <w:rsid w:val="00FB7D42"/>
    <w:rsid w:val="79CF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7"/>
    <w:semiHidden/>
    <w:unhideWhenUsed/>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uiPriority w:val="99"/>
    <w:pPr>
      <w:snapToGrid w:val="0"/>
      <w:jc w:val="left"/>
    </w:pPr>
    <w:rPr>
      <w:sz w:val="18"/>
      <w:szCs w:val="18"/>
    </w:rPr>
  </w:style>
  <w:style w:type="character" w:styleId="9">
    <w:name w:val="Strong"/>
    <w:basedOn w:val="8"/>
    <w:qFormat/>
    <w:uiPriority w:val="22"/>
    <w:rPr>
      <w:b/>
      <w:bCs/>
    </w:r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styleId="12">
    <w:name w:val="footnote reference"/>
    <w:basedOn w:val="8"/>
    <w:semiHidden/>
    <w:unhideWhenUsed/>
    <w:uiPriority w:val="99"/>
    <w:rPr>
      <w:vertAlign w:val="superscript"/>
    </w:rPr>
  </w:style>
  <w:style w:type="paragraph" w:customStyle="1" w:styleId="13">
    <w:name w:val="Char Char Char Char"/>
    <w:basedOn w:val="2"/>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4">
    <w:name w:val="文档结构图 Char"/>
    <w:basedOn w:val="8"/>
    <w:link w:val="2"/>
    <w:semiHidden/>
    <w:qFormat/>
    <w:uiPriority w:val="99"/>
    <w:rPr>
      <w:rFonts w:ascii="宋体" w:eastAsia="宋体"/>
      <w:sz w:val="18"/>
      <w:szCs w:val="18"/>
    </w:rPr>
  </w:style>
  <w:style w:type="paragraph" w:styleId="15">
    <w:name w:val="List Paragraph"/>
    <w:basedOn w:val="1"/>
    <w:qFormat/>
    <w:uiPriority w:val="34"/>
    <w:pPr>
      <w:ind w:firstLine="420" w:firstLineChars="200"/>
    </w:pPr>
  </w:style>
  <w:style w:type="paragraph" w:customStyle="1" w:styleId="16">
    <w:name w:val="Char Char Char Char1"/>
    <w:basedOn w:val="2"/>
    <w:qFormat/>
    <w:uiPriority w:val="0"/>
    <w:pPr>
      <w:shd w:val="clear" w:color="auto" w:fill="000080"/>
      <w:adjustRightInd w:val="0"/>
      <w:spacing w:line="436" w:lineRule="exact"/>
      <w:ind w:left="357"/>
      <w:jc w:val="left"/>
      <w:outlineLvl w:val="3"/>
    </w:pPr>
    <w:rPr>
      <w:rFonts w:ascii="Tahoma" w:hAnsi="Tahoma" w:cs="Times New Roman"/>
      <w:b/>
      <w:sz w:val="24"/>
      <w:szCs w:val="32"/>
    </w:rPr>
  </w:style>
  <w:style w:type="character" w:customStyle="1" w:styleId="17">
    <w:name w:val="批注框文本 Char"/>
    <w:basedOn w:val="8"/>
    <w:link w:val="3"/>
    <w:semiHidden/>
    <w:qFormat/>
    <w:uiPriority w:val="99"/>
    <w:rPr>
      <w:sz w:val="18"/>
      <w:szCs w:val="18"/>
    </w:rPr>
  </w:style>
  <w:style w:type="character" w:customStyle="1" w:styleId="18">
    <w:name w:val="页眉 Char"/>
    <w:basedOn w:val="8"/>
    <w:link w:val="5"/>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脚注文本 Char"/>
    <w:basedOn w:val="8"/>
    <w:link w:val="6"/>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2999</Words>
  <Characters>3578</Characters>
  <Lines>41</Lines>
  <Paragraphs>11</Paragraphs>
  <TotalTime>1392</TotalTime>
  <ScaleCrop>false</ScaleCrop>
  <LinksUpToDate>false</LinksUpToDate>
  <CharactersWithSpaces>5402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2019-02-12T02:27:00Z</dcterms:created>
  <dc:creator>MJJ</dc:creator>
  <cp:lastModifiedBy>血月舞殇</cp:lastModifiedBy>
  <cp:lastPrinted>2019-03-11T06:30:00Z</cp:lastPrinted>
  <dcterms:modified xsi:type="dcterms:W3CDTF">2025-03-12T03:36:12Z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3360CC7DC17E495EB7E01A9BE3290477</vt:lpwstr>
  </property>
</Properties>
</file>