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bidi="ar"/>
        </w:rPr>
        <w:t xml:space="preserve"> 丰台区信访办公室</w:t>
      </w:r>
      <w:r>
        <w:rPr>
          <w:rFonts w:hint="eastAsia" w:ascii="方正小标宋简体" w:hAnsi="方正小标宋简体" w:eastAsia="方正小标宋简体" w:cs="方正小标宋简体"/>
          <w:sz w:val="44"/>
          <w:szCs w:val="44"/>
          <w:lang w:bidi="ar"/>
        </w:rPr>
        <w:t>2023年政府信息公开</w:t>
      </w:r>
    </w:p>
    <w:p>
      <w:pPr>
        <w:spacing w:line="560" w:lineRule="exact"/>
        <w:jc w:val="center"/>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工作年度报告</w:t>
      </w:r>
    </w:p>
    <w:p>
      <w:pPr>
        <w:spacing w:line="560" w:lineRule="exact"/>
        <w:jc w:val="center"/>
        <w:rPr>
          <w:sz w:val="44"/>
          <w:szCs w:val="44"/>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widowControl/>
        <w:spacing w:line="560" w:lineRule="exact"/>
        <w:ind w:firstLine="672" w:firstLineChars="200"/>
        <w:jc w:val="left"/>
        <w:rPr>
          <w:rFonts w:hint="eastAsia" w:ascii="黑体" w:hAnsi="宋体" w:eastAsia="黑体" w:cs="宋体"/>
          <w:spacing w:val="8"/>
          <w:kern w:val="0"/>
          <w:sz w:val="32"/>
          <w:szCs w:val="32"/>
        </w:rPr>
      </w:pPr>
      <w:r>
        <w:rPr>
          <w:rFonts w:hint="eastAsia" w:ascii="黑体" w:hAnsi="宋体" w:eastAsia="黑体" w:cs="宋体"/>
          <w:spacing w:val="8"/>
          <w:kern w:val="0"/>
          <w:sz w:val="32"/>
          <w:szCs w:val="32"/>
          <w:lang w:bidi="ar"/>
        </w:rPr>
        <w:t>一、总体情况</w:t>
      </w:r>
    </w:p>
    <w:p>
      <w:pPr>
        <w:numPr>
          <w:ilvl w:val="0"/>
          <w:numId w:val="0"/>
        </w:numPr>
        <w:spacing w:line="560" w:lineRule="exact"/>
        <w:ind w:firstLine="672" w:firstLineChars="200"/>
        <w:rPr>
          <w:rFonts w:hint="default" w:ascii="仿宋_GB2312" w:hAnsi="宋体" w:eastAsia="仿宋_GB2312" w:cs="宋体"/>
          <w:spacing w:val="8"/>
          <w:kern w:val="0"/>
          <w:sz w:val="32"/>
          <w:szCs w:val="32"/>
          <w:lang w:val="en-US" w:bidi="ar"/>
        </w:rPr>
      </w:pPr>
      <w:r>
        <w:rPr>
          <w:rFonts w:hint="default" w:ascii="仿宋_GB2312" w:hAnsi="宋体" w:eastAsia="仿宋_GB2312" w:cs="宋体"/>
          <w:spacing w:val="8"/>
          <w:kern w:val="0"/>
          <w:sz w:val="32"/>
          <w:szCs w:val="32"/>
          <w:lang w:val="en-US" w:eastAsia="zh-CN" w:bidi="ar"/>
        </w:rPr>
        <w:t>（一）组织领导</w:t>
      </w:r>
      <w:r>
        <w:rPr>
          <w:rFonts w:hint="default" w:ascii="仿宋_GB2312" w:hAnsi="宋体" w:eastAsia="仿宋_GB2312" w:cs="宋体"/>
          <w:spacing w:val="8"/>
          <w:kern w:val="0"/>
          <w:sz w:val="32"/>
          <w:szCs w:val="32"/>
          <w:lang w:eastAsia="zh-CN" w:bidi="ar"/>
        </w:rPr>
        <w:t>情况</w:t>
      </w:r>
      <w:r>
        <w:rPr>
          <w:rFonts w:hint="eastAsia" w:ascii="仿宋_GB2312" w:hAnsi="宋体" w:eastAsia="仿宋_GB2312" w:cs="宋体"/>
          <w:spacing w:val="8"/>
          <w:kern w:val="0"/>
          <w:sz w:val="32"/>
          <w:szCs w:val="32"/>
          <w:lang w:eastAsia="zh-CN" w:bidi="ar"/>
        </w:rPr>
        <w:t>。</w:t>
      </w:r>
      <w:r>
        <w:rPr>
          <w:rFonts w:hint="eastAsia" w:ascii="仿宋_GB2312" w:hAnsi="宋体" w:eastAsia="仿宋_GB2312" w:cs="宋体"/>
          <w:spacing w:val="8"/>
          <w:kern w:val="0"/>
          <w:sz w:val="32"/>
          <w:szCs w:val="32"/>
          <w:lang w:val="en-US" w:eastAsia="zh-CN" w:bidi="ar"/>
        </w:rPr>
        <w:t>丰台区信访办成立政府信息公开工作领导小组，党组书记、主任担任组长，分管政府信息公开工作的党组成员、副主任担任副组长，综合调研科工作人员为成员，负责统筹落实本单位政府信息公开各项工作。</w:t>
      </w:r>
    </w:p>
    <w:p>
      <w:pPr>
        <w:numPr>
          <w:ilvl w:val="0"/>
          <w:numId w:val="0"/>
        </w:numPr>
        <w:spacing w:line="560" w:lineRule="exact"/>
        <w:ind w:firstLine="672" w:firstLineChars="200"/>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（二）主动公开情况。根据《政府信息公开条例》，按照“坚持以公开为常态，不公开为例外”的要求，丰台区信访办机构职责、机构设置、办公地址、年度预算和决算、部门动态等信息均已在区政府网站公开。</w:t>
      </w:r>
    </w:p>
    <w:p>
      <w:pPr>
        <w:numPr>
          <w:ilvl w:val="0"/>
          <w:numId w:val="0"/>
        </w:numPr>
        <w:spacing w:line="560" w:lineRule="exact"/>
        <w:ind w:firstLine="672" w:firstLineChars="200"/>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三）依申请公开情况。丰台区信访办畅通政府信息公开申请渠道，群众除通过接待窗口现场申请信息公开外，还可通过纸信、电子邮件进行申请。2023年，丰台区信访办共收到政府信息公开申请5件，上一年度结转1件，以上6件均已在规定期限内办结。</w:t>
      </w:r>
    </w:p>
    <w:p>
      <w:pPr>
        <w:numPr>
          <w:ilvl w:val="0"/>
          <w:numId w:val="0"/>
        </w:numPr>
        <w:spacing w:line="560" w:lineRule="exact"/>
        <w:ind w:firstLine="672" w:firstLineChars="200"/>
        <w:rPr>
          <w:rFonts w:hint="eastAsia"/>
          <w:lang w:val="en-US" w:eastAsia="zh-CN"/>
        </w:rPr>
      </w:pPr>
      <w:r>
        <w:rPr>
          <w:rFonts w:hint="eastAsia" w:ascii="仿宋_GB2312" w:hAnsi="宋体" w:eastAsia="仿宋_GB2312" w:cs="宋体"/>
          <w:spacing w:val="8"/>
          <w:kern w:val="0"/>
          <w:sz w:val="32"/>
          <w:szCs w:val="32"/>
          <w:lang w:val="en-US" w:eastAsia="zh-CN" w:bidi="ar"/>
        </w:rPr>
        <w:t>（四）政府信息公开平台建设及信息管理情况。加强互联网政府信息公开平台建设。在北京市丰台区人民政府网站信息公开专栏下设置丰台区信访办公室“政府信息公开”专栏，发布政府信息公开指南、公开年报等内容，并及时更新，确保信息公开工作的及时性和实效性。加强依申请公开标准化规范化建设。依法依规办理政府信息依申请公开业务，严格按照“登记-审核-办理-答复-归档”程序办理，持续提升政府信息公开业务规范化水平。</w:t>
      </w:r>
    </w:p>
    <w:p>
      <w:pPr>
        <w:numPr>
          <w:ilvl w:val="0"/>
          <w:numId w:val="0"/>
        </w:numPr>
        <w:spacing w:line="560" w:lineRule="exact"/>
        <w:ind w:firstLine="672" w:firstLineChars="200"/>
        <w:rPr>
          <w:rFonts w:hint="eastAsia"/>
        </w:rPr>
      </w:pPr>
      <w:r>
        <w:rPr>
          <w:rFonts w:hint="eastAsia" w:ascii="仿宋_GB2312" w:hAnsi="宋体" w:eastAsia="仿宋_GB2312" w:cs="宋体"/>
          <w:spacing w:val="8"/>
          <w:kern w:val="0"/>
          <w:sz w:val="32"/>
          <w:szCs w:val="32"/>
          <w:lang w:eastAsia="zh-CN" w:bidi="ar"/>
        </w:rPr>
        <w:t>（五）监督保障及</w:t>
      </w:r>
      <w:bookmarkStart w:id="0" w:name="_GoBack"/>
      <w:bookmarkEnd w:id="0"/>
      <w:r>
        <w:rPr>
          <w:rFonts w:hint="eastAsia" w:ascii="仿宋_GB2312" w:hAnsi="宋体" w:eastAsia="仿宋_GB2312" w:cs="宋体"/>
          <w:spacing w:val="8"/>
          <w:kern w:val="0"/>
          <w:sz w:val="32"/>
          <w:szCs w:val="32"/>
          <w:lang w:bidi="ar"/>
        </w:rPr>
        <w:t>教育培训情况</w:t>
      </w:r>
      <w:r>
        <w:rPr>
          <w:rFonts w:hint="eastAsia" w:ascii="仿宋_GB2312" w:hAnsi="宋体" w:eastAsia="仿宋_GB2312" w:cs="宋体"/>
          <w:spacing w:val="8"/>
          <w:kern w:val="0"/>
          <w:sz w:val="32"/>
          <w:szCs w:val="32"/>
          <w:lang w:eastAsia="zh-CN" w:bidi="ar"/>
        </w:rPr>
        <w:t>。加强政府信息公开人员的教育培训，督促从事具体业务的工作人员依法依规履行职责。</w:t>
      </w:r>
      <w:r>
        <w:rPr>
          <w:rFonts w:hint="eastAsia" w:ascii="仿宋_GB2312" w:hAnsi="宋体" w:eastAsia="仿宋_GB2312" w:cs="宋体"/>
          <w:spacing w:val="8"/>
          <w:kern w:val="0"/>
          <w:sz w:val="32"/>
          <w:szCs w:val="32"/>
          <w:lang w:val="en-US" w:eastAsia="zh-CN" w:bidi="ar"/>
        </w:rPr>
        <w:t>负责政府信息公开的</w:t>
      </w:r>
      <w:r>
        <w:rPr>
          <w:rFonts w:hint="eastAsia" w:ascii="仿宋_GB2312" w:hAnsi="宋体" w:eastAsia="仿宋_GB2312" w:cs="宋体"/>
          <w:spacing w:val="8"/>
          <w:kern w:val="0"/>
          <w:sz w:val="32"/>
          <w:szCs w:val="32"/>
          <w:lang w:eastAsia="zh-CN" w:bidi="ar"/>
        </w:rPr>
        <w:t>工作</w:t>
      </w:r>
      <w:r>
        <w:rPr>
          <w:rFonts w:hint="eastAsia" w:ascii="仿宋_GB2312" w:hAnsi="宋体" w:eastAsia="仿宋_GB2312" w:cs="宋体"/>
          <w:spacing w:val="8"/>
          <w:kern w:val="0"/>
          <w:sz w:val="32"/>
          <w:szCs w:val="32"/>
          <w:lang w:bidi="ar"/>
        </w:rPr>
        <w:t>人员积极参加丰台区政务服务管理局举办的各类政府信息公开工作培训，</w:t>
      </w:r>
      <w:r>
        <w:rPr>
          <w:rFonts w:hint="eastAsia" w:ascii="仿宋_GB2312" w:hAnsi="宋体" w:eastAsia="仿宋_GB2312" w:cs="宋体"/>
          <w:spacing w:val="8"/>
          <w:kern w:val="0"/>
          <w:sz w:val="32"/>
          <w:szCs w:val="32"/>
          <w:lang w:val="en-US" w:eastAsia="zh-CN" w:bidi="ar"/>
        </w:rPr>
        <w:t>通过</w:t>
      </w:r>
      <w:r>
        <w:rPr>
          <w:rFonts w:hint="eastAsia" w:ascii="仿宋_GB2312" w:hAnsi="宋体" w:eastAsia="仿宋_GB2312" w:cs="宋体"/>
          <w:spacing w:val="8"/>
          <w:kern w:val="0"/>
          <w:sz w:val="32"/>
          <w:szCs w:val="32"/>
          <w:lang w:bidi="ar"/>
        </w:rPr>
        <w:t>集中学习和实操训练，不断提升</w:t>
      </w:r>
      <w:r>
        <w:rPr>
          <w:rFonts w:hint="eastAsia" w:ascii="仿宋_GB2312" w:hAnsi="宋体" w:eastAsia="仿宋_GB2312" w:cs="宋体"/>
          <w:spacing w:val="8"/>
          <w:kern w:val="0"/>
          <w:sz w:val="32"/>
          <w:szCs w:val="32"/>
          <w:lang w:val="en-US" w:eastAsia="zh-CN" w:bidi="ar"/>
        </w:rPr>
        <w:t>工作质效</w:t>
      </w:r>
      <w:r>
        <w:rPr>
          <w:rFonts w:hint="eastAsia" w:ascii="仿宋_GB2312" w:hAnsi="宋体" w:eastAsia="仿宋_GB2312" w:cs="宋体"/>
          <w:spacing w:val="8"/>
          <w:kern w:val="0"/>
          <w:sz w:val="32"/>
          <w:szCs w:val="32"/>
          <w:lang w:bidi="ar"/>
        </w:rPr>
        <w:t>。</w:t>
      </w:r>
    </w:p>
    <w:p>
      <w:pPr>
        <w:numPr>
          <w:ilvl w:val="0"/>
          <w:numId w:val="0"/>
        </w:numPr>
        <w:spacing w:line="560" w:lineRule="exact"/>
        <w:ind w:firstLine="640" w:firstLineChars="200"/>
      </w:pPr>
      <w:r>
        <w:rPr>
          <w:rFonts w:hint="eastAsia" w:ascii="黑体" w:hAnsi="宋体" w:eastAsia="黑体" w:cs="黑体"/>
          <w:sz w:val="32"/>
          <w:szCs w:val="32"/>
          <w:lang w:eastAsia="zh-CN" w:bidi="ar"/>
        </w:rPr>
        <w:t>二、</w:t>
      </w:r>
      <w:r>
        <w:rPr>
          <w:rFonts w:hint="eastAsia" w:ascii="黑体" w:hAnsi="宋体" w:eastAsia="黑体" w:cs="黑体"/>
          <w:sz w:val="32"/>
          <w:szCs w:val="32"/>
          <w:lang w:bidi="ar"/>
        </w:rPr>
        <w:t>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85"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r>
    </w:tbl>
    <w:p>
      <w:pPr>
        <w:numPr>
          <w:ilvl w:val="0"/>
          <w:numId w:val="0"/>
        </w:numPr>
        <w:spacing w:line="560" w:lineRule="exact"/>
        <w:ind w:left="630" w:leftChars="0"/>
        <w:rPr>
          <w:rFonts w:hint="eastAsia" w:ascii="黑体" w:hAnsi="宋体" w:eastAsia="黑体" w:cs="黑体"/>
          <w:sz w:val="24"/>
        </w:rPr>
      </w:pPr>
      <w:r>
        <w:rPr>
          <w:rFonts w:hint="eastAsia" w:ascii="黑体" w:hAnsi="宋体" w:eastAsia="黑体" w:cs="黑体"/>
          <w:sz w:val="32"/>
          <w:szCs w:val="32"/>
          <w:lang w:eastAsia="zh-CN" w:bidi="ar"/>
        </w:rPr>
        <w:t>三、</w:t>
      </w:r>
      <w:r>
        <w:rPr>
          <w:rFonts w:hint="eastAsia" w:ascii="黑体" w:hAnsi="宋体" w:eastAsia="黑体" w:cs="黑体"/>
          <w:sz w:val="32"/>
          <w:szCs w:val="32"/>
          <w:lang w:bidi="ar"/>
        </w:rPr>
        <w:t>收到和处理政府信息公开申请情况</w:t>
      </w: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714"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57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714" w:type="dxa"/>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714"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c>
          <w:tcPr>
            <w:tcW w:w="714"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714"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714" w:type="dxa"/>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5</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1</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1</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1</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3</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1</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eastAsia" w:ascii="Calibri" w:hAnsi="Calibri" w:eastAsia="等线" w:cs="Calibri"/>
                <w:i w:val="0"/>
                <w:iCs w:val="0"/>
                <w:color w:val="000000"/>
                <w:kern w:val="0"/>
                <w:sz w:val="20"/>
                <w:szCs w:val="20"/>
                <w:u w:val="none"/>
                <w:lang w:val="en-US" w:eastAsia="zh-CN" w:bidi="ar"/>
              </w:rPr>
              <w:t>6</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iCs w:val="0"/>
                <w:color w:val="000000"/>
                <w:kern w:val="0"/>
                <w:sz w:val="20"/>
                <w:szCs w:val="20"/>
                <w:u w:val="none"/>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center"/>
              <w:textAlignment w:val="center"/>
            </w:pPr>
            <w:r>
              <w:rPr>
                <w:rFonts w:hint="eastAsia" w:ascii="Calibri" w:hAnsi="Calibri" w:eastAsia="等线" w:cs="Calibri"/>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jc w:val="center"/>
              <w:textAlignment w:val="center"/>
              <w:rPr>
                <w:rFonts w:hint="eastAsia" w:ascii="宋体" w:hAnsi="Times New Roman" w:cs="宋体"/>
                <w:sz w:val="24"/>
              </w:rPr>
            </w:pPr>
            <w:r>
              <w:rPr>
                <w:rFonts w:hint="eastAsia" w:ascii="Calibri" w:hAnsi="Calibri" w:eastAsia="等线" w:cs="Calibri"/>
                <w:i w:val="0"/>
                <w:iCs w:val="0"/>
                <w:color w:val="000000"/>
                <w:kern w:val="0"/>
                <w:sz w:val="20"/>
                <w:szCs w:val="20"/>
                <w:u w:val="none"/>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jc w:val="center"/>
              <w:textAlignment w:val="center"/>
              <w:rPr>
                <w:rFonts w:hint="eastAsia" w:ascii="宋体" w:hAnsi="Times New Roman" w:cs="宋体"/>
                <w:sz w:val="24"/>
              </w:rPr>
            </w:pPr>
            <w:r>
              <w:rPr>
                <w:rFonts w:hint="default" w:ascii="Calibri" w:hAnsi="Calibri" w:eastAsia="等线" w:cs="Calibri"/>
                <w:i w:val="0"/>
                <w:iCs w:val="0"/>
                <w:color w:val="000000"/>
                <w:kern w:val="0"/>
                <w:sz w:val="20"/>
                <w:szCs w:val="20"/>
                <w:u w:val="none"/>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jc w:val="center"/>
              <w:textAlignment w:val="center"/>
              <w:rPr>
                <w:rFonts w:hint="eastAsia" w:ascii="宋体" w:hAnsi="Times New Roman" w:cs="宋体"/>
                <w:sz w:val="24"/>
              </w:rPr>
            </w:pPr>
            <w:r>
              <w:rPr>
                <w:rFonts w:hint="default" w:ascii="Calibri" w:hAnsi="Calibri" w:eastAsia="等线" w:cs="Calibri"/>
                <w:i w:val="0"/>
                <w:iCs w:val="0"/>
                <w:color w:val="000000"/>
                <w:kern w:val="0"/>
                <w:sz w:val="20"/>
                <w:szCs w:val="20"/>
                <w:u w:val="none"/>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jc w:val="center"/>
              <w:textAlignment w:val="center"/>
              <w:rPr>
                <w:rFonts w:hint="eastAsia" w:ascii="宋体" w:hAnsi="Times New Roman" w:cs="宋体"/>
                <w:sz w:val="24"/>
              </w:rPr>
            </w:pPr>
            <w:r>
              <w:rPr>
                <w:rFonts w:hint="default" w:ascii="Calibri" w:hAnsi="Calibri" w:eastAsia="等线" w:cs="Calibri"/>
                <w:i w:val="0"/>
                <w:iCs w:val="0"/>
                <w:color w:val="000000"/>
                <w:kern w:val="0"/>
                <w:sz w:val="20"/>
                <w:szCs w:val="20"/>
                <w:u w:val="none"/>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jc w:val="center"/>
              <w:textAlignment w:val="center"/>
              <w:rPr>
                <w:rFonts w:hint="eastAsia" w:ascii="宋体" w:hAnsi="Times New Roman" w:cs="宋体"/>
                <w:sz w:val="24"/>
              </w:rPr>
            </w:pPr>
            <w:r>
              <w:rPr>
                <w:rFonts w:hint="default" w:ascii="Calibri" w:hAnsi="Calibri" w:eastAsia="等线" w:cs="Calibri"/>
                <w:i w:val="0"/>
                <w:iCs w:val="0"/>
                <w:color w:val="000000"/>
                <w:kern w:val="0"/>
                <w:sz w:val="20"/>
                <w:szCs w:val="20"/>
                <w:u w:val="none"/>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jc w:val="center"/>
              <w:textAlignment w:val="center"/>
              <w:rPr>
                <w:rFonts w:hint="eastAsia" w:ascii="宋体" w:hAnsi="Times New Roman" w:cs="宋体"/>
                <w:sz w:val="24"/>
              </w:rPr>
            </w:pPr>
            <w:r>
              <w:rPr>
                <w:rFonts w:hint="default" w:ascii="Calibri" w:hAnsi="Calibri" w:eastAsia="等线" w:cs="Calibri"/>
                <w:i w:val="0"/>
                <w:iCs w:val="0"/>
                <w:color w:val="000000"/>
                <w:kern w:val="0"/>
                <w:sz w:val="20"/>
                <w:szCs w:val="20"/>
                <w:u w:val="none"/>
                <w:lang w:val="en-US" w:eastAsia="zh-CN" w:bidi="ar"/>
              </w:rPr>
              <w:t>0</w:t>
            </w:r>
          </w:p>
        </w:tc>
        <w:tc>
          <w:tcPr>
            <w:tcW w:w="689"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jc w:val="center"/>
              <w:textAlignment w:val="center"/>
              <w:rPr>
                <w:rFonts w:hint="eastAsia" w:ascii="宋体" w:hAnsi="Times New Roman" w:eastAsia="宋体" w:cs="宋体"/>
                <w:sz w:val="24"/>
                <w:lang w:val="en-US" w:eastAsia="zh-CN"/>
              </w:rPr>
            </w:pPr>
            <w:r>
              <w:rPr>
                <w:rFonts w:hint="eastAsia" w:ascii="Calibri" w:hAnsi="Calibri" w:eastAsia="等线" w:cs="Calibri"/>
                <w:i w:val="0"/>
                <w:iCs w:val="0"/>
                <w:color w:val="000000"/>
                <w:kern w:val="0"/>
                <w:sz w:val="20"/>
                <w:szCs w:val="20"/>
                <w:u w:val="none"/>
                <w:lang w:val="en-US" w:eastAsia="zh-CN" w:bidi="ar"/>
              </w:rPr>
              <w:t>0</w:t>
            </w:r>
          </w:p>
        </w:tc>
      </w:tr>
    </w:tbl>
    <w:p>
      <w:pPr>
        <w:widowControl/>
        <w:spacing w:line="560" w:lineRule="exact"/>
        <w:ind w:firstLine="672" w:firstLineChars="200"/>
        <w:jc w:val="left"/>
      </w:pPr>
      <w:r>
        <w:rPr>
          <w:rFonts w:hint="eastAsia" w:ascii="黑体" w:hAnsi="宋体" w:eastAsia="黑体" w:cs="宋体"/>
          <w:spacing w:val="8"/>
          <w:kern w:val="0"/>
          <w:sz w:val="32"/>
          <w:szCs w:val="32"/>
          <w:lang w:bidi="ar"/>
        </w:rPr>
        <w:t>四、政府信息公开行政复议、行政诉讼情况</w:t>
      </w: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1</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1</w:t>
            </w:r>
          </w:p>
        </w:tc>
      </w:tr>
    </w:tbl>
    <w:p>
      <w:pPr>
        <w:widowControl/>
        <w:spacing w:line="560" w:lineRule="exact"/>
        <w:ind w:firstLine="672" w:firstLineChars="200"/>
        <w:jc w:val="left"/>
        <w:rPr>
          <w:rFonts w:hint="eastAsia" w:ascii="黑体" w:hAnsi="宋体" w:eastAsia="黑体" w:cs="宋体"/>
          <w:spacing w:val="8"/>
          <w:kern w:val="0"/>
          <w:sz w:val="32"/>
          <w:szCs w:val="32"/>
          <w:lang w:bidi="ar"/>
        </w:rPr>
      </w:pPr>
      <w:r>
        <w:rPr>
          <w:rFonts w:hint="eastAsia" w:ascii="黑体" w:hAnsi="宋体" w:eastAsia="黑体" w:cs="宋体"/>
          <w:spacing w:val="8"/>
          <w:kern w:val="0"/>
          <w:sz w:val="32"/>
          <w:szCs w:val="32"/>
          <w:lang w:bidi="ar"/>
        </w:rPr>
        <w:t>五、存在的主要问题及改进情况</w:t>
      </w:r>
    </w:p>
    <w:p>
      <w:pPr>
        <w:numPr>
          <w:ilvl w:val="0"/>
          <w:numId w:val="0"/>
        </w:numPr>
        <w:spacing w:line="560" w:lineRule="exact"/>
        <w:ind w:firstLine="672" w:firstLineChars="200"/>
        <w:rPr>
          <w:rFonts w:hint="eastAsia"/>
          <w:lang w:eastAsia="zh-CN"/>
        </w:rPr>
      </w:pPr>
      <w:r>
        <w:rPr>
          <w:rFonts w:hint="eastAsia" w:ascii="仿宋_GB2312" w:hAnsi="宋体" w:eastAsia="仿宋_GB2312" w:cs="宋体"/>
          <w:spacing w:val="8"/>
          <w:kern w:val="0"/>
          <w:sz w:val="32"/>
          <w:szCs w:val="32"/>
          <w:lang w:val="en-US" w:eastAsia="zh-CN" w:bidi="ar"/>
        </w:rPr>
        <w:t>2023年，丰台区信访办政府信息公开工作质效良好，但仍存主动公开力度仍需继续加强、公开信息还需更加及时的问题。下一步，丰台区信访办将立足群众视角，继续充分利用好政务网站，全面、完整、规范公开政府信息，提升信息公开数量和效率，并主动接受群众监督。</w:t>
      </w:r>
    </w:p>
    <w:p>
      <w:pPr>
        <w:widowControl/>
        <w:spacing w:line="560" w:lineRule="exact"/>
        <w:ind w:firstLine="672" w:firstLineChars="200"/>
        <w:jc w:val="left"/>
        <w:rPr>
          <w:rFonts w:hint="eastAsia" w:ascii="黑体" w:hAnsi="宋体" w:eastAsia="黑体" w:cs="宋体"/>
          <w:spacing w:val="8"/>
          <w:kern w:val="0"/>
          <w:sz w:val="32"/>
          <w:szCs w:val="32"/>
          <w:lang w:bidi="ar"/>
        </w:rPr>
      </w:pPr>
      <w:r>
        <w:rPr>
          <w:rFonts w:hint="eastAsia" w:ascii="黑体" w:hAnsi="宋体" w:eastAsia="黑体" w:cs="宋体"/>
          <w:spacing w:val="8"/>
          <w:kern w:val="0"/>
          <w:sz w:val="32"/>
          <w:szCs w:val="32"/>
          <w:lang w:bidi="ar"/>
        </w:rPr>
        <w:t>六、其他需要报告的事项</w:t>
      </w:r>
    </w:p>
    <w:p>
      <w:pPr>
        <w:numPr>
          <w:ilvl w:val="0"/>
          <w:numId w:val="0"/>
        </w:numPr>
        <w:spacing w:line="560" w:lineRule="exact"/>
        <w:ind w:firstLine="672" w:firstLineChars="200"/>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2023年，丰台区信访办发出收费通知的件数和总金额，以及实际收取的总金额均为0。丰台区政务门户网站：http://www.bjft.gov.cn/，如需了解更多政务服务信息，请登录查询。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OGZhNjkxMWEwN2MwNDViZDc0OTFhZjEyOGVkOTcifQ=="/>
  </w:docVars>
  <w:rsids>
    <w:rsidRoot w:val="0B5B6E2A"/>
    <w:rsid w:val="02F57A4B"/>
    <w:rsid w:val="0B5B6E2A"/>
    <w:rsid w:val="0DF30354"/>
    <w:rsid w:val="171602A9"/>
    <w:rsid w:val="1C941AC2"/>
    <w:rsid w:val="244B7DD1"/>
    <w:rsid w:val="4A402DA1"/>
    <w:rsid w:val="632B508F"/>
    <w:rsid w:val="643D768C"/>
    <w:rsid w:val="707B7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Plain Text"/>
    <w:basedOn w:val="1"/>
    <w:next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2024-01-02T10:18:00Z</dcterms:created>
  <dc:creator>Ren$hiro</dc:creator>
  <cp:lastModifiedBy>XYSD</cp:lastModifiedBy>
  <dcterms:modified xsi:type="dcterms:W3CDTF">2024-01-29T02:36:46Z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B5826AA5D9BE44B392BED879D8BDB8A6_13</vt:lpwstr>
  </property>
</Properties>
</file>