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中关村科技园区丰台园管理委员会2021年政府信息公开工作年度报告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ascii="宋体" w:hAnsi="宋体" w:eastAsia="宋体" w:cs="宋体"/>
          <w:color w:val="000000"/>
          <w:sz w:val="44"/>
          <w:szCs w:val="44"/>
        </w:rPr>
      </w:pPr>
      <w:r>
        <w:rPr>
          <w:rFonts w:hint="eastAsia" w:ascii="宋体" w:hAnsi="宋体" w:eastAsia="宋体" w:cs="宋体"/>
          <w:color w:val="000000"/>
          <w:sz w:val="18"/>
          <w:szCs w:val="18"/>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360" w:firstLineChars="200"/>
        <w:jc w:val="both"/>
        <w:textAlignment w:val="auto"/>
        <w:rPr>
          <w:rFonts w:hint="eastAsia" w:ascii="仿宋_GB2312" w:hAnsi="宋体" w:eastAsia="仿宋_GB2312" w:cs="宋体"/>
          <w:spacing w:val="8"/>
          <w:kern w:val="0"/>
          <w:sz w:val="32"/>
          <w:szCs w:val="32"/>
          <w:lang w:val="en-US" w:eastAsia="zh-CN" w:bidi="ar-SA"/>
        </w:rPr>
      </w:pPr>
      <w:r>
        <w:rPr>
          <w:rFonts w:hint="eastAsia" w:ascii="宋体" w:hAnsi="宋体" w:eastAsia="宋体" w:cs="宋体"/>
          <w:color w:val="000000"/>
          <w:sz w:val="18"/>
          <w:szCs w:val="18"/>
          <w:shd w:val="clear" w:color="auto" w:fill="FFFFFF"/>
        </w:rPr>
        <w:t>    </w:t>
      </w:r>
      <w:r>
        <w:rPr>
          <w:rFonts w:hint="eastAsia" w:ascii="仿宋_GB2312" w:hAnsi="宋体" w:eastAsia="仿宋_GB2312" w:cs="宋体"/>
          <w:spacing w:val="8"/>
          <w:kern w:val="0"/>
          <w:sz w:val="32"/>
          <w:szCs w:val="32"/>
          <w:lang w:val="en-US" w:eastAsia="zh-CN" w:bidi="ar-SA"/>
        </w:rPr>
        <w:t>依据《中华人民共和国政府信息公开条例》(以下简称《政府信息公开条例》)第五十条规定，编制本报告。</w:t>
      </w:r>
    </w:p>
    <w:p>
      <w:pPr>
        <w:pStyle w:val="6"/>
        <w:widowControl/>
        <w:shd w:val="clear" w:color="auto" w:fill="FFFFFF"/>
        <w:spacing w:beforeAutospacing="0" w:afterAutospacing="0"/>
        <w:jc w:val="both"/>
        <w:rPr>
          <w:rFonts w:ascii="宋体" w:hAnsi="宋体" w:eastAsia="宋体" w:cs="宋体"/>
          <w:color w:val="000000"/>
          <w:sz w:val="18"/>
          <w:szCs w:val="18"/>
        </w:rPr>
      </w:pPr>
      <w:r>
        <w:rPr>
          <w:rFonts w:hint="eastAsia" w:ascii="宋体" w:hAnsi="宋体" w:eastAsia="宋体" w:cs="宋体"/>
          <w:color w:val="000000"/>
          <w:sz w:val="18"/>
          <w:szCs w:val="18"/>
          <w:shd w:val="clear" w:color="auto" w:fill="FFFFFF"/>
        </w:rPr>
        <w:t>  </w:t>
      </w:r>
      <w:r>
        <w:rPr>
          <w:rFonts w:hint="eastAsia" w:ascii="黑体" w:hAnsi="黑体" w:eastAsia="黑体" w:cs="黑体"/>
          <w:color w:val="000000"/>
          <w:sz w:val="32"/>
          <w:szCs w:val="32"/>
          <w:shd w:val="clear" w:color="auto" w:fill="FFFFFF"/>
        </w:rPr>
        <w:t>  </w:t>
      </w:r>
      <w:r>
        <w:rPr>
          <w:rFonts w:hint="eastAsia" w:ascii="黑体" w:hAnsi="黑体" w:eastAsia="黑体" w:cs="黑体"/>
          <w:spacing w:val="8"/>
          <w:kern w:val="0"/>
          <w:sz w:val="32"/>
          <w:szCs w:val="32"/>
          <w:lang w:val="en-US" w:eastAsia="zh-CN" w:bidi="ar-SA"/>
        </w:rPr>
        <w:t>一、</w:t>
      </w:r>
      <w:r>
        <w:rPr>
          <w:rFonts w:hint="eastAsia" w:ascii="黑体" w:hAnsi="黑体" w:eastAsia="黑体" w:cs="宋体"/>
          <w:spacing w:val="8"/>
          <w:kern w:val="0"/>
          <w:sz w:val="32"/>
          <w:szCs w:val="32"/>
          <w:lang w:val="en-US" w:eastAsia="zh-CN" w:bidi="ar-SA"/>
        </w:rPr>
        <w:t>总体情况</w:t>
      </w:r>
    </w:p>
    <w:p>
      <w:pPr>
        <w:widowControl/>
        <w:spacing w:line="560" w:lineRule="exact"/>
        <w:ind w:firstLine="672" w:firstLineChars="200"/>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一</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组织领导</w:t>
      </w:r>
    </w:p>
    <w:p>
      <w:pPr>
        <w:widowControl/>
        <w:spacing w:line="560" w:lineRule="exact"/>
        <w:ind w:firstLine="640" w:firstLineChars="200"/>
        <w:jc w:val="both"/>
        <w:rPr>
          <w:rFonts w:hint="eastAsia" w:ascii="仿宋" w:hAnsi="仿宋" w:eastAsia="仿宋" w:cs="仿宋"/>
          <w:spacing w:val="8"/>
          <w:kern w:val="0"/>
          <w:sz w:val="32"/>
          <w:szCs w:val="32"/>
        </w:rPr>
      </w:pPr>
      <w:r>
        <w:rPr>
          <w:rFonts w:hint="eastAsia" w:ascii="仿宋" w:hAnsi="仿宋" w:eastAsia="仿宋" w:cs="仿宋"/>
          <w:i w:val="0"/>
          <w:caps w:val="0"/>
          <w:color w:val="000000"/>
          <w:spacing w:val="0"/>
          <w:sz w:val="32"/>
          <w:szCs w:val="32"/>
          <w:shd w:val="clear" w:fill="FFFFFF"/>
        </w:rPr>
        <w:t>领导班子成员调整后，在抓好一般事务性信息公开工作基础上，园区工委管委高度重视政务信息公开工作，及时调整更新组织机构，明确职责分工，规定凡是涉及本单位核心工作统筹、企业招商引资、产业调整、财政预决算等重点领域的内容都必须按照规定实施信息公开。</w:t>
      </w:r>
      <w:r>
        <w:rPr>
          <w:rFonts w:hint="eastAsia" w:ascii="仿宋" w:hAnsi="仿宋" w:eastAsia="仿宋" w:cs="仿宋"/>
          <w:spacing w:val="8"/>
          <w:kern w:val="0"/>
          <w:sz w:val="32"/>
          <w:szCs w:val="32"/>
        </w:rPr>
        <w:t>   </w:t>
      </w:r>
    </w:p>
    <w:p>
      <w:pPr>
        <w:widowControl/>
        <w:spacing w:line="560" w:lineRule="exact"/>
        <w:ind w:firstLine="675"/>
        <w:jc w:val="both"/>
        <w:rPr>
          <w:rFonts w:hint="eastAsia" w:ascii="仿宋" w:hAnsi="仿宋" w:eastAsia="仿宋" w:cs="仿宋"/>
          <w:spacing w:val="8"/>
          <w:kern w:val="0"/>
          <w:sz w:val="32"/>
          <w:szCs w:val="32"/>
        </w:rPr>
      </w:pP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lang w:val="en-US" w:eastAsia="zh-CN"/>
        </w:rPr>
        <w:t>二</w:t>
      </w: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rPr>
        <w:t>主动公开情况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园区2021年政府信息公开渠道主要为首都之窗北京市政府信息公开专栏和微信公众号，其中政府信息公开专栏公开信息</w:t>
      </w:r>
      <w:r>
        <w:rPr>
          <w:rFonts w:hint="eastAsia" w:ascii="仿宋_GB2312" w:hAnsi="宋体" w:eastAsia="仿宋_GB2312" w:cs="宋体"/>
          <w:spacing w:val="8"/>
          <w:kern w:val="0"/>
          <w:sz w:val="32"/>
          <w:szCs w:val="32"/>
          <w:lang w:val="en-US" w:eastAsia="zh-CN"/>
        </w:rPr>
        <w:t>247</w:t>
      </w:r>
      <w:r>
        <w:rPr>
          <w:rFonts w:hint="eastAsia" w:ascii="仿宋_GB2312" w:hAnsi="宋体" w:eastAsia="仿宋_GB2312" w:cs="宋体"/>
          <w:spacing w:val="8"/>
          <w:kern w:val="0"/>
          <w:sz w:val="32"/>
          <w:szCs w:val="32"/>
        </w:rPr>
        <w:t>条，微信公众号发布信息</w:t>
      </w:r>
      <w:r>
        <w:rPr>
          <w:rFonts w:hint="eastAsia" w:ascii="仿宋_GB2312" w:hAnsi="宋体" w:eastAsia="仿宋_GB2312" w:cs="宋体"/>
          <w:spacing w:val="8"/>
          <w:kern w:val="0"/>
          <w:sz w:val="32"/>
          <w:szCs w:val="32"/>
          <w:lang w:val="en-US" w:eastAsia="zh-CN"/>
        </w:rPr>
        <w:t>389</w:t>
      </w:r>
      <w:r>
        <w:rPr>
          <w:rFonts w:hint="eastAsia" w:ascii="仿宋_GB2312" w:hAnsi="宋体" w:eastAsia="仿宋_GB2312" w:cs="宋体"/>
          <w:spacing w:val="8"/>
          <w:kern w:val="0"/>
          <w:sz w:val="32"/>
          <w:szCs w:val="32"/>
        </w:rPr>
        <w:t>条。本年规范性文件2件。政府集中采购项目数量1</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项，采购总金额191.46万元。</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三</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政府信息资源的规范化、标准化管理情况</w:t>
      </w:r>
    </w:p>
    <w:p>
      <w:pPr>
        <w:widowControl/>
        <w:spacing w:line="560" w:lineRule="exact"/>
        <w:ind w:firstLine="675"/>
        <w:jc w:val="both"/>
        <w:rPr>
          <w:rFonts w:hint="eastAsia" w:ascii="宋体" w:hAnsi="宋体" w:eastAsia="宋体" w:cs="宋体"/>
          <w:i w:val="0"/>
          <w:caps w:val="0"/>
          <w:color w:val="000000"/>
          <w:spacing w:val="0"/>
          <w:sz w:val="18"/>
          <w:szCs w:val="18"/>
          <w:shd w:val="clear" w:fill="FFFFFF"/>
        </w:rPr>
      </w:pPr>
      <w:r>
        <w:rPr>
          <w:rFonts w:hint="eastAsia" w:ascii="仿宋" w:hAnsi="仿宋" w:eastAsia="仿宋" w:cs="仿宋"/>
          <w:i w:val="0"/>
          <w:caps w:val="0"/>
          <w:color w:val="000000"/>
          <w:spacing w:val="0"/>
          <w:sz w:val="32"/>
          <w:szCs w:val="32"/>
          <w:shd w:val="clear" w:fill="FFFFFF"/>
        </w:rPr>
        <w:t>为深入贯彻落实根据《中华人民共和国政府信息公开条例》，园区按要求修正调整信息公开全清单、领导介绍、为政府信息资源的规范化、专题专栏等要素、包括机构设置、标准化管理打下坚实基础。</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四</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依申请公开办理情况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本年共收到政府信息公开申请2项，申请人为自然人，根据《中华人民共和国政府信息公开条例》相关规定，已进行答复。</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五</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政府信息公开平台建设情况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园区2021年政府信息公开渠道主要为首都之窗北京市政府信息公开专栏和微信公众号。信息公开专栏公开信息</w:t>
      </w:r>
      <w:r>
        <w:rPr>
          <w:rFonts w:hint="eastAsia" w:ascii="仿宋_GB2312" w:hAnsi="宋体" w:eastAsia="仿宋_GB2312" w:cs="宋体"/>
          <w:spacing w:val="8"/>
          <w:kern w:val="0"/>
          <w:sz w:val="32"/>
          <w:szCs w:val="32"/>
          <w:lang w:val="en-US" w:eastAsia="zh-CN"/>
        </w:rPr>
        <w:t>247</w:t>
      </w:r>
      <w:r>
        <w:rPr>
          <w:rFonts w:hint="eastAsia" w:ascii="仿宋_GB2312" w:hAnsi="宋体" w:eastAsia="仿宋_GB2312" w:cs="宋体"/>
          <w:spacing w:val="8"/>
          <w:kern w:val="0"/>
          <w:sz w:val="32"/>
          <w:szCs w:val="32"/>
        </w:rPr>
        <w:t>条。微信公众号“中关村丰台园”20</w:t>
      </w:r>
      <w:r>
        <w:rPr>
          <w:rFonts w:hint="eastAsia" w:ascii="仿宋_GB2312" w:hAnsi="宋体" w:eastAsia="仿宋_GB2312" w:cs="宋体"/>
          <w:spacing w:val="8"/>
          <w:kern w:val="0"/>
          <w:sz w:val="32"/>
          <w:szCs w:val="32"/>
          <w:lang w:val="en-US" w:eastAsia="zh-CN"/>
        </w:rPr>
        <w:t>21</w:t>
      </w:r>
      <w:r>
        <w:rPr>
          <w:rFonts w:hint="eastAsia" w:ascii="仿宋_GB2312" w:hAnsi="宋体" w:eastAsia="仿宋_GB2312" w:cs="宋体"/>
          <w:spacing w:val="8"/>
          <w:kern w:val="0"/>
          <w:sz w:val="32"/>
          <w:szCs w:val="32"/>
        </w:rPr>
        <w:t>年累计发布消息</w:t>
      </w:r>
      <w:r>
        <w:rPr>
          <w:rFonts w:hint="eastAsia" w:ascii="仿宋_GB2312" w:hAnsi="宋体" w:eastAsia="仿宋_GB2312" w:cs="宋体"/>
          <w:spacing w:val="8"/>
          <w:kern w:val="0"/>
          <w:sz w:val="32"/>
          <w:szCs w:val="32"/>
          <w:lang w:val="en-US" w:eastAsia="zh-CN"/>
        </w:rPr>
        <w:t>389</w:t>
      </w:r>
      <w:r>
        <w:rPr>
          <w:rFonts w:hint="eastAsia" w:ascii="仿宋_GB2312" w:hAnsi="宋体" w:eastAsia="仿宋_GB2312" w:cs="宋体"/>
          <w:spacing w:val="8"/>
          <w:kern w:val="0"/>
          <w:sz w:val="32"/>
          <w:szCs w:val="32"/>
        </w:rPr>
        <w:t>条。</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六</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政府信息公开监督保障及教育培训情况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按要求参加区2021年度政府网站和信息公开业务培训，对依申请公开业务、政府网站集约化平台使用、</w:t>
      </w:r>
      <w:r>
        <w:rPr>
          <w:rFonts w:hint="eastAsia" w:ascii="仿宋_GB2312" w:hAnsi="宋体" w:eastAsia="仿宋_GB2312" w:cs="宋体"/>
          <w:spacing w:val="8"/>
          <w:kern w:val="0"/>
          <w:sz w:val="32"/>
          <w:szCs w:val="32"/>
          <w:lang w:eastAsia="zh-CN"/>
        </w:rPr>
        <w:t>信息公开年度报告培训</w:t>
      </w:r>
      <w:r>
        <w:rPr>
          <w:rFonts w:hint="eastAsia" w:ascii="仿宋_GB2312" w:hAnsi="宋体" w:eastAsia="仿宋_GB2312" w:cs="宋体"/>
          <w:spacing w:val="8"/>
          <w:kern w:val="0"/>
          <w:sz w:val="32"/>
          <w:szCs w:val="32"/>
        </w:rPr>
        <w:t>等事项进行了重点学习。</w:t>
      </w:r>
    </w:p>
    <w:p>
      <w:pPr>
        <w:widowControl/>
        <w:spacing w:line="560" w:lineRule="exact"/>
        <w:ind w:firstLine="675"/>
        <w:jc w:val="both"/>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（七）政务公开要点落实情况</w:t>
      </w:r>
    </w:p>
    <w:p>
      <w:pPr>
        <w:widowControl/>
        <w:spacing w:line="560" w:lineRule="exact"/>
        <w:ind w:firstLine="675"/>
        <w:jc w:val="both"/>
        <w:rPr>
          <w:rFonts w:hint="eastAsia" w:ascii="宋体" w:hAnsi="宋体" w:eastAsia="宋体" w:cs="宋体"/>
          <w:b w:val="0"/>
          <w:bCs/>
          <w:color w:val="000000"/>
          <w:sz w:val="18"/>
          <w:szCs w:val="18"/>
          <w:shd w:val="clear" w:color="auto" w:fill="FFFFFF"/>
        </w:rPr>
      </w:pPr>
      <w:r>
        <w:rPr>
          <w:rFonts w:hint="eastAsia" w:ascii="仿宋_GB2312" w:hAnsi="宋体" w:eastAsia="仿宋_GB2312" w:cs="宋体"/>
          <w:spacing w:val="8"/>
          <w:kern w:val="0"/>
          <w:sz w:val="32"/>
          <w:szCs w:val="32"/>
          <w:lang w:val="en-US" w:eastAsia="zh-CN"/>
        </w:rPr>
        <w:t xml:space="preserve"> 及时发布搭建企业平台信息，</w:t>
      </w:r>
      <w:r>
        <w:rPr>
          <w:rFonts w:hint="eastAsia" w:ascii="仿宋_GB2312" w:hAnsi="宋体" w:eastAsia="仿宋_GB2312" w:cs="宋体"/>
          <w:spacing w:val="8"/>
          <w:kern w:val="0"/>
          <w:sz w:val="32"/>
          <w:szCs w:val="32"/>
        </w:rPr>
        <w:t>推进疫情防控和复工复产信息公开</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做好审核把关、信息发布等职责，客观公布事件进展、政府举措、公众防范措施等结果</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推进办事服务信息公开</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完善机构职能介绍</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精准发布推送</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立足“送政策、送服务、解难题”，有针对性的进行信息推送服务</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规范管理政务新媒体</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加强动态监管，明确一个微信主账号，集中力量做优做强，开设、变更、关停、注销均及时向主管单位备案</w:t>
      </w:r>
      <w:r>
        <w:rPr>
          <w:rFonts w:hint="eastAsia" w:ascii="仿宋_GB2312" w:hAnsi="宋体" w:eastAsia="仿宋_GB2312" w:cs="宋体"/>
          <w:spacing w:val="8"/>
          <w:kern w:val="0"/>
          <w:sz w:val="32"/>
          <w:szCs w:val="32"/>
          <w:lang w:eastAsia="zh-CN"/>
        </w:rPr>
        <w:t>；推进依</w:t>
      </w:r>
      <w:r>
        <w:rPr>
          <w:rFonts w:hint="eastAsia" w:ascii="仿宋_GB2312" w:hAnsi="宋体" w:eastAsia="仿宋_GB2312" w:cs="宋体"/>
          <w:spacing w:val="8"/>
          <w:kern w:val="0"/>
          <w:sz w:val="32"/>
          <w:szCs w:val="32"/>
        </w:rPr>
        <w:t>申请公开标准化规范化建设</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对本年度收到的依申请公开件严格依法依规办理，落实登记、审核、办理、答复、归档等工作</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为了解丰台园企业对管委企业服务工作的评价情况，进一步优化提升服务水平，在2021年5月份面向社会公众开展了丰台园企业服务情况民意调查，针对调查中反映的问题，多渠道开展政策宣传，努力提升企业服务水平；按照区政务服务局11月下发整改内容，我单位积极完成整改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textAlignment w:val="auto"/>
        <w:rPr>
          <w:rFonts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 二、主动公开政府信息情况</w:t>
      </w:r>
    </w:p>
    <w:p>
      <w:pPr>
        <w:pStyle w:val="6"/>
        <w:widowControl/>
        <w:shd w:val="clear" w:color="auto" w:fill="FFFFFF"/>
        <w:spacing w:beforeAutospacing="0" w:afterAutospacing="0"/>
        <w:rPr>
          <w:rFonts w:ascii="宋体" w:hAnsi="宋体" w:eastAsia="宋体" w:cs="宋体"/>
          <w:color w:val="000000"/>
          <w:sz w:val="18"/>
          <w:szCs w:val="18"/>
        </w:rPr>
      </w:pPr>
      <w:r>
        <w:rPr>
          <w:rFonts w:hint="eastAsia" w:ascii="MS Mincho" w:hAnsi="MS Mincho" w:eastAsia="MS Mincho" w:cs="MS Mincho"/>
          <w:b/>
          <w:color w:val="000000"/>
          <w:sz w:val="18"/>
          <w:szCs w:val="18"/>
          <w:shd w:val="clear" w:color="auto" w:fill="FFFFFF"/>
        </w:rPr>
        <w:t>  </w:t>
      </w: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4</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shd w:val="clear" w:color="auto" w:fill="BDD7EE"/>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4" w:space="0"/>
              <w:right w:val="single" w:color="000000"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w:t>
            </w:r>
          </w:p>
        </w:tc>
      </w:tr>
    </w:tbl>
    <w:p>
      <w:pPr>
        <w:widowControl/>
        <w:spacing w:line="560" w:lineRule="exact"/>
        <w:ind w:firstLine="672" w:firstLineChars="200"/>
        <w:jc w:val="left"/>
        <w:rPr>
          <w:rFonts w:hint="eastAsia" w:ascii="黑体" w:hAnsi="黑体" w:eastAsia="黑体" w:cs="宋体"/>
          <w:spacing w:val="8"/>
          <w:kern w:val="0"/>
          <w:sz w:val="32"/>
          <w:szCs w:val="32"/>
        </w:rPr>
      </w:pPr>
      <w:r>
        <w:rPr>
          <w:rFonts w:hint="eastAsia" w:ascii="黑体" w:hAnsi="黑体" w:eastAsia="黑体" w:cs="宋体"/>
          <w:spacing w:val="8"/>
          <w:kern w:val="0"/>
          <w:sz w:val="32"/>
          <w:szCs w:val="32"/>
        </w:rPr>
        <w:t xml:space="preserve"> </w:t>
      </w:r>
    </w:p>
    <w:p>
      <w:pPr>
        <w:widowControl/>
        <w:spacing w:line="560" w:lineRule="exact"/>
        <w:ind w:firstLine="672" w:firstLineChars="200"/>
        <w:jc w:val="left"/>
        <w:rPr>
          <w:rFonts w:hint="eastAsia"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三、</w:t>
      </w:r>
      <w:r>
        <w:rPr>
          <w:rFonts w:hint="eastAsia" w:ascii="黑体" w:hAnsi="黑体" w:eastAsia="黑体" w:cs="宋体"/>
          <w:spacing w:val="8"/>
          <w:kern w:val="0"/>
          <w:sz w:val="32"/>
          <w:szCs w:val="32"/>
        </w:rPr>
        <w:t>收到和处理政府信息公开申请情况</w:t>
      </w:r>
    </w:p>
    <w:p>
      <w:pPr>
        <w:pStyle w:val="2"/>
        <w:numPr>
          <w:ilvl w:val="0"/>
          <w:numId w:val="0"/>
        </w:numPr>
        <w:rPr>
          <w:rFonts w:hint="eastAsia"/>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center"/>
            </w:pPr>
            <w:r>
              <w:rPr>
                <w:rFonts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center"/>
              <w:rPr>
                <w:rFonts w:hint="eastAsia"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center"/>
              <w:rPr>
                <w:rFonts w:hint="eastAsia"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jc w:val="center"/>
              <w:rPr>
                <w:rFonts w:hint="eastAsia"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其他</w:t>
            </w:r>
          </w:p>
        </w:tc>
        <w:tc>
          <w:tcPr>
            <w:tcW w:w="688"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jc w:val="cente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eastAsia="zh-CN"/>
              </w:rPr>
            </w:pPr>
            <w:r>
              <w:rPr>
                <w:rFonts w:hint="eastAsia"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rPr>
                <w:rFonts w:hint="eastAsia" w:eastAsiaTheme="minorEastAsia"/>
                <w:lang w:eastAsia="zh-CN"/>
              </w:rPr>
            </w:pPr>
            <w:r>
              <w:rPr>
                <w:rFonts w:hint="eastAsia"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left"/>
              <w:rPr>
                <w:rFonts w:hint="eastAsia" w:eastAsiaTheme="minorEastAsia"/>
                <w:lang w:eastAsia="zh-CN"/>
              </w:rPr>
            </w:pPr>
            <w:r>
              <w:rPr>
                <w:rFonts w:hint="eastAsia"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rPr>
                <w:rFonts w:hint="eastAsia" w:eastAsiaTheme="minorEastAsia"/>
                <w:lang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left"/>
              <w:rPr>
                <w:rFonts w:hint="eastAsia" w:eastAsiaTheme="minorEastAsia"/>
                <w:lang w:eastAsia="zh-CN"/>
              </w:rPr>
            </w:pPr>
            <w:r>
              <w:rPr>
                <w:rFonts w:hint="eastAsia"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rPr>
                <w:rFonts w:hint="eastAsia" w:eastAsiaTheme="minorEastAsia"/>
                <w:lang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center"/>
              <w:rPr>
                <w:rFonts w:hint="eastAsia"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restart"/>
            <w:tcBorders>
              <w:top w:val="outset" w:color="auto" w:sz="8" w:space="0"/>
              <w:left w:val="nil"/>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（六）其他处理</w:t>
            </w:r>
          </w:p>
        </w:tc>
        <w:tc>
          <w:tcPr>
            <w:tcW w:w="3220" w:type="dxa"/>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widowControl/>
              <w:jc w:val="center"/>
              <w:rPr>
                <w:rFonts w:hint="eastAsia" w:ascii="宋体" w:hAnsi="宋体" w:cs="宋体"/>
                <w:kern w:val="0"/>
                <w:sz w:val="20"/>
                <w:szCs w:val="20"/>
              </w:rPr>
            </w:pPr>
          </w:p>
        </w:tc>
        <w:tc>
          <w:tcPr>
            <w:tcW w:w="3220" w:type="dxa"/>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eastAsiaTheme="minorEastAsia"/>
                <w:kern w:val="0"/>
                <w:sz w:val="20"/>
                <w:szCs w:val="20"/>
                <w:lang w:val="en-US" w:eastAsia="zh-CN"/>
              </w:rP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eastAsiaTheme="minorEastAsia"/>
                <w:kern w:val="0"/>
                <w:sz w:val="20"/>
                <w:szCs w:val="20"/>
                <w:lang w:val="en-US" w:eastAsia="zh-CN"/>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eastAsiaTheme="minorEastAsia"/>
                <w:kern w:val="0"/>
                <w:sz w:val="20"/>
                <w:szCs w:val="20"/>
                <w:lang w:val="en-US" w:eastAsia="zh-CN"/>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943" w:type="dxa"/>
            <w:vMerge w:val="continue"/>
            <w:tcBorders>
              <w:left w:val="nil"/>
              <w:bottom w:val="outset"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kern w:val="0"/>
                <w:sz w:val="20"/>
                <w:szCs w:val="20"/>
              </w:rPr>
            </w:pPr>
          </w:p>
        </w:tc>
        <w:tc>
          <w:tcPr>
            <w:tcW w:w="3220" w:type="dxa"/>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cs="Calibri"/>
                <w:kern w:val="0"/>
                <w:sz w:val="20"/>
                <w:szCs w:val="20"/>
              </w:rPr>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rP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cente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lang w:eastAsia="zh-CN"/>
              </w:rPr>
            </w:pPr>
            <w:r>
              <w:rPr>
                <w:rFonts w:hint="eastAsia"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pP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left"/>
              <w:rPr>
                <w:rFonts w:hint="eastAsia" w:eastAsiaTheme="minorEastAsia"/>
                <w:lang w:eastAsia="zh-CN"/>
              </w:rPr>
            </w:pPr>
            <w:r>
              <w:rPr>
                <w:rFonts w:hint="eastAsia"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left"/>
              <w:rPr>
                <w:rFonts w:hint="eastAsia"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left"/>
              <w:rPr>
                <w:rFonts w:hint="eastAsia"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left"/>
              <w:rPr>
                <w:rFonts w:hint="eastAsia"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left"/>
              <w:rPr>
                <w:rFonts w:hint="eastAsia"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left"/>
              <w:rPr>
                <w:rFonts w:hint="eastAsia"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left"/>
              <w:rPr>
                <w:rFonts w:hint="eastAsia"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widowControl/>
              <w:jc w:val="left"/>
            </w:pPr>
            <w:r>
              <w:rPr>
                <w:rFonts w:hint="eastAsia" w:cs="Calibri"/>
                <w:kern w:val="0"/>
                <w:sz w:val="20"/>
                <w:szCs w:val="20"/>
              </w:rPr>
              <w:t>0</w:t>
            </w:r>
          </w:p>
        </w:tc>
      </w:tr>
    </w:tbl>
    <w:p>
      <w:pPr>
        <w:widowControl/>
        <w:spacing w:line="560" w:lineRule="exact"/>
        <w:jc w:val="left"/>
        <w:rPr>
          <w:rFonts w:hint="eastAsia" w:ascii="黑体" w:hAnsi="黑体" w:eastAsia="黑体" w:cs="宋体"/>
          <w:spacing w:val="8"/>
          <w:kern w:val="0"/>
          <w:sz w:val="32"/>
          <w:szCs w:val="32"/>
        </w:rPr>
      </w:pPr>
    </w:p>
    <w:p>
      <w:pPr>
        <w:widowControl/>
        <w:numPr>
          <w:ilvl w:val="0"/>
          <w:numId w:val="0"/>
        </w:numPr>
        <w:spacing w:line="560" w:lineRule="exact"/>
        <w:ind w:leftChars="200"/>
        <w:jc w:val="left"/>
        <w:rPr>
          <w:rFonts w:hint="eastAsia"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四、</w:t>
      </w:r>
      <w:r>
        <w:rPr>
          <w:rFonts w:hint="eastAsia" w:ascii="黑体" w:hAnsi="黑体" w:eastAsia="黑体" w:cs="宋体"/>
          <w:spacing w:val="8"/>
          <w:kern w:val="0"/>
          <w:sz w:val="32"/>
          <w:szCs w:val="32"/>
        </w:rPr>
        <w:t>政府信息公开行政复议、行政诉讼情况</w:t>
      </w:r>
    </w:p>
    <w:p>
      <w:pPr>
        <w:pStyle w:val="2"/>
        <w:numPr>
          <w:ilvl w:val="0"/>
          <w:numId w:val="0"/>
        </w:numPr>
        <w:ind w:leftChars="200"/>
        <w:rPr>
          <w:rFonts w:hint="eastAsia"/>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结果</w:t>
            </w:r>
          </w:p>
          <w:p>
            <w:pPr>
              <w:widowControl/>
              <w:jc w:val="center"/>
            </w:pPr>
            <w:r>
              <w:rPr>
                <w:rFonts w:hint="eastAsia" w:ascii="宋体" w:hAnsi="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其他</w:t>
            </w:r>
          </w:p>
          <w:p>
            <w:pPr>
              <w:widowControl/>
              <w:jc w:val="center"/>
            </w:pPr>
            <w:r>
              <w:rPr>
                <w:rFonts w:hint="eastAsia" w:ascii="宋体" w:hAnsi="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尚未</w:t>
            </w:r>
          </w:p>
          <w:p>
            <w:pPr>
              <w:widowControl/>
              <w:jc w:val="center"/>
            </w:pPr>
            <w:r>
              <w:rPr>
                <w:rFonts w:hint="eastAsia" w:ascii="宋体" w:hAnsi="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结果</w:t>
            </w:r>
          </w:p>
          <w:p>
            <w:pPr>
              <w:widowControl/>
              <w:jc w:val="center"/>
            </w:pP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结果</w:t>
            </w:r>
          </w:p>
          <w:p>
            <w:pPr>
              <w:widowControl/>
              <w:jc w:val="center"/>
            </w:pP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其他</w:t>
            </w:r>
          </w:p>
          <w:p>
            <w:pPr>
              <w:widowControl/>
              <w:jc w:val="center"/>
            </w:pP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尚未</w:t>
            </w:r>
          </w:p>
          <w:p>
            <w:pPr>
              <w:widowControl/>
              <w:jc w:val="center"/>
            </w:pP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结果</w:t>
            </w:r>
          </w:p>
          <w:p>
            <w:pPr>
              <w:widowControl/>
              <w:jc w:val="center"/>
            </w:pPr>
            <w:r>
              <w:rPr>
                <w:rFonts w:hint="eastAsia" w:ascii="宋体" w:hAnsi="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结果</w:t>
            </w:r>
          </w:p>
          <w:p>
            <w:pPr>
              <w:widowControl/>
              <w:jc w:val="center"/>
            </w:pP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其他</w:t>
            </w:r>
          </w:p>
          <w:p>
            <w:pPr>
              <w:widowControl/>
              <w:jc w:val="center"/>
            </w:pPr>
            <w:r>
              <w:rPr>
                <w:rFonts w:hint="eastAsia" w:ascii="宋体" w:hAnsi="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尚未</w:t>
            </w:r>
          </w:p>
          <w:p>
            <w:pPr>
              <w:widowControl/>
              <w:jc w:val="center"/>
            </w:pP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left"/>
              <w:rPr>
                <w:rFonts w:hint="eastAsia" w:ascii="宋体"/>
                <w:sz w:val="24"/>
              </w:rPr>
            </w:pPr>
            <w:r>
              <w:rPr>
                <w:rFonts w:hint="eastAsia" w:ascii="宋体"/>
                <w:sz w:val="24"/>
              </w:rPr>
              <w:t>0</w:t>
            </w:r>
          </w:p>
        </w:tc>
      </w:tr>
    </w:tbl>
    <w:p>
      <w:pPr>
        <w:pStyle w:val="6"/>
        <w:widowControl/>
        <w:shd w:val="clear" w:color="auto" w:fill="FFFFFF"/>
        <w:spacing w:beforeAutospacing="0" w:afterAutospacing="0"/>
        <w:ind w:firstLine="708" w:firstLineChars="392"/>
        <w:rPr>
          <w:rFonts w:cs="宋体" w:asciiTheme="minorEastAsia" w:hAnsiTheme="minorEastAsia"/>
          <w:b/>
          <w:color w:val="000000"/>
          <w:sz w:val="18"/>
          <w:szCs w:val="18"/>
        </w:rPr>
      </w:pPr>
    </w:p>
    <w:p>
      <w:pPr>
        <w:pStyle w:val="6"/>
        <w:widowControl/>
        <w:shd w:val="clear" w:color="auto" w:fill="FFFFFF"/>
        <w:spacing w:beforeAutospacing="0" w:afterAutospacing="0"/>
        <w:rPr>
          <w:rFonts w:hint="eastAsia" w:ascii="黑体" w:hAnsi="黑体" w:eastAsia="黑体" w:cs="宋体"/>
          <w:spacing w:val="8"/>
          <w:kern w:val="0"/>
          <w:sz w:val="32"/>
          <w:szCs w:val="32"/>
          <w:lang w:val="en-US" w:eastAsia="zh-CN" w:bidi="ar-SA"/>
        </w:rPr>
      </w:pPr>
      <w:r>
        <w:rPr>
          <w:rFonts w:hint="eastAsia" w:ascii="宋体" w:hAnsi="宋体" w:eastAsia="宋体" w:cs="宋体"/>
          <w:b/>
          <w:color w:val="000000"/>
          <w:sz w:val="18"/>
          <w:szCs w:val="18"/>
          <w:shd w:val="clear" w:color="auto" w:fill="FFFFFF"/>
        </w:rPr>
        <w:t>  </w:t>
      </w:r>
      <w:r>
        <w:rPr>
          <w:rFonts w:hint="eastAsia" w:ascii="黑体" w:hAnsi="黑体" w:eastAsia="黑体" w:cs="宋体"/>
          <w:spacing w:val="8"/>
          <w:kern w:val="0"/>
          <w:sz w:val="32"/>
          <w:szCs w:val="32"/>
          <w:lang w:val="en-US" w:eastAsia="zh-CN" w:bidi="ar-SA"/>
        </w:rPr>
        <w:t>  五、存在的主要问题及改进情况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具体表现为招商引资和文体活动类信息发布较少。园区将在保证信息质量的同时，对信息发布类别做好规划。</w:t>
      </w:r>
    </w:p>
    <w:p>
      <w:pPr>
        <w:pStyle w:val="6"/>
        <w:widowControl/>
        <w:shd w:val="clear" w:color="auto" w:fill="FFFFFF"/>
        <w:spacing w:beforeAutospacing="0" w:afterAutospacing="0"/>
        <w:rPr>
          <w:rFonts w:hint="eastAsia" w:ascii="黑体" w:hAnsi="黑体" w:eastAsia="黑体" w:cs="宋体"/>
          <w:spacing w:val="8"/>
          <w:kern w:val="0"/>
          <w:sz w:val="32"/>
          <w:szCs w:val="32"/>
          <w:lang w:val="en-US" w:eastAsia="zh-CN" w:bidi="ar-SA"/>
        </w:rPr>
      </w:pPr>
      <w:r>
        <w:rPr>
          <w:rFonts w:hint="eastAsia" w:ascii="宋体" w:hAnsi="宋体" w:eastAsia="宋体" w:cs="宋体"/>
          <w:b/>
          <w:color w:val="000000"/>
          <w:sz w:val="18"/>
          <w:szCs w:val="18"/>
          <w:shd w:val="clear" w:color="auto" w:fill="FFFFFF"/>
        </w:rPr>
        <w:t>   </w:t>
      </w:r>
      <w:r>
        <w:rPr>
          <w:rFonts w:hint="eastAsia" w:ascii="宋体" w:hAnsi="宋体" w:eastAsia="宋体" w:cs="宋体"/>
          <w:b/>
          <w:color w:val="000000"/>
          <w:sz w:val="18"/>
          <w:szCs w:val="18"/>
          <w:shd w:val="clear" w:color="auto" w:fill="FFFFFF"/>
          <w:lang w:val="en-US" w:eastAsia="zh-CN"/>
        </w:rPr>
        <w:t xml:space="preserve">  </w:t>
      </w:r>
      <w:r>
        <w:rPr>
          <w:rFonts w:hint="eastAsia" w:ascii="黑体" w:hAnsi="黑体" w:eastAsia="黑体" w:cs="宋体"/>
          <w:spacing w:val="8"/>
          <w:kern w:val="0"/>
          <w:sz w:val="32"/>
          <w:szCs w:val="32"/>
          <w:lang w:val="en-US" w:eastAsia="zh-CN" w:bidi="ar-SA"/>
        </w:rPr>
        <w:t> 六、其他需要报告的事项</w:t>
      </w:r>
    </w:p>
    <w:p>
      <w:pPr>
        <w:pStyle w:val="6"/>
        <w:widowControl/>
        <w:shd w:val="clear" w:color="auto" w:fill="FFFFFF"/>
        <w:spacing w:beforeAutospacing="0" w:afterAutospacing="0"/>
        <w:rPr>
          <w:rFonts w:hint="eastAsia" w:ascii="仿宋_GB2312" w:hAnsi="宋体" w:eastAsia="仿宋_GB2312" w:cs="宋体"/>
          <w:spacing w:val="8"/>
          <w:kern w:val="0"/>
          <w:sz w:val="32"/>
          <w:szCs w:val="32"/>
          <w:lang w:val="en-US" w:eastAsia="zh-CN" w:bidi="ar-SA"/>
        </w:rPr>
      </w:pPr>
      <w:r>
        <w:rPr>
          <w:rFonts w:hint="eastAsia" w:ascii="宋体" w:hAnsi="宋体" w:eastAsia="宋体" w:cs="宋体"/>
          <w:color w:val="000000"/>
          <w:sz w:val="18"/>
          <w:szCs w:val="18"/>
          <w:shd w:val="clear" w:color="auto" w:fill="FFFFFF"/>
        </w:rPr>
        <w:t>　　</w:t>
      </w:r>
      <w:r>
        <w:rPr>
          <w:rFonts w:hint="eastAsia" w:ascii="宋体" w:hAnsi="宋体" w:eastAsia="宋体" w:cs="宋体"/>
          <w:color w:val="000000"/>
          <w:sz w:val="18"/>
          <w:szCs w:val="18"/>
          <w:shd w:val="clear" w:color="auto" w:fill="FFFFFF"/>
          <w:lang w:val="en-US" w:eastAsia="zh-CN"/>
        </w:rPr>
        <w:t xml:space="preserve">  </w:t>
      </w:r>
      <w:r>
        <w:rPr>
          <w:rFonts w:hint="eastAsia" w:ascii="仿宋_GB2312" w:hAnsi="宋体" w:eastAsia="仿宋_GB2312" w:cs="宋体"/>
          <w:spacing w:val="8"/>
          <w:kern w:val="0"/>
          <w:sz w:val="32"/>
          <w:szCs w:val="32"/>
          <w:lang w:val="en-US" w:eastAsia="zh-CN" w:bidi="ar-SA"/>
        </w:rPr>
        <w:t>发出收费通知的件数和总金额以及实际收取的总金额均为0。</w:t>
      </w:r>
    </w:p>
    <w:p>
      <w:pPr>
        <w:pStyle w:val="6"/>
        <w:widowControl/>
        <w:shd w:val="clear" w:color="auto" w:fill="FFFFFF"/>
        <w:spacing w:beforeAutospacing="0" w:afterAutospacing="0"/>
        <w:ind w:firstLine="420"/>
        <w:rPr>
          <w:rFonts w:ascii="宋体" w:hAnsi="宋体" w:eastAsia="宋体" w:cs="宋体"/>
          <w:color w:val="000000"/>
          <w:sz w:val="18"/>
          <w:szCs w:val="18"/>
        </w:rPr>
      </w:pPr>
      <w:r>
        <w:rPr>
          <w:rFonts w:hint="eastAsia" w:ascii="宋体" w:hAnsi="宋体" w:eastAsia="宋体" w:cs="宋体"/>
          <w:color w:val="000000"/>
          <w:sz w:val="18"/>
          <w:szCs w:val="18"/>
          <w:shd w:val="clear" w:color="auto"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632F0"/>
    <w:rsid w:val="00236C69"/>
    <w:rsid w:val="00467EA9"/>
    <w:rsid w:val="00DC50E4"/>
    <w:rsid w:val="00F5153E"/>
    <w:rsid w:val="02315EB5"/>
    <w:rsid w:val="03ED0577"/>
    <w:rsid w:val="098C4D87"/>
    <w:rsid w:val="0CFE4904"/>
    <w:rsid w:val="11885D48"/>
    <w:rsid w:val="136102E9"/>
    <w:rsid w:val="13F75ADA"/>
    <w:rsid w:val="18964F30"/>
    <w:rsid w:val="2058174A"/>
    <w:rsid w:val="2181004F"/>
    <w:rsid w:val="26671D6B"/>
    <w:rsid w:val="27EA1F12"/>
    <w:rsid w:val="2E746EF7"/>
    <w:rsid w:val="30C1408F"/>
    <w:rsid w:val="381F31E3"/>
    <w:rsid w:val="46CC461D"/>
    <w:rsid w:val="4DAA29DF"/>
    <w:rsid w:val="4E4632F0"/>
    <w:rsid w:val="5D4D4777"/>
    <w:rsid w:val="60F3594A"/>
    <w:rsid w:val="61C35BBB"/>
    <w:rsid w:val="65AB60C3"/>
    <w:rsid w:val="6EA72655"/>
    <w:rsid w:val="76E74078"/>
    <w:rsid w:val="7B944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1636</Words>
  <Characters>480</Characters>
  <Lines>4</Lines>
  <Paragraphs>4</Paragraphs>
  <TotalTime>3</TotalTime>
  <ScaleCrop>false</ScaleCrop>
  <LinksUpToDate>false</LinksUpToDate>
  <CharactersWithSpaces>2112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2021-12-20T06:35:00Z</dcterms:created>
  <dc:creator>WJ412</dc:creator>
  <cp:lastModifiedBy>WJ412</cp:lastModifiedBy>
  <dcterms:modified xsi:type="dcterms:W3CDTF">2023-01-18T02:47:11Z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1CBC8980AB8346F18DB9E26C0F0F7E82</vt:lpwstr>
  </property>
</Properties>
</file>