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中关村科技园区丰台园管理委员会</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2023年政府信息公开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组织领导</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园区工委管委高度重视政务信息公开工作，领导班子成员变动后，明确职责分工，及时调整更新组织机构，在抓好一般事务性信息公开工作基础上，规定凡是涉及本单位核心工作统筹、企业招商引资、财政预决算、产业调整等重点领域的内容都必须按照规定实施信息公开。    </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主动公开情况</w:t>
      </w:r>
    </w:p>
    <w:p>
      <w:pPr>
        <w:ind w:firstLine="640" w:firstLineChars="200"/>
        <w:rPr>
          <w:rFonts w:hint="eastAsia" w:ascii="仿宋_GB2312" w:eastAsia="仿宋_GB2312"/>
          <w:sz w:val="32"/>
          <w:szCs w:val="32"/>
        </w:rPr>
      </w:pPr>
      <w:r>
        <w:rPr>
          <w:rFonts w:hint="eastAsia" w:ascii="仿宋_GB2312" w:eastAsia="仿宋_GB2312"/>
          <w:sz w:val="32"/>
          <w:szCs w:val="32"/>
        </w:rPr>
        <w:t>园区20</w:t>
      </w:r>
      <w:r>
        <w:rPr>
          <w:rFonts w:hint="eastAsia" w:ascii="仿宋_GB2312" w:eastAsia="仿宋_GB2312"/>
          <w:sz w:val="32"/>
          <w:szCs w:val="32"/>
          <w:lang w:val="en-US" w:eastAsia="zh-CN"/>
        </w:rPr>
        <w:t>23</w:t>
      </w:r>
      <w:r>
        <w:rPr>
          <w:rFonts w:hint="eastAsia" w:ascii="仿宋_GB2312" w:eastAsia="仿宋_GB2312"/>
          <w:sz w:val="32"/>
          <w:szCs w:val="32"/>
        </w:rPr>
        <w:t>年政府信息公开渠道主要为首都之窗北京市政府信息公开专栏和微信公众号，其中政府信息公开专栏公开信息</w:t>
      </w:r>
      <w:r>
        <w:rPr>
          <w:rFonts w:hint="eastAsia" w:ascii="仿宋_GB2312" w:eastAsia="仿宋_GB2312"/>
          <w:sz w:val="32"/>
          <w:szCs w:val="32"/>
          <w:lang w:val="en-US" w:eastAsia="zh-CN"/>
        </w:rPr>
        <w:t>292</w:t>
      </w:r>
      <w:r>
        <w:rPr>
          <w:rFonts w:hint="eastAsia" w:ascii="仿宋_GB2312" w:eastAsia="仿宋_GB2312"/>
          <w:sz w:val="32"/>
          <w:szCs w:val="32"/>
        </w:rPr>
        <w:t>条，微信公众号发布信息</w:t>
      </w:r>
      <w:r>
        <w:rPr>
          <w:rFonts w:hint="eastAsia" w:ascii="仿宋_GB2312" w:eastAsia="仿宋_GB2312"/>
          <w:sz w:val="32"/>
          <w:szCs w:val="32"/>
          <w:lang w:val="en-US" w:eastAsia="zh-CN"/>
        </w:rPr>
        <w:t>642</w:t>
      </w:r>
      <w:r>
        <w:rPr>
          <w:rFonts w:hint="eastAsia" w:ascii="仿宋_GB2312" w:eastAsia="仿宋_GB2312"/>
          <w:sz w:val="32"/>
          <w:szCs w:val="32"/>
        </w:rPr>
        <w:t>条。本年</w:t>
      </w:r>
      <w:r>
        <w:rPr>
          <w:rFonts w:hint="eastAsia" w:ascii="仿宋_GB2312" w:eastAsia="仿宋_GB2312"/>
          <w:sz w:val="32"/>
          <w:szCs w:val="32"/>
          <w:lang w:eastAsia="zh-CN"/>
        </w:rPr>
        <w:t>增加</w:t>
      </w:r>
      <w:r>
        <w:rPr>
          <w:rFonts w:hint="eastAsia" w:ascii="仿宋_GB2312" w:eastAsia="仿宋_GB2312"/>
          <w:sz w:val="32"/>
          <w:szCs w:val="32"/>
          <w:lang w:val="en-US" w:eastAsia="zh-CN"/>
        </w:rPr>
        <w:t>1件</w:t>
      </w:r>
      <w:r>
        <w:rPr>
          <w:rFonts w:hint="eastAsia" w:ascii="仿宋_GB2312" w:eastAsia="仿宋_GB2312"/>
          <w:sz w:val="32"/>
          <w:szCs w:val="32"/>
        </w:rPr>
        <w:t>规范性文件。政府集中采购项目数量13项，采购总金额  476.35 万元。</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依申请公开办理情况</w:t>
      </w:r>
    </w:p>
    <w:p>
      <w:pPr>
        <w:ind w:firstLine="640" w:firstLineChars="200"/>
        <w:rPr>
          <w:rFonts w:hint="eastAsia" w:ascii="仿宋_GB2312" w:eastAsia="仿宋_GB2312"/>
          <w:sz w:val="32"/>
          <w:szCs w:val="32"/>
        </w:rPr>
      </w:pPr>
      <w:r>
        <w:rPr>
          <w:rFonts w:hint="eastAsia" w:ascii="仿宋_GB2312" w:eastAsia="仿宋_GB2312"/>
          <w:sz w:val="32"/>
          <w:szCs w:val="32"/>
        </w:rPr>
        <w:t>本年共收到政府信息公开申请1项，申请人为自然人，根据《中华人民共和国政府信息公开条例》相关规定，已进行答复</w:t>
      </w:r>
      <w:r>
        <w:rPr>
          <w:rFonts w:hint="eastAsia" w:ascii="仿宋_GB2312" w:eastAsia="仿宋_GB2312"/>
          <w:sz w:val="32"/>
          <w:szCs w:val="32"/>
          <w:lang w:eastAsia="zh-CN"/>
        </w:rPr>
        <w:t>，检查评估结果为合格</w:t>
      </w:r>
      <w:r>
        <w:rPr>
          <w:rFonts w:hint="eastAsia" w:ascii="仿宋_GB2312" w:eastAsia="仿宋_GB2312"/>
          <w:sz w:val="32"/>
          <w:szCs w:val="32"/>
        </w:rPr>
        <w:t>。</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政府信息资源的规范化、标准化管理情况</w:t>
      </w:r>
    </w:p>
    <w:p>
      <w:pPr>
        <w:ind w:firstLine="640" w:firstLineChars="200"/>
        <w:rPr>
          <w:rFonts w:hint="eastAsia" w:ascii="仿宋_GB2312" w:eastAsia="仿宋_GB2312"/>
          <w:sz w:val="32"/>
          <w:szCs w:val="32"/>
        </w:rPr>
      </w:pPr>
      <w:r>
        <w:rPr>
          <w:rFonts w:hint="eastAsia" w:ascii="仿宋_GB2312" w:eastAsia="仿宋_GB2312"/>
          <w:sz w:val="32"/>
          <w:szCs w:val="32"/>
        </w:rPr>
        <w:t>为深入贯彻落实</w:t>
      </w:r>
      <w:r>
        <w:rPr>
          <w:rFonts w:hint="eastAsia" w:ascii="仿宋_GB2312" w:eastAsia="仿宋_GB2312"/>
          <w:sz w:val="32"/>
          <w:szCs w:val="32"/>
          <w:lang w:eastAsia="zh-CN"/>
        </w:rPr>
        <w:t>《中华人民共和国政府信息公开条例》，认真执行丰台科技园区政府信息主动公开清单，</w:t>
      </w:r>
      <w:r>
        <w:rPr>
          <w:rFonts w:hint="eastAsia" w:ascii="仿宋_GB2312" w:eastAsia="仿宋_GB2312"/>
          <w:sz w:val="32"/>
          <w:szCs w:val="32"/>
        </w:rPr>
        <w:t>按要求调整并公布《丰台科技园政府信息</w:t>
      </w:r>
      <w:r>
        <w:rPr>
          <w:rFonts w:hint="eastAsia" w:ascii="仿宋_GB2312" w:eastAsia="仿宋_GB2312"/>
          <w:sz w:val="32"/>
          <w:szCs w:val="32"/>
          <w:lang w:eastAsia="zh-CN"/>
        </w:rPr>
        <w:t>主动</w:t>
      </w:r>
      <w:r>
        <w:rPr>
          <w:rFonts w:hint="eastAsia" w:ascii="仿宋_GB2312" w:eastAsia="仿宋_GB2312"/>
          <w:sz w:val="32"/>
          <w:szCs w:val="32"/>
        </w:rPr>
        <w:t>公开全清单》，包括具体职责、业务事项等要素，为</w:t>
      </w:r>
      <w:r>
        <w:rPr>
          <w:rFonts w:hint="eastAsia" w:ascii="仿宋_GB2312" w:hAnsi="仿宋" w:eastAsia="仿宋_GB2312" w:cs="仿宋"/>
          <w:sz w:val="32"/>
          <w:szCs w:val="32"/>
        </w:rPr>
        <w:t>政府信息资源的规范化、标准化管理</w:t>
      </w:r>
      <w:r>
        <w:rPr>
          <w:rFonts w:hint="eastAsia" w:ascii="仿宋_GB2312" w:eastAsia="仿宋_GB2312"/>
          <w:sz w:val="32"/>
          <w:szCs w:val="32"/>
        </w:rPr>
        <w:t>打下坚实基础。</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政府信息公开平台建设情况</w:t>
      </w:r>
    </w:p>
    <w:p>
      <w:pPr>
        <w:ind w:firstLine="640" w:firstLineChars="200"/>
        <w:rPr>
          <w:rFonts w:hint="eastAsia" w:ascii="仿宋_GB2312" w:eastAsia="仿宋_GB2312"/>
          <w:sz w:val="32"/>
          <w:szCs w:val="32"/>
        </w:rPr>
      </w:pPr>
      <w:r>
        <w:rPr>
          <w:rFonts w:hint="eastAsia" w:ascii="仿宋_GB2312" w:eastAsia="仿宋_GB2312"/>
          <w:sz w:val="32"/>
          <w:szCs w:val="32"/>
        </w:rPr>
        <w:t>园区202</w:t>
      </w:r>
      <w:r>
        <w:rPr>
          <w:rFonts w:hint="eastAsia" w:ascii="仿宋_GB2312" w:eastAsia="仿宋_GB2312"/>
          <w:sz w:val="32"/>
          <w:szCs w:val="32"/>
          <w:lang w:val="en-US" w:eastAsia="zh-CN"/>
        </w:rPr>
        <w:t>3</w:t>
      </w:r>
      <w:r>
        <w:rPr>
          <w:rFonts w:hint="eastAsia" w:ascii="仿宋_GB2312" w:eastAsia="仿宋_GB2312"/>
          <w:sz w:val="32"/>
          <w:szCs w:val="32"/>
        </w:rPr>
        <w:t>年政府信息公开渠道主要为首都之窗北京市政府信息公开专栏和微信公众号。信息公开专栏公开信息</w:t>
      </w:r>
      <w:r>
        <w:rPr>
          <w:rFonts w:hint="eastAsia" w:ascii="仿宋_GB2312" w:eastAsia="仿宋_GB2312"/>
          <w:sz w:val="32"/>
          <w:szCs w:val="32"/>
          <w:lang w:val="en-US" w:eastAsia="zh-CN"/>
        </w:rPr>
        <w:t>292</w:t>
      </w:r>
      <w:r>
        <w:rPr>
          <w:rFonts w:hint="eastAsia" w:ascii="仿宋_GB2312" w:eastAsia="仿宋_GB2312"/>
          <w:sz w:val="32"/>
          <w:szCs w:val="32"/>
        </w:rPr>
        <w:t>条。微信公众号“中关村丰台园”202</w:t>
      </w:r>
      <w:r>
        <w:rPr>
          <w:rFonts w:hint="eastAsia" w:ascii="仿宋_GB2312" w:eastAsia="仿宋_GB2312"/>
          <w:sz w:val="32"/>
          <w:szCs w:val="32"/>
          <w:lang w:val="en-US" w:eastAsia="zh-CN"/>
        </w:rPr>
        <w:t>3</w:t>
      </w:r>
      <w:r>
        <w:rPr>
          <w:rFonts w:hint="eastAsia" w:ascii="仿宋_GB2312" w:eastAsia="仿宋_GB2312"/>
          <w:sz w:val="32"/>
          <w:szCs w:val="32"/>
        </w:rPr>
        <w:t>年累计发布消息</w:t>
      </w:r>
      <w:r>
        <w:rPr>
          <w:rFonts w:hint="eastAsia" w:ascii="仿宋_GB2312" w:eastAsia="仿宋_GB2312"/>
          <w:sz w:val="32"/>
          <w:szCs w:val="32"/>
          <w:lang w:val="en-US" w:eastAsia="zh-CN"/>
        </w:rPr>
        <w:t>642</w:t>
      </w:r>
      <w:r>
        <w:rPr>
          <w:rFonts w:hint="eastAsia" w:ascii="仿宋_GB2312" w:eastAsia="仿宋_GB2312"/>
          <w:sz w:val="32"/>
          <w:szCs w:val="32"/>
        </w:rPr>
        <w:t>条。</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政府信息公开监督保障及教育培训情况</w:t>
      </w:r>
    </w:p>
    <w:p>
      <w:pPr>
        <w:ind w:firstLine="640" w:firstLineChars="200"/>
        <w:rPr>
          <w:rFonts w:hint="eastAsia" w:ascii="仿宋_GB2312" w:eastAsia="仿宋_GB2312"/>
          <w:sz w:val="32"/>
          <w:szCs w:val="32"/>
        </w:rPr>
      </w:pPr>
      <w:r>
        <w:rPr>
          <w:rFonts w:hint="eastAsia" w:ascii="仿宋_GB2312" w:eastAsia="仿宋_GB2312"/>
          <w:sz w:val="32"/>
          <w:szCs w:val="32"/>
        </w:rPr>
        <w:t>按要求参加区202</w:t>
      </w:r>
      <w:r>
        <w:rPr>
          <w:rFonts w:hint="eastAsia" w:ascii="仿宋_GB2312" w:eastAsia="仿宋_GB2312"/>
          <w:sz w:val="32"/>
          <w:szCs w:val="32"/>
          <w:lang w:val="en-US" w:eastAsia="zh-CN"/>
        </w:rPr>
        <w:t>3</w:t>
      </w:r>
      <w:r>
        <w:rPr>
          <w:rFonts w:hint="eastAsia" w:ascii="仿宋_GB2312" w:eastAsia="仿宋_GB2312"/>
          <w:sz w:val="32"/>
          <w:szCs w:val="32"/>
        </w:rPr>
        <w:t xml:space="preserve"> 年度政府网站和信息公开业务培训，对</w:t>
      </w:r>
      <w:r>
        <w:rPr>
          <w:rFonts w:hint="eastAsia" w:ascii="仿宋_GB2312" w:eastAsia="仿宋_GB2312" w:cs="仿宋_GB2312"/>
          <w:kern w:val="0"/>
          <w:sz w:val="32"/>
          <w:szCs w:val="32"/>
        </w:rPr>
        <w:t>依申请公开业务、政府网站集约化平台使用、首都之窗业务</w:t>
      </w:r>
      <w:r>
        <w:rPr>
          <w:rFonts w:hint="eastAsia" w:ascii="仿宋_GB2312" w:eastAsia="仿宋_GB2312"/>
          <w:sz w:val="32"/>
          <w:szCs w:val="32"/>
        </w:rPr>
        <w:t xml:space="preserve">等事项进行了重点学习。 </w:t>
      </w:r>
    </w:p>
    <w:p>
      <w:pPr>
        <w:widowControl/>
        <w:spacing w:line="560" w:lineRule="exact"/>
        <w:ind w:firstLine="675"/>
        <w:jc w:val="left"/>
        <w:rPr>
          <w:rFonts w:hint="eastAsia" w:ascii="仿宋_GB2312" w:hAnsi="宋体" w:eastAsia="仿宋_GB2312" w:cs="宋体"/>
          <w:spacing w:val="8"/>
          <w:kern w:val="0"/>
          <w:sz w:val="32"/>
          <w:szCs w:val="32"/>
        </w:rPr>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2"/>
        <w:widowControl/>
      </w:pPr>
    </w:p>
    <w:p>
      <w:pPr>
        <w:pStyle w:val="2"/>
        <w:widowControl/>
      </w:pP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4</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Cs w:val="21"/>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ascii="宋体" w:hAnsi="宋体" w:cs="宋体"/>
                <w:color w:val="000000"/>
                <w:kern w:val="0"/>
                <w:sz w:val="20"/>
                <w:szCs w:val="20"/>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pPr>
    </w:p>
    <w:p>
      <w:pPr>
        <w:pStyle w:val="2"/>
        <w:widowControl/>
      </w:pPr>
    </w:p>
    <w:p>
      <w:pPr>
        <w:pStyle w:val="2"/>
        <w:widowControl/>
      </w:pPr>
    </w:p>
    <w:p/>
    <w:p>
      <w:pPr>
        <w:pStyle w:val="3"/>
      </w:pPr>
    </w:p>
    <w:p/>
    <w:p>
      <w:pPr>
        <w:pStyle w:val="3"/>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57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714"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48" w:hRule="atLeast"/>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714"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714"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714"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714"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28" w:hRule="atLeast"/>
          <w:jc w:val="center"/>
        </w:trPr>
        <w:tc>
          <w:tcPr>
            <w:tcW w:w="5150"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c>
          <w:tcPr>
            <w:tcW w:w="714" w:type="dxa"/>
            <w:tcBorders>
              <w:top w:val="single" w:color="auto" w:sz="0" w:space="0"/>
              <w:left w:val="single" w:color="auto" w:sz="0" w:space="0"/>
              <w:bottom w:val="inset"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rPr>
                <w:rFonts w:hint="eastAsia" w:eastAsia="宋体"/>
                <w:lang w:val="en-US" w:eastAsia="zh-CN"/>
              </w:rP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59"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406"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365"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1</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hint="eastAsia" w:cs="Calibri"/>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right"/>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right"/>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right"/>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right"/>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right"/>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right"/>
              <w:rPr>
                <w:rFonts w:hint="eastAsia" w:ascii="宋体" w:hAnsi="Times New Roman" w:eastAsia="宋体" w:cs="宋体"/>
                <w:sz w:val="24"/>
                <w:lang w:val="en-US" w:eastAsia="zh-CN"/>
              </w:rPr>
            </w:pPr>
            <w:r>
              <w:rPr>
                <w:rFonts w:hint="eastAsia" w:ascii="宋体" w:cs="宋体"/>
                <w:sz w:val="24"/>
                <w:lang w:val="en-US" w:eastAsia="zh-CN"/>
              </w:rPr>
              <w:t>0</w:t>
            </w:r>
          </w:p>
        </w:tc>
        <w:tc>
          <w:tcPr>
            <w:tcW w:w="0" w:type="auto"/>
            <w:tcBorders>
              <w:top w:val="inset" w:color="auto" w:sz="6" w:space="0"/>
              <w:left w:val="single" w:color="auto" w:sz="0" w:space="0"/>
              <w:bottom w:val="inset" w:color="auto" w:sz="6" w:space="0"/>
              <w:right w:val="inset" w:color="auto" w:sz="6" w:space="0"/>
            </w:tcBorders>
            <w:noWrap w:val="0"/>
            <w:vAlign w:val="center"/>
          </w:tcPr>
          <w:p>
            <w:pPr>
              <w:jc w:val="right"/>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2"/>
        <w:widowControl/>
        <w:ind w:left="420" w:leftChars="200"/>
      </w:pPr>
    </w:p>
    <w:p>
      <w:pPr>
        <w:pStyle w:val="2"/>
        <w:widowControl/>
        <w:ind w:left="420" w:leftChars="200"/>
      </w:pPr>
    </w:p>
    <w:p/>
    <w:p>
      <w:pPr>
        <w:pStyle w:val="3"/>
      </w:pPr>
    </w:p>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4"/>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宋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ind w:firstLine="640" w:firstLineChars="200"/>
        <w:rPr>
          <w:rFonts w:hint="eastAsia" w:ascii="仿宋_GB2312" w:eastAsia="仿宋_GB2312"/>
          <w:sz w:val="32"/>
          <w:szCs w:val="32"/>
        </w:rPr>
      </w:pPr>
      <w:r>
        <w:rPr>
          <w:rFonts w:hint="eastAsia" w:ascii="仿宋" w:hAnsi="仿宋" w:eastAsia="仿宋" w:cs="仿宋"/>
          <w:color w:val="000000"/>
          <w:sz w:val="32"/>
          <w:szCs w:val="32"/>
          <w:shd w:val="clear" w:color="auto" w:fill="FFFFFF"/>
        </w:rPr>
        <w:t>具体表现为</w:t>
      </w:r>
      <w:r>
        <w:rPr>
          <w:rFonts w:hint="eastAsia" w:ascii="仿宋" w:hAnsi="仿宋" w:eastAsia="仿宋" w:cs="仿宋"/>
          <w:kern w:val="0"/>
          <w:sz w:val="32"/>
          <w:szCs w:val="32"/>
        </w:rPr>
        <w:t>招商引资</w:t>
      </w:r>
      <w:r>
        <w:rPr>
          <w:rFonts w:hint="eastAsia" w:ascii="仿宋" w:hAnsi="仿宋" w:eastAsia="仿宋" w:cs="仿宋"/>
          <w:kern w:val="0"/>
          <w:sz w:val="32"/>
          <w:szCs w:val="32"/>
          <w:lang w:eastAsia="zh-CN"/>
        </w:rPr>
        <w:t>信息</w:t>
      </w:r>
      <w:r>
        <w:rPr>
          <w:rFonts w:hint="eastAsia" w:ascii="仿宋" w:hAnsi="仿宋" w:eastAsia="仿宋" w:cs="仿宋"/>
          <w:kern w:val="0"/>
          <w:sz w:val="32"/>
          <w:szCs w:val="32"/>
        </w:rPr>
        <w:t>发布较少</w:t>
      </w:r>
      <w:r>
        <w:rPr>
          <w:rFonts w:hint="eastAsia" w:ascii="仿宋" w:hAnsi="仿宋" w:eastAsia="仿宋" w:cs="仿宋"/>
          <w:color w:val="000000"/>
          <w:sz w:val="32"/>
          <w:szCs w:val="32"/>
          <w:shd w:val="clear" w:color="auto" w:fill="FFFFFF"/>
        </w:rPr>
        <w:t>。园区将在保证信息质量的同时，</w:t>
      </w:r>
      <w:r>
        <w:rPr>
          <w:rFonts w:hint="eastAsia" w:ascii="仿宋" w:hAnsi="仿宋" w:eastAsia="仿宋" w:cs="仿宋"/>
          <w:kern w:val="0"/>
          <w:sz w:val="32"/>
          <w:szCs w:val="32"/>
        </w:rPr>
        <w:t>对信息类别发布做好规划</w:t>
      </w:r>
      <w:r>
        <w:rPr>
          <w:rFonts w:hint="eastAsia" w:ascii="仿宋" w:hAnsi="仿宋" w:eastAsia="仿宋" w:cs="仿宋"/>
          <w:color w:val="000000"/>
          <w:sz w:val="32"/>
          <w:szCs w:val="32"/>
          <w:shd w:val="clear" w:color="auto" w:fill="FFFFFF"/>
        </w:rPr>
        <w:t>。</w:t>
      </w:r>
    </w:p>
    <w:p>
      <w:pPr>
        <w:widowControl/>
        <w:spacing w:line="560" w:lineRule="exact"/>
        <w:ind w:firstLine="672" w:firstLineChars="200"/>
        <w:jc w:val="left"/>
        <w:rPr>
          <w:rFonts w:hint="eastAsia" w:ascii="仿宋_GB2312" w:hAnsi="宋体" w:eastAsia="仿宋_GB2312" w:cs="宋体"/>
          <w:spacing w:val="8"/>
          <w:kern w:val="0"/>
          <w:sz w:val="32"/>
          <w:szCs w:val="32"/>
        </w:rPr>
      </w:pP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default" w:ascii="仿宋_GB2312" w:hAnsi="宋体" w:eastAsia="宋体" w:cs="宋体"/>
          <w:color w:val="9BC2E6"/>
          <w:spacing w:val="8"/>
          <w:kern w:val="0"/>
          <w:sz w:val="32"/>
          <w:szCs w:val="32"/>
          <w:lang w:val="en-US" w:eastAsia="zh-CN"/>
        </w:rPr>
      </w:pPr>
      <w:r>
        <w:rPr>
          <w:rFonts w:hint="eastAsia" w:ascii="宋体" w:hAnsi="宋体" w:cs="宋体"/>
          <w:spacing w:val="8"/>
          <w:kern w:val="0"/>
          <w:sz w:val="32"/>
          <w:szCs w:val="32"/>
          <w:lang w:bidi="ar"/>
        </w:rPr>
        <w:t>　　</w:t>
      </w:r>
      <w:r>
        <w:rPr>
          <w:rFonts w:hint="eastAsia" w:ascii="宋体" w:hAnsi="宋体" w:cs="宋体"/>
          <w:spacing w:val="8"/>
          <w:kern w:val="0"/>
          <w:sz w:val="32"/>
          <w:szCs w:val="32"/>
          <w:lang w:eastAsia="zh-CN" w:bidi="ar"/>
        </w:rPr>
        <w:t>发出收费通知的件数和总金额以及实际收取的总金额均为</w:t>
      </w:r>
      <w:r>
        <w:rPr>
          <w:rFonts w:hint="eastAsia" w:ascii="宋体" w:hAnsi="宋体" w:cs="宋体"/>
          <w:spacing w:val="8"/>
          <w:kern w:val="0"/>
          <w:sz w:val="32"/>
          <w:szCs w:val="32"/>
          <w:lang w:val="en-US" w:eastAsia="zh-CN" w:bidi="ar"/>
        </w:rPr>
        <w:t>0。</w:t>
      </w:r>
    </w:p>
    <w:p>
      <w:pPr>
        <w:pStyle w:val="2"/>
        <w:widowControl/>
        <w:spacing w:line="560" w:lineRule="exact"/>
      </w:pPr>
      <w:r>
        <w:rPr>
          <w:rFonts w:ascii="微软雅黑" w:hAnsi="微软雅黑" w:eastAsia="微软雅黑" w:cs="宋体"/>
          <w:color w:val="404040"/>
          <w:kern w:val="0"/>
          <w:sz w:val="32"/>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B6E2A"/>
    <w:rsid w:val="01593EC7"/>
    <w:rsid w:val="0B5B6E2A"/>
    <w:rsid w:val="10B47723"/>
    <w:rsid w:val="198A0551"/>
    <w:rsid w:val="206F377E"/>
    <w:rsid w:val="24A205DA"/>
    <w:rsid w:val="29F832CE"/>
    <w:rsid w:val="3463398D"/>
    <w:rsid w:val="52D739FC"/>
    <w:rsid w:val="696E0D08"/>
    <w:rsid w:val="76307777"/>
    <w:rsid w:val="7C98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toc 3"/>
    <w:basedOn w:val="1"/>
    <w:next w:val="1"/>
    <w:unhideWhenUsed/>
    <w:qFormat/>
    <w:uiPriority w:val="39"/>
    <w:pPr>
      <w:ind w:left="840" w:leftChars="4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2024-01-02T10:18:00Z</dcterms:created>
  <dc:creator>Ren$hiro</dc:creator>
  <cp:lastModifiedBy>WJ412</cp:lastModifiedBy>
  <dcterms:modified xsi:type="dcterms:W3CDTF">2024-01-31T02:10:29Z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DFD9824A54AE4F698231AACC0F02C4D9</vt:lpwstr>
  </property>
</Properties>
</file>