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丰台区城市管理监督指挥中心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2022年，丰台区城指中心在区委区政府的坚强领导下，坚决落实接诉即办总任务，毫不放松抓好指挥调度工作，坚决强化自我能力的提升，毫不懈怠提升业务能力水平，较好地完成了2022年的各项工作，2022年，区城指中心以落实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北京市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接诉即办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工作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条例》为指引，强化顶层设计，组建接诉即办工作指挥部，全年共受理12345群众诉求63.75万件，同比增长63.50%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响应率、解决率、满意率的平均成绩比去年同期分别提升了1.84、9.23、5.87个百分点，四个街道退出治理类行列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 xml:space="preserve">    我单位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每月至少更新政府网站信息2次；在政府网站上主要发布单位全面建设、接诉即办、网格化管理等重点工作的信息和动态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实条例宣贯，强化宣传培训。一是整合区内宣传资源，开展《条例》宣传工作，重点引导市民依法依规通过12345反映诉求，正确认识接诉即办工作。二是通过草拟工作方案、组织实地调研执法、撰写检查报告等工作，做好丰台区迎接区人大常委会《条例》执法检查工作。三是按照常规培训和重点帮扶指导相结合，集中培训和个性化培训相统一，整体培训与专项培训相补充的原则在围绕《条例》开展各类培训工作，截至目前共计30场。四是加强接诉即办工作宣传，利用“北京丰台”、《丰台时报》等媒体，宣传接诉即办工作中的先进经验；及时向《向前一步》、《接诉即办》等栏目提供接诉即办工作新闻线索；与区政协、区融媒体中心联合拍摄录制《委员对话一把手，提案办理面对面——“闻风而动，接诉即办”》专题协商交流节目。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tbl>
      <w:tblPr>
        <w:tblStyle w:val="5"/>
        <w:tblpPr w:leftFromText="180" w:rightFromText="180" w:vertAnchor="text" w:horzAnchor="page" w:tblpX="1334" w:tblpY="131"/>
        <w:tblOverlap w:val="never"/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 w:firstLineChars="100"/>
              <w:jc w:val="both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5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存在主要问题：一是对政治理论的学习不够全面深入，政治站位不高、思想认识不到位，在全区范围内统筹协调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接诉即办和网格化管理的作用发挥不充分。二是对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接诉即办指挥调度、智能民情图建设、网格化城市巡查等工作精细化管理要求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不高，工作开展不够细致和深入，在应对复杂局面和处理复杂问题时的能力有待进一步提高。三是工作创新意识不强，运用科技手段提升工作效率方面有待进一步加强，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科技赋能水平相比重点区还存在差距。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jc w:val="left"/>
        <w:rPr>
          <w:rFonts w:hint="eastAsia" w:ascii="仿宋_GB2312" w:hAnsi="宋体" w:eastAsia="宋体" w:cs="宋体"/>
          <w:color w:val="9BC2E6"/>
          <w:spacing w:val="8"/>
          <w:kern w:val="0"/>
          <w:sz w:val="32"/>
          <w:szCs w:val="32"/>
          <w:lang w:val="en-US" w:eastAsia="zh-CN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>　　</w:t>
      </w:r>
      <w:r>
        <w:rPr>
          <w:rFonts w:hint="eastAsia" w:ascii="宋体" w:hAnsi="宋体" w:cs="宋体"/>
          <w:spacing w:val="8"/>
          <w:kern w:val="0"/>
          <w:sz w:val="32"/>
          <w:szCs w:val="32"/>
          <w:lang w:val="en-US" w:eastAsia="zh-CN"/>
        </w:rPr>
        <w:t>无</w:t>
      </w:r>
      <w:bookmarkStart w:id="0" w:name="_GoBack"/>
      <w:bookmarkEnd w:id="0"/>
    </w:p>
    <w:p>
      <w:pPr>
        <w:pStyle w:val="2"/>
        <w:spacing w:line="560" w:lineRule="exact"/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>
      <w:pPr>
        <w:pStyle w:val="2"/>
        <w:spacing w:line="560" w:lineRule="exact"/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</w:pPr>
    </w:p>
    <w:p>
      <w:pPr>
        <w:pStyle w:val="2"/>
        <w:spacing w:line="560" w:lineRule="exact"/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</w:pPr>
    </w:p>
    <w:p>
      <w:pPr>
        <w:pStyle w:val="2"/>
        <w:spacing w:line="560" w:lineRule="exact"/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</w:pPr>
    </w:p>
    <w:p>
      <w:pPr>
        <w:pStyle w:val="2"/>
        <w:spacing w:line="560" w:lineRule="exact"/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YzNjNTI5M2U1NmJlMzQzYTVkMTk1YjY4OWY1MmEifQ=="/>
  </w:docVars>
  <w:rsids>
    <w:rsidRoot w:val="66A9245F"/>
    <w:rsid w:val="14C76681"/>
    <w:rsid w:val="1C6A56A5"/>
    <w:rsid w:val="66A9245F"/>
    <w:rsid w:val="78F5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2022-12-29T02:49:00Z</dcterms:created>
  <dc:creator>lc</dc:creator>
  <cp:lastModifiedBy>办公室</cp:lastModifiedBy>
  <dcterms:modified xsi:type="dcterms:W3CDTF">2023-01-04T05:54:25Z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582BB82DFC0C44C5A7B63D9460D22CE5</vt:lpwstr>
  </property>
</Properties>
</file>