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北京市丰台区城</w:t>
      </w:r>
      <w:bookmarkStart w:id="0" w:name="_GoBack"/>
      <w:bookmarkEnd w:id="0"/>
      <w:r>
        <w:rPr>
          <w:rFonts w:hint="eastAsia" w:ascii="方正小标宋简体" w:hAnsi="方正小标宋简体" w:eastAsia="方正小标宋简体" w:cs="方正小标宋简体"/>
          <w:sz w:val="44"/>
          <w:szCs w:val="44"/>
          <w:highlight w:val="none"/>
          <w:lang w:eastAsia="zh-CN"/>
        </w:rPr>
        <w:t>市管理指挥中心</w:t>
      </w:r>
    </w:p>
    <w:p>
      <w:pPr>
        <w:spacing w:line="560" w:lineRule="exact"/>
        <w:jc w:val="center"/>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4</w:t>
      </w:r>
      <w:r>
        <w:rPr>
          <w:rFonts w:hint="eastAsia" w:ascii="方正小标宋简体" w:hAnsi="方正小标宋简体" w:eastAsia="方正小标宋简体" w:cs="方正小标宋简体"/>
          <w:sz w:val="44"/>
          <w:szCs w:val="44"/>
          <w:highlight w:val="none"/>
        </w:rPr>
        <w:t>年政府信息公开工作年度报告</w:t>
      </w:r>
    </w:p>
    <w:p>
      <w:pPr>
        <w:spacing w:line="560" w:lineRule="exact"/>
        <w:jc w:val="center"/>
        <w:rPr>
          <w:sz w:val="44"/>
          <w:szCs w:val="44"/>
        </w:rPr>
      </w:pPr>
      <w:r>
        <w:rPr>
          <w:rFonts w:hint="eastAsia" w:ascii="微软雅黑" w:hAnsi="微软雅黑" w:eastAsia="微软雅黑" w:cs="宋体"/>
          <w:color w:val="404040"/>
          <w:kern w:val="0"/>
          <w:sz w:val="24"/>
          <w:highlight w:val="none"/>
        </w:rPr>
        <w:t>　</w:t>
      </w:r>
      <w:r>
        <w:rPr>
          <w:rFonts w:hint="eastAsia" w:ascii="微软雅黑" w:hAnsi="微软雅黑" w:eastAsia="微软雅黑" w:cs="宋体"/>
          <w:color w:val="404040"/>
          <w:kern w:val="0"/>
          <w:sz w:val="32"/>
          <w:szCs w:val="32"/>
          <w:highlight w:val="none"/>
        </w:rPr>
        <w:t xml:space="preserve"> </w:t>
      </w:r>
      <w:r>
        <w:rPr>
          <w:rFonts w:ascii="微软雅黑" w:hAnsi="微软雅黑" w:eastAsia="微软雅黑" w:cs="宋体"/>
          <w:color w:val="404040"/>
          <w:kern w:val="0"/>
          <w:sz w:val="32"/>
          <w:szCs w:val="32"/>
          <w:highlight w:val="none"/>
        </w:rPr>
        <w:t xml:space="preserve"> </w:t>
      </w:r>
    </w:p>
    <w:p>
      <w:pPr>
        <w:widowControl/>
        <w:spacing w:line="560" w:lineRule="exact"/>
        <w:jc w:val="left"/>
        <w:rPr>
          <w:rFonts w:hint="eastAsia" w:ascii="仿宋_GB2312" w:hAnsi="宋体" w:eastAsia="仿宋_GB2312" w:cs="宋体"/>
          <w:spacing w:val="8"/>
          <w:kern w:val="0"/>
          <w:sz w:val="32"/>
          <w:szCs w:val="32"/>
        </w:rPr>
      </w:pP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r>
        <w:rPr>
          <w:rFonts w:ascii="微软雅黑" w:hAnsi="微软雅黑" w:eastAsia="微软雅黑" w:cs="宋体"/>
          <w:color w:val="404040"/>
          <w:kern w:val="0"/>
          <w:sz w:val="32"/>
          <w:szCs w:val="32"/>
        </w:rPr>
        <w:t xml:space="preserve">  </w:t>
      </w: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widowControl/>
        <w:spacing w:line="560" w:lineRule="exact"/>
        <w:ind w:firstLine="672" w:firstLineChars="200"/>
        <w:jc w:val="left"/>
        <w:rPr>
          <w:rFonts w:hint="eastAsia" w:ascii="仿宋" w:hAnsi="仿宋" w:eastAsia="仿宋"/>
          <w:sz w:val="32"/>
          <w:szCs w:val="32"/>
        </w:rPr>
      </w:pPr>
      <w:r>
        <w:rPr>
          <w:rFonts w:ascii="黑体" w:hAnsi="黑体" w:eastAsia="黑体" w:cs="宋体"/>
          <w:spacing w:val="8"/>
          <w:kern w:val="0"/>
          <w:sz w:val="32"/>
          <w:szCs w:val="32"/>
        </w:rPr>
        <w:t>一、总体情况</w:t>
      </w:r>
    </w:p>
    <w:p>
      <w:pPr>
        <w:widowControl/>
        <w:spacing w:line="560" w:lineRule="exact"/>
        <w:ind w:firstLine="640" w:firstLineChars="200"/>
        <w:outlineLvl w:val="0"/>
      </w:pPr>
      <w:r>
        <w:rPr>
          <w:rFonts w:hint="eastAsia" w:ascii="仿宋" w:hAnsi="仿宋" w:eastAsia="仿宋"/>
          <w:sz w:val="32"/>
          <w:szCs w:val="32"/>
        </w:rPr>
        <w:t>2</w:t>
      </w:r>
      <w:r>
        <w:rPr>
          <w:rFonts w:ascii="仿宋" w:hAnsi="仿宋" w:eastAsia="仿宋"/>
          <w:sz w:val="32"/>
          <w:szCs w:val="32"/>
        </w:rPr>
        <w:t>02</w:t>
      </w:r>
      <w:r>
        <w:rPr>
          <w:rFonts w:hint="eastAsia" w:ascii="仿宋" w:hAnsi="仿宋" w:eastAsia="仿宋"/>
          <w:sz w:val="32"/>
          <w:szCs w:val="32"/>
          <w:lang w:val="en-US" w:eastAsia="zh-CN"/>
        </w:rPr>
        <w:t>4</w:t>
      </w:r>
      <w:r>
        <w:rPr>
          <w:rFonts w:hint="eastAsia" w:ascii="仿宋" w:hAnsi="仿宋" w:eastAsia="仿宋"/>
          <w:sz w:val="32"/>
          <w:szCs w:val="32"/>
        </w:rPr>
        <w:t>年</w:t>
      </w:r>
      <w:r>
        <w:rPr>
          <w:rFonts w:ascii="仿宋" w:hAnsi="仿宋" w:eastAsia="仿宋"/>
          <w:sz w:val="32"/>
          <w:szCs w:val="32"/>
        </w:rPr>
        <w:t>，北京市丰台区</w:t>
      </w:r>
      <w:r>
        <w:rPr>
          <w:rFonts w:hint="eastAsia" w:ascii="仿宋" w:hAnsi="仿宋" w:eastAsia="仿宋"/>
          <w:sz w:val="32"/>
          <w:szCs w:val="32"/>
        </w:rPr>
        <w:t>城市管理监督指挥中心按照《中华人民共和国政府信息公开条例》要求开展</w:t>
      </w:r>
      <w:r>
        <w:rPr>
          <w:rFonts w:hint="eastAsia" w:ascii="仿宋" w:hAnsi="仿宋" w:eastAsia="仿宋"/>
          <w:sz w:val="32"/>
          <w:szCs w:val="32"/>
          <w:lang w:val="en-US" w:eastAsia="zh-CN"/>
        </w:rPr>
        <w:t>政府信息公开</w:t>
      </w:r>
      <w:r>
        <w:rPr>
          <w:rFonts w:hint="eastAsia" w:ascii="仿宋" w:hAnsi="仿宋" w:eastAsia="仿宋"/>
          <w:sz w:val="32"/>
          <w:szCs w:val="32"/>
        </w:rPr>
        <w:t>各项工作。</w:t>
      </w:r>
    </w:p>
    <w:p>
      <w:pPr>
        <w:widowControl/>
        <w:numPr>
          <w:ilvl w:val="0"/>
          <w:numId w:val="0"/>
        </w:numPr>
        <w:spacing w:line="560" w:lineRule="exact"/>
        <w:ind w:firstLine="640" w:firstLineChars="200"/>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lang w:eastAsia="zh-CN"/>
        </w:rPr>
        <w:t>（</w:t>
      </w:r>
      <w:r>
        <w:rPr>
          <w:rFonts w:hint="eastAsia" w:ascii="楷体_GB2312" w:hAnsi="楷体_GB2312" w:eastAsia="楷体_GB2312" w:cs="楷体_GB2312"/>
          <w:kern w:val="0"/>
          <w:sz w:val="32"/>
          <w:szCs w:val="32"/>
          <w:lang w:val="en-US" w:eastAsia="zh-CN"/>
        </w:rPr>
        <w:t>一</w:t>
      </w:r>
      <w:r>
        <w:rPr>
          <w:rFonts w:hint="eastAsia" w:ascii="楷体_GB2312" w:hAnsi="楷体_GB2312" w:eastAsia="楷体_GB2312" w:cs="楷体_GB2312"/>
          <w:kern w:val="0"/>
          <w:sz w:val="32"/>
          <w:szCs w:val="32"/>
          <w:lang w:eastAsia="zh-CN"/>
        </w:rPr>
        <w:t>）</w:t>
      </w:r>
      <w:r>
        <w:rPr>
          <w:rFonts w:hint="eastAsia" w:ascii="楷体_GB2312" w:hAnsi="楷体_GB2312" w:eastAsia="楷体_GB2312" w:cs="楷体_GB2312"/>
          <w:kern w:val="0"/>
          <w:sz w:val="32"/>
          <w:szCs w:val="32"/>
        </w:rPr>
        <w:t>主动公开情况</w:t>
      </w:r>
    </w:p>
    <w:p>
      <w:pPr>
        <w:widowControl/>
        <w:numPr>
          <w:ilvl w:val="0"/>
          <w:numId w:val="0"/>
        </w:numPr>
        <w:spacing w:line="560" w:lineRule="exact"/>
        <w:ind w:firstLine="640" w:firstLineChars="200"/>
        <w:rPr>
          <w:rFonts w:hint="eastAsia" w:ascii="仿宋" w:hAnsi="仿宋" w:eastAsia="仿宋" w:cs="宋体"/>
          <w:kern w:val="0"/>
          <w:sz w:val="32"/>
          <w:szCs w:val="32"/>
          <w:lang w:eastAsia="zh-CN"/>
        </w:rPr>
      </w:pPr>
      <w:r>
        <w:rPr>
          <w:rFonts w:hint="eastAsia" w:ascii="仿宋" w:hAnsi="仿宋" w:eastAsia="仿宋" w:cs="宋体"/>
          <w:kern w:val="0"/>
          <w:sz w:val="32"/>
          <w:szCs w:val="32"/>
          <w:lang w:val="en-US" w:eastAsia="zh-CN"/>
        </w:rPr>
        <w:t>强化</w:t>
      </w:r>
      <w:r>
        <w:rPr>
          <w:rFonts w:hint="eastAsia" w:ascii="仿宋" w:hAnsi="仿宋" w:eastAsia="仿宋" w:cs="宋体"/>
          <w:kern w:val="0"/>
          <w:sz w:val="32"/>
          <w:szCs w:val="32"/>
        </w:rPr>
        <w:t>本单位信息公开工作</w:t>
      </w: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一是</w:t>
      </w:r>
      <w:r>
        <w:rPr>
          <w:rFonts w:hint="eastAsia" w:ascii="仿宋" w:hAnsi="仿宋" w:eastAsia="仿宋" w:cs="宋体"/>
          <w:kern w:val="0"/>
          <w:sz w:val="32"/>
          <w:szCs w:val="32"/>
        </w:rPr>
        <w:t>更新网站信息88篇</w:t>
      </w:r>
      <w:r>
        <w:rPr>
          <w:rFonts w:hint="eastAsia" w:ascii="仿宋" w:hAnsi="仿宋" w:eastAsia="仿宋" w:cs="宋体"/>
          <w:kern w:val="0"/>
          <w:sz w:val="32"/>
          <w:szCs w:val="32"/>
          <w:lang w:eastAsia="zh-CN"/>
        </w:rPr>
        <w:t>，</w:t>
      </w:r>
      <w:r>
        <w:rPr>
          <w:rFonts w:hint="eastAsia" w:ascii="仿宋_GB2312" w:hAnsi="仿宋" w:eastAsia="仿宋_GB2312" w:cs="宋体"/>
          <w:color w:val="000000"/>
          <w:kern w:val="0"/>
          <w:sz w:val="32"/>
          <w:szCs w:val="32"/>
          <w:lang w:val="en-US" w:eastAsia="zh-CN"/>
        </w:rPr>
        <w:t>积极报送信息稿件，《丰台信息》共采用20条，其中</w:t>
      </w:r>
      <w:r>
        <w:rPr>
          <w:rFonts w:hint="eastAsia" w:ascii="仿宋_GB2312" w:hAnsi="仿宋" w:eastAsia="仿宋_GB2312" w:cs="宋体"/>
          <w:color w:val="000000"/>
          <w:kern w:val="0"/>
          <w:sz w:val="32"/>
          <w:szCs w:val="32"/>
          <w:lang w:eastAsia="zh-CN"/>
        </w:rPr>
        <w:t>《丰台区精准施策，提升接诉即办工作精细化水平》刊登于</w:t>
      </w:r>
      <w:r>
        <w:rPr>
          <w:rFonts w:hint="eastAsia" w:ascii="仿宋_GB2312" w:hAnsi="仿宋" w:eastAsia="仿宋_GB2312" w:cs="宋体"/>
          <w:color w:val="000000"/>
          <w:kern w:val="0"/>
          <w:sz w:val="32"/>
          <w:szCs w:val="32"/>
          <w:lang w:val="en-US" w:eastAsia="zh-CN"/>
        </w:rPr>
        <w:t>8月15日第</w:t>
      </w:r>
      <w:r>
        <w:rPr>
          <w:rFonts w:hint="eastAsia" w:ascii="仿宋_GB2312" w:hAnsi="仿宋" w:eastAsia="仿宋_GB2312" w:cs="宋体"/>
          <w:color w:val="000000"/>
          <w:kern w:val="0"/>
          <w:sz w:val="32"/>
          <w:szCs w:val="32"/>
        </w:rPr>
        <w:t>155期</w:t>
      </w:r>
      <w:r>
        <w:rPr>
          <w:rFonts w:hint="eastAsia" w:ascii="仿宋_GB2312" w:hAnsi="仿宋" w:eastAsia="仿宋_GB2312" w:cs="宋体"/>
          <w:color w:val="000000"/>
          <w:kern w:val="0"/>
          <w:sz w:val="32"/>
          <w:szCs w:val="32"/>
          <w:lang w:eastAsia="zh-CN"/>
        </w:rPr>
        <w:t>《</w:t>
      </w:r>
      <w:r>
        <w:rPr>
          <w:rFonts w:hint="eastAsia" w:ascii="仿宋_GB2312" w:hAnsi="仿宋" w:eastAsia="仿宋_GB2312" w:cs="宋体"/>
          <w:color w:val="000000"/>
          <w:kern w:val="0"/>
          <w:sz w:val="32"/>
          <w:szCs w:val="32"/>
        </w:rPr>
        <w:t>昨日市情</w:t>
      </w:r>
      <w:r>
        <w:rPr>
          <w:rFonts w:hint="eastAsia" w:ascii="仿宋_GB2312" w:hAnsi="仿宋" w:eastAsia="仿宋_GB2312" w:cs="宋体"/>
          <w:color w:val="000000"/>
          <w:kern w:val="0"/>
          <w:sz w:val="32"/>
          <w:szCs w:val="32"/>
          <w:lang w:eastAsia="zh-CN"/>
        </w:rPr>
        <w:t>》，《2024年1-7月我区群租房诉求分析》刊登于《丰台信息》（专刊）第24期，</w:t>
      </w:r>
      <w:r>
        <w:rPr>
          <w:rFonts w:hint="eastAsia" w:ascii="仿宋" w:hAnsi="仿宋" w:eastAsia="仿宋" w:cs="宋体"/>
          <w:kern w:val="0"/>
          <w:sz w:val="32"/>
          <w:szCs w:val="32"/>
          <w:lang w:val="en-US" w:eastAsia="zh-CN"/>
        </w:rPr>
        <w:t>获得2024年度信息报送工作进步较大单位和优秀个人。二是强化媒体宣传工作，积极参与</w:t>
      </w:r>
      <w:r>
        <w:rPr>
          <w:rFonts w:hint="eastAsia" w:ascii="仿宋_GB2312" w:hAnsi="仿宋_GB2312" w:eastAsia="仿宋_GB2312" w:cs="仿宋_GB2312"/>
          <w:sz w:val="32"/>
          <w:szCs w:val="32"/>
          <w:lang w:val="en-US" w:eastAsia="zh-CN"/>
        </w:rPr>
        <w:t>与《向前一步》和《接诉即办》栏目录制，推动复杂疑难问题得到解决，全年共播出</w:t>
      </w:r>
      <w:r>
        <w:rPr>
          <w:rFonts w:hint="eastAsia" w:ascii="仿宋" w:hAnsi="仿宋" w:eastAsia="仿宋" w:cs="仿宋"/>
          <w:sz w:val="30"/>
          <w:szCs w:val="30"/>
        </w:rPr>
        <w:t>6期</w:t>
      </w:r>
      <w:r>
        <w:rPr>
          <w:rFonts w:hint="eastAsia" w:ascii="仿宋" w:hAnsi="仿宋" w:eastAsia="仿宋" w:cs="仿宋"/>
          <w:sz w:val="30"/>
          <w:szCs w:val="30"/>
          <w:lang w:eastAsia="zh-CN"/>
        </w:rPr>
        <w:t>《</w:t>
      </w:r>
      <w:r>
        <w:rPr>
          <w:rFonts w:hint="eastAsia" w:ascii="仿宋" w:hAnsi="仿宋" w:eastAsia="仿宋" w:cs="仿宋"/>
          <w:sz w:val="30"/>
          <w:szCs w:val="30"/>
        </w:rPr>
        <w:t>向前一步</w:t>
      </w:r>
      <w:r>
        <w:rPr>
          <w:rFonts w:hint="eastAsia" w:ascii="仿宋" w:hAnsi="仿宋" w:eastAsia="仿宋" w:cs="仿宋"/>
          <w:sz w:val="30"/>
          <w:szCs w:val="30"/>
          <w:lang w:eastAsia="zh-CN"/>
        </w:rPr>
        <w:t>》、</w:t>
      </w:r>
      <w:r>
        <w:rPr>
          <w:rFonts w:hint="eastAsia" w:ascii="仿宋" w:hAnsi="仿宋" w:eastAsia="仿宋" w:cs="仿宋"/>
          <w:sz w:val="30"/>
          <w:szCs w:val="30"/>
        </w:rPr>
        <w:t>9期</w:t>
      </w:r>
      <w:r>
        <w:rPr>
          <w:rFonts w:hint="eastAsia" w:ascii="仿宋" w:hAnsi="仿宋" w:eastAsia="仿宋" w:cs="仿宋"/>
          <w:sz w:val="30"/>
          <w:szCs w:val="30"/>
          <w:lang w:eastAsia="zh-CN"/>
        </w:rPr>
        <w:t>《</w:t>
      </w:r>
      <w:r>
        <w:rPr>
          <w:rFonts w:hint="eastAsia" w:ascii="仿宋" w:hAnsi="仿宋" w:eastAsia="仿宋" w:cs="仿宋"/>
          <w:sz w:val="30"/>
          <w:szCs w:val="30"/>
        </w:rPr>
        <w:t>接诉即办</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共为全区赢得接诉即办媒体宣传加分</w:t>
      </w:r>
      <w:r>
        <w:rPr>
          <w:rFonts w:hint="eastAsia" w:ascii="仿宋" w:hAnsi="仿宋" w:eastAsia="仿宋" w:cs="仿宋"/>
          <w:sz w:val="30"/>
          <w:szCs w:val="30"/>
        </w:rPr>
        <w:t>1.65分。</w:t>
      </w:r>
    </w:p>
    <w:p>
      <w:pPr>
        <w:widowControl/>
        <w:numPr>
          <w:ilvl w:val="0"/>
          <w:numId w:val="1"/>
        </w:numPr>
        <w:spacing w:line="560" w:lineRule="exact"/>
        <w:ind w:left="-10" w:leftChars="0" w:firstLine="640" w:firstLineChars="0"/>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依申请公开办理情况</w:t>
      </w:r>
    </w:p>
    <w:p>
      <w:pPr>
        <w:widowControl/>
        <w:numPr>
          <w:ilvl w:val="0"/>
          <w:numId w:val="0"/>
        </w:num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lang w:val="en-US" w:eastAsia="zh-CN"/>
        </w:rPr>
        <w:t>2024年，我单位全年共</w:t>
      </w:r>
      <w:r>
        <w:rPr>
          <w:rFonts w:hint="eastAsia" w:ascii="仿宋" w:hAnsi="仿宋" w:eastAsia="仿宋" w:cs="宋体"/>
          <w:kern w:val="0"/>
          <w:sz w:val="32"/>
          <w:szCs w:val="32"/>
        </w:rPr>
        <w:t>办理依申请公开</w:t>
      </w:r>
      <w:r>
        <w:rPr>
          <w:rFonts w:hint="eastAsia" w:ascii="仿宋" w:hAnsi="仿宋" w:eastAsia="仿宋" w:cs="宋体"/>
          <w:kern w:val="0"/>
          <w:sz w:val="32"/>
          <w:szCs w:val="32"/>
          <w:lang w:val="en-US" w:eastAsia="zh-CN"/>
        </w:rPr>
        <w:t>5</w:t>
      </w:r>
      <w:r>
        <w:rPr>
          <w:rFonts w:hint="eastAsia" w:ascii="仿宋" w:hAnsi="仿宋" w:eastAsia="仿宋" w:cs="宋体"/>
          <w:kern w:val="0"/>
          <w:sz w:val="32"/>
          <w:szCs w:val="32"/>
        </w:rPr>
        <w:t>件，</w:t>
      </w:r>
      <w:r>
        <w:rPr>
          <w:rFonts w:hint="eastAsia" w:ascii="仿宋" w:hAnsi="仿宋" w:eastAsia="仿宋" w:cs="宋体"/>
          <w:kern w:val="0"/>
          <w:sz w:val="32"/>
          <w:szCs w:val="32"/>
          <w:lang w:val="en-US" w:eastAsia="zh-CN"/>
        </w:rPr>
        <w:t>内容主要涉及公开我单位接诉即办工作流程、信访工作流程等相关工作，我单位</w:t>
      </w:r>
      <w:r>
        <w:rPr>
          <w:rFonts w:ascii="仿宋" w:hAnsi="仿宋" w:eastAsia="仿宋" w:cs="宋体"/>
          <w:kern w:val="0"/>
          <w:sz w:val="32"/>
          <w:szCs w:val="32"/>
        </w:rPr>
        <w:t>均</w:t>
      </w:r>
      <w:r>
        <w:rPr>
          <w:rFonts w:hint="eastAsia" w:ascii="仿宋" w:hAnsi="仿宋" w:eastAsia="仿宋" w:cs="宋体"/>
          <w:kern w:val="0"/>
          <w:sz w:val="32"/>
          <w:szCs w:val="32"/>
        </w:rPr>
        <w:t>在规定期限内告知申请人受理情况，并通过电子邮件或邮寄方式及时答复所申请信息；</w:t>
      </w:r>
    </w:p>
    <w:p>
      <w:pPr>
        <w:widowControl/>
        <w:numPr>
          <w:ilvl w:val="0"/>
          <w:numId w:val="1"/>
        </w:numPr>
        <w:spacing w:line="560" w:lineRule="exact"/>
        <w:ind w:left="-10" w:leftChars="0" w:firstLine="640" w:firstLineChars="0"/>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政府信息资源的规范化、标准化管理情况</w:t>
      </w:r>
    </w:p>
    <w:p>
      <w:pPr>
        <w:widowControl/>
        <w:numPr>
          <w:ilvl w:val="0"/>
          <w:numId w:val="0"/>
        </w:numPr>
        <w:spacing w:line="560" w:lineRule="exact"/>
        <w:ind w:firstLine="640" w:firstLineChars="200"/>
        <w:rPr>
          <w:rFonts w:hint="eastAsia" w:ascii="仿宋" w:hAnsi="仿宋" w:eastAsia="仿宋"/>
          <w:sz w:val="32"/>
          <w:szCs w:val="32"/>
          <w:lang w:eastAsia="zh-CN"/>
        </w:rPr>
      </w:pPr>
      <w:r>
        <w:rPr>
          <w:rFonts w:hint="eastAsia" w:ascii="仿宋" w:hAnsi="仿宋" w:eastAsia="仿宋" w:cs="宋体"/>
          <w:kern w:val="0"/>
          <w:sz w:val="32"/>
          <w:szCs w:val="32"/>
          <w:lang w:val="en-US" w:eastAsia="zh-CN"/>
        </w:rPr>
        <w:t>持续加强信息公开和媒体宣传加分工作，</w:t>
      </w:r>
      <w:r>
        <w:rPr>
          <w:rFonts w:hint="eastAsia" w:ascii="仿宋" w:hAnsi="仿宋" w:eastAsia="仿宋" w:cs="宋体"/>
          <w:kern w:val="0"/>
          <w:sz w:val="32"/>
          <w:szCs w:val="32"/>
        </w:rPr>
        <w:t>建立由</w:t>
      </w:r>
      <w:r>
        <w:rPr>
          <w:rFonts w:hint="eastAsia" w:ascii="仿宋" w:hAnsi="仿宋" w:eastAsia="仿宋" w:cs="宋体"/>
          <w:kern w:val="0"/>
          <w:sz w:val="32"/>
          <w:szCs w:val="32"/>
          <w:lang w:val="en-US" w:eastAsia="zh-CN"/>
        </w:rPr>
        <w:t>单位</w:t>
      </w:r>
      <w:r>
        <w:rPr>
          <w:rFonts w:hint="eastAsia" w:ascii="仿宋" w:hAnsi="仿宋" w:eastAsia="仿宋" w:cs="宋体"/>
          <w:kern w:val="0"/>
          <w:sz w:val="32"/>
          <w:szCs w:val="32"/>
        </w:rPr>
        <w:t>主要领导任组长</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主管领导为副组长</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各科负责人</w:t>
      </w:r>
      <w:r>
        <w:rPr>
          <w:rFonts w:hint="eastAsia" w:ascii="仿宋" w:hAnsi="仿宋" w:eastAsia="仿宋" w:cs="宋体"/>
          <w:kern w:val="0"/>
          <w:sz w:val="32"/>
          <w:szCs w:val="32"/>
          <w:lang w:val="en-US" w:eastAsia="zh-CN"/>
        </w:rPr>
        <w:t>为小组成员，指定办公室和综合协调科两个专门科室分别负责单位信息公开和媒体宣传工作，细化工作流程，进一步专门强化信息公开和媒体宣传工作</w:t>
      </w:r>
      <w:r>
        <w:rPr>
          <w:rFonts w:hint="eastAsia" w:ascii="仿宋" w:hAnsi="仿宋" w:eastAsia="仿宋" w:cs="宋体"/>
          <w:kern w:val="0"/>
          <w:sz w:val="32"/>
          <w:szCs w:val="32"/>
        </w:rPr>
        <w:t>，</w:t>
      </w:r>
      <w:r>
        <w:rPr>
          <w:rFonts w:hint="eastAsia" w:ascii="仿宋" w:hAnsi="仿宋" w:eastAsia="仿宋"/>
          <w:sz w:val="32"/>
          <w:szCs w:val="32"/>
        </w:rPr>
        <w:t>严格按照</w:t>
      </w:r>
      <w:r>
        <w:rPr>
          <w:rFonts w:hint="eastAsia" w:ascii="仿宋" w:hAnsi="仿宋" w:eastAsia="仿宋" w:cs="宋体"/>
          <w:kern w:val="0"/>
          <w:sz w:val="32"/>
          <w:szCs w:val="32"/>
        </w:rPr>
        <w:t>有关制度要求进行政务公开</w:t>
      </w:r>
      <w:r>
        <w:rPr>
          <w:rFonts w:hint="eastAsia" w:ascii="仿宋" w:hAnsi="仿宋" w:eastAsia="仿宋"/>
          <w:sz w:val="32"/>
          <w:szCs w:val="32"/>
          <w:lang w:eastAsia="zh-CN"/>
        </w:rPr>
        <w:t>。</w:t>
      </w:r>
    </w:p>
    <w:p>
      <w:pPr>
        <w:widowControl/>
        <w:numPr>
          <w:ilvl w:val="0"/>
          <w:numId w:val="1"/>
        </w:numPr>
        <w:spacing w:line="560" w:lineRule="exact"/>
        <w:ind w:left="-10" w:leftChars="0" w:firstLine="640" w:firstLineChars="0"/>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政府信息公开平台建设情况</w:t>
      </w:r>
    </w:p>
    <w:p>
      <w:pPr>
        <w:keepNext w:val="0"/>
        <w:keepLines w:val="0"/>
        <w:widowControl/>
        <w:suppressLineNumbers w:val="0"/>
        <w:ind w:firstLine="620" w:firstLineChars="200"/>
        <w:jc w:val="left"/>
        <w:rPr>
          <w:rFonts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结合我单位接诉即办工作开展情况，</w:t>
      </w:r>
      <w:r>
        <w:rPr>
          <w:rFonts w:ascii="仿宋_GB2312" w:hAnsi="仿宋_GB2312" w:eastAsia="仿宋_GB2312" w:cs="仿宋_GB2312"/>
          <w:b w:val="0"/>
          <w:bCs w:val="0"/>
          <w:color w:val="000000"/>
          <w:kern w:val="0"/>
          <w:sz w:val="31"/>
          <w:szCs w:val="31"/>
          <w:lang w:val="en-US" w:eastAsia="zh-CN" w:bidi="ar"/>
        </w:rPr>
        <w:t>认真做</w:t>
      </w:r>
      <w:r>
        <w:rPr>
          <w:rFonts w:hint="eastAsia" w:ascii="仿宋_GB2312" w:hAnsi="仿宋_GB2312" w:eastAsia="仿宋_GB2312" w:cs="仿宋_GB2312"/>
          <w:b w:val="0"/>
          <w:bCs w:val="0"/>
          <w:color w:val="000000"/>
          <w:kern w:val="0"/>
          <w:sz w:val="31"/>
          <w:szCs w:val="31"/>
          <w:lang w:val="en-US" w:eastAsia="zh-CN" w:bidi="ar"/>
        </w:rPr>
        <w:t>好</w:t>
      </w:r>
      <w:r>
        <w:rPr>
          <w:rFonts w:ascii="仿宋_GB2312" w:hAnsi="仿宋_GB2312" w:eastAsia="仿宋_GB2312" w:cs="仿宋_GB2312"/>
          <w:b w:val="0"/>
          <w:bCs w:val="0"/>
          <w:color w:val="000000"/>
          <w:kern w:val="0"/>
          <w:sz w:val="31"/>
          <w:szCs w:val="31"/>
          <w:lang w:val="en-US" w:eastAsia="zh-CN" w:bidi="ar"/>
        </w:rPr>
        <w:t>“人民网地方领导留言板”、“区长信箱”等政民互动系统留言答复工作，</w:t>
      </w:r>
      <w:r>
        <w:rPr>
          <w:rFonts w:hint="eastAsia" w:ascii="仿宋_GB2312" w:hAnsi="仿宋_GB2312" w:eastAsia="仿宋_GB2312" w:cs="仿宋_GB2312"/>
          <w:b w:val="0"/>
          <w:bCs w:val="0"/>
          <w:color w:val="000000"/>
          <w:kern w:val="0"/>
          <w:sz w:val="31"/>
          <w:szCs w:val="31"/>
          <w:lang w:val="en-US" w:eastAsia="zh-CN" w:bidi="ar"/>
        </w:rPr>
        <w:t>积极将政民互动留言内容以区级自建工单的形式强化办理和答复，2024年1月1日至12月31日，人民网地方领导留言板共受理人民网诉求1430件。区长信箱共受理区长信箱诉求2801件。</w:t>
      </w:r>
    </w:p>
    <w:p>
      <w:pPr>
        <w:widowControl/>
        <w:spacing w:line="560" w:lineRule="exact"/>
        <w:ind w:firstLine="672" w:firstLineChars="200"/>
        <w:jc w:val="left"/>
        <w:rPr>
          <w:rFonts w:hint="eastAsia" w:ascii="黑体" w:hAnsi="黑体" w:eastAsia="黑体" w:cs="宋体"/>
          <w:spacing w:val="8"/>
          <w:kern w:val="0"/>
          <w:sz w:val="32"/>
          <w:szCs w:val="32"/>
        </w:rPr>
      </w:pPr>
      <w:r>
        <w:rPr>
          <w:rFonts w:hint="eastAsia" w:ascii="黑体" w:hAnsi="黑体" w:eastAsia="黑体" w:cs="宋体"/>
          <w:spacing w:val="8"/>
          <w:kern w:val="0"/>
          <w:sz w:val="32"/>
          <w:szCs w:val="32"/>
          <w:lang w:val="en-US" w:eastAsia="zh-CN"/>
        </w:rPr>
        <w:t>二、</w:t>
      </w:r>
      <w:r>
        <w:rPr>
          <w:rFonts w:hint="eastAsia" w:ascii="黑体" w:hAnsi="黑体" w:eastAsia="黑体" w:cs="宋体"/>
          <w:spacing w:val="8"/>
          <w:kern w:val="0"/>
          <w:sz w:val="32"/>
          <w:szCs w:val="32"/>
        </w:rPr>
        <w:t>主动公开政府信息情况</w:t>
      </w:r>
    </w:p>
    <w:tbl>
      <w:tblPr>
        <w:tblStyle w:val="7"/>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r>
    </w:tbl>
    <w:p>
      <w:pPr>
        <w:keepNext w:val="0"/>
        <w:keepLines w:val="0"/>
        <w:pageBreakBefore w:val="0"/>
        <w:widowControl w:val="0"/>
        <w:numPr>
          <w:numId w:val="0"/>
        </w:numPr>
        <w:kinsoku/>
        <w:wordWrap/>
        <w:overflowPunct/>
        <w:topLinePunct w:val="0"/>
        <w:autoSpaceDE/>
        <w:autoSpaceDN/>
        <w:bidi w:val="0"/>
        <w:adjustRightInd/>
        <w:snapToGrid/>
        <w:spacing w:after="313" w:afterLines="100" w:line="560" w:lineRule="exact"/>
        <w:ind w:left="630" w:leftChars="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收到和处理政府信息公开申请情况</w:t>
      </w:r>
    </w:p>
    <w:tbl>
      <w:tblPr>
        <w:tblStyle w:val="7"/>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7"/>
        <w:gridCol w:w="943"/>
        <w:gridCol w:w="3219"/>
        <w:gridCol w:w="689"/>
        <w:gridCol w:w="688"/>
        <w:gridCol w:w="688"/>
        <w:gridCol w:w="688"/>
        <w:gridCol w:w="688"/>
        <w:gridCol w:w="688"/>
        <w:gridCol w:w="69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restart"/>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bidi="ar"/>
              </w:rPr>
              <w:t>（本列数据的勾稽关系为：第一项加第二项之和，等于第三项加第四项之和）</w:t>
            </w:r>
          </w:p>
        </w:tc>
        <w:tc>
          <w:tcPr>
            <w:tcW w:w="4819" w:type="dxa"/>
            <w:gridSpan w:val="7"/>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rPr>
                <w:rFonts w:hint="eastAsia" w:ascii="宋体"/>
                <w:sz w:val="24"/>
                <w:szCs w:val="24"/>
              </w:rPr>
            </w:pPr>
          </w:p>
        </w:tc>
        <w:tc>
          <w:tcPr>
            <w:tcW w:w="689" w:type="dxa"/>
            <w:vMerge w:val="restart"/>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90" w:type="dxa"/>
            <w:vMerge w:val="restart"/>
            <w:tcBorders>
              <w:top w:val="single" w:color="auto" w:sz="8" w:space="0"/>
              <w:left w:val="nil"/>
              <w:bottom w:val="outset"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rPr>
                <w:rFonts w:hint="eastAsia" w:ascii="宋体"/>
                <w:sz w:val="24"/>
                <w:szCs w:val="24"/>
              </w:rPr>
            </w:pPr>
          </w:p>
        </w:tc>
        <w:tc>
          <w:tcPr>
            <w:tcW w:w="689" w:type="dxa"/>
            <w:vMerge w:val="continue"/>
            <w:tcBorders>
              <w:top w:val="nil"/>
              <w:left w:val="nil"/>
              <w:bottom w:val="single" w:color="auto" w:sz="8" w:space="0"/>
              <w:right w:val="single" w:color="auto" w:sz="8" w:space="0"/>
            </w:tcBorders>
            <w:shd w:val="clear" w:color="auto" w:fill="9BC2E6"/>
            <w:noWrap w:val="0"/>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90" w:type="dxa"/>
            <w:vMerge w:val="continue"/>
            <w:tcBorders>
              <w:top w:val="single" w:color="auto" w:sz="8" w:space="0"/>
              <w:left w:val="nil"/>
              <w:bottom w:val="outset" w:color="auto" w:sz="8" w:space="0"/>
              <w:right w:val="single" w:color="auto" w:sz="8" w:space="0"/>
            </w:tcBorders>
            <w:shd w:val="clear" w:color="auto" w:fill="9BC2E6"/>
            <w:noWrap w:val="0"/>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highlight w:val="none"/>
                <w:lang w:val="en-US" w:eastAsia="zh-CN"/>
              </w:rPr>
              <w:t>5</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highlight w:val="none"/>
                <w:lang w:val="en-US" w:eastAsia="zh-CN"/>
              </w:rPr>
            </w:pPr>
            <w:r>
              <w:rPr>
                <w:rFonts w:hint="eastAsia"/>
                <w:highlight w:val="none"/>
                <w:lang w:val="en-US" w:eastAsia="zh-CN"/>
              </w:rPr>
              <w:t>0</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highlight w:val="none"/>
                <w:lang w:val="en-US" w:eastAsia="zh-CN"/>
              </w:rPr>
            </w:pPr>
            <w:r>
              <w:rPr>
                <w:rFonts w:hint="eastAsia"/>
                <w:highlight w:val="none"/>
                <w:lang w:val="en-US" w:eastAsia="zh-CN"/>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restart"/>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62"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highlight w:val="none"/>
                <w:lang w:val="en-US" w:eastAsia="zh-CN"/>
              </w:rPr>
            </w:pPr>
            <w:r>
              <w:rPr>
                <w:rFonts w:hint="eastAsia"/>
                <w:highlight w:val="none"/>
                <w:lang w:val="en-US" w:eastAsia="zh-CN"/>
              </w:rPr>
              <w:t>0</w:t>
            </w:r>
          </w:p>
        </w:tc>
        <w:tc>
          <w:tcPr>
            <w:tcW w:w="690"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highlight w:val="none"/>
                <w:lang w:val="en-US" w:eastAsia="zh-CN"/>
              </w:rPr>
            </w:pPr>
            <w:r>
              <w:rPr>
                <w:rFonts w:hint="eastAsia"/>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4162"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default" w:ascii="楷体" w:hAnsi="楷体" w:eastAsia="楷体" w:cs="楷体"/>
                <w:kern w:val="0"/>
                <w:sz w:val="20"/>
                <w:szCs w:val="20"/>
                <w:lang w:val="en-US" w:eastAsia="zh-CN" w:bidi="ar"/>
              </w:rPr>
              <w:t>（区分处理的，只计这一情形，不计其他情形）</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219"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90"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19"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19"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19"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19"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3</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19"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19"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19"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219"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highlight w:val="none"/>
                <w:lang w:val="en-US" w:eastAsia="zh-CN"/>
              </w:rPr>
            </w:pPr>
            <w:r>
              <w:rPr>
                <w:rFonts w:hint="eastAsia"/>
                <w:highlight w:val="none"/>
                <w:lang w:val="en-US" w:eastAsia="zh-CN"/>
              </w:rPr>
              <w:t>2</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highlight w:val="none"/>
                <w:lang w:val="en-US" w:eastAsia="zh-CN"/>
              </w:rPr>
            </w:pPr>
            <w:r>
              <w:rPr>
                <w:rFonts w:hint="eastAsia"/>
                <w:highlight w:val="none"/>
                <w:lang w:val="en-US" w:eastAsia="zh-CN"/>
              </w:rPr>
              <w:t>0</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highlight w:val="none"/>
                <w:lang w:val="en-US" w:eastAsia="zh-CN"/>
              </w:rPr>
            </w:pPr>
            <w:r>
              <w:rPr>
                <w:rFonts w:hint="eastAsia"/>
                <w:highlight w:val="none"/>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19"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19"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219"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19"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19"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19"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7"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19" w:type="dxa"/>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9"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90"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219"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19"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19"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4162"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bidi="ar"/>
              </w:rPr>
              <w:t>5</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highlight w:val="none"/>
                <w:lang w:val="en-US" w:eastAsia="zh-CN"/>
              </w:rPr>
            </w:pPr>
            <w:r>
              <w:rPr>
                <w:rFonts w:hint="eastAsia"/>
                <w:highlight w:val="none"/>
                <w:lang w:val="en-US" w:eastAsia="zh-CN"/>
              </w:rPr>
              <w:t>0</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highlight w:val="none"/>
                <w:lang w:val="en-US" w:eastAsia="zh-CN"/>
              </w:rPr>
            </w:pPr>
            <w:r>
              <w:rPr>
                <w:rFonts w:hint="eastAsia"/>
                <w:highlight w:val="none"/>
                <w:lang w:val="en-US" w:eastAsia="zh-CN"/>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9" w:type="dxa"/>
            <w:tcBorders>
              <w:top w:val="outset" w:color="auto" w:sz="6" w:space="0"/>
              <w:left w:val="nil"/>
              <w:bottom w:val="outset" w:color="auto" w:sz="6" w:space="0"/>
              <w:right w:val="outset" w:color="auto" w:sz="6" w:space="0"/>
            </w:tcBorders>
            <w:noWrap w:val="0"/>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c>
          <w:tcPr>
            <w:tcW w:w="688" w:type="dxa"/>
            <w:tcBorders>
              <w:top w:val="outset" w:color="auto" w:sz="6" w:space="0"/>
              <w:left w:val="nil"/>
              <w:bottom w:val="outset" w:color="auto" w:sz="6" w:space="0"/>
              <w:right w:val="outset" w:color="auto" w:sz="6" w:space="0"/>
            </w:tcBorders>
            <w:noWrap w:val="0"/>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c>
          <w:tcPr>
            <w:tcW w:w="688" w:type="dxa"/>
            <w:tcBorders>
              <w:top w:val="outset" w:color="auto" w:sz="6" w:space="0"/>
              <w:left w:val="nil"/>
              <w:bottom w:val="outset" w:color="auto" w:sz="6" w:space="0"/>
              <w:right w:val="outset" w:color="auto" w:sz="6" w:space="0"/>
            </w:tcBorders>
            <w:noWrap w:val="0"/>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c>
          <w:tcPr>
            <w:tcW w:w="688" w:type="dxa"/>
            <w:tcBorders>
              <w:top w:val="outset" w:color="auto" w:sz="6" w:space="0"/>
              <w:left w:val="nil"/>
              <w:bottom w:val="outset" w:color="auto" w:sz="6" w:space="0"/>
              <w:right w:val="outset" w:color="auto" w:sz="6" w:space="0"/>
            </w:tcBorders>
            <w:noWrap w:val="0"/>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c>
          <w:tcPr>
            <w:tcW w:w="688" w:type="dxa"/>
            <w:tcBorders>
              <w:top w:val="outset" w:color="auto" w:sz="6" w:space="0"/>
              <w:left w:val="nil"/>
              <w:bottom w:val="outset" w:color="auto" w:sz="6" w:space="0"/>
              <w:right w:val="outset" w:color="auto" w:sz="6" w:space="0"/>
            </w:tcBorders>
            <w:noWrap w:val="0"/>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c>
          <w:tcPr>
            <w:tcW w:w="688" w:type="dxa"/>
            <w:tcBorders>
              <w:top w:val="outset" w:color="auto" w:sz="6" w:space="0"/>
              <w:left w:val="nil"/>
              <w:bottom w:val="outset" w:color="auto" w:sz="6" w:space="0"/>
              <w:right w:val="outset" w:color="auto" w:sz="6" w:space="0"/>
            </w:tcBorders>
            <w:noWrap w:val="0"/>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c>
          <w:tcPr>
            <w:tcW w:w="690" w:type="dxa"/>
            <w:tcBorders>
              <w:top w:val="outset" w:color="auto" w:sz="6" w:space="0"/>
              <w:left w:val="nil"/>
              <w:bottom w:val="outset" w:color="auto" w:sz="6" w:space="0"/>
              <w:right w:val="outset" w:color="auto" w:sz="6" w:space="0"/>
            </w:tcBorders>
            <w:noWrap w:val="0"/>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r>
    </w:tbl>
    <w:p>
      <w:pPr>
        <w:pStyle w:val="3"/>
        <w:numPr>
          <w:ilvl w:val="0"/>
          <w:numId w:val="0"/>
        </w:numPr>
        <w:ind w:leftChars="200"/>
        <w:rPr>
          <w:rFonts w:hint="eastAsia"/>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bl>
      <w:tblPr>
        <w:tblStyle w:val="7"/>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宋体"/>
                <w:lang w:val="en-US" w:eastAsia="zh-CN"/>
              </w:rPr>
            </w:pPr>
            <w:r>
              <w:rPr>
                <w:rFonts w:hint="eastAsia"/>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宋体"/>
                <w:lang w:val="en-US" w:eastAsia="zh-CN"/>
              </w:rPr>
            </w:pPr>
            <w:r>
              <w:rPr>
                <w:rFonts w:hint="eastAsia"/>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宋体"/>
                <w:lang w:val="en-US" w:eastAsia="zh-CN"/>
              </w:rPr>
            </w:pPr>
            <w:r>
              <w:rPr>
                <w:rFonts w:hint="eastAsia"/>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宋体"/>
                <w:lang w:val="en-US" w:eastAsia="zh-CN"/>
              </w:rPr>
            </w:pPr>
            <w:r>
              <w:rPr>
                <w:rFonts w:hint="eastAsia"/>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宋体"/>
                <w:lang w:val="en-US" w:eastAsia="zh-CN"/>
              </w:rPr>
            </w:pPr>
            <w:r>
              <w:rPr>
                <w:rFonts w:hint="eastAsia"/>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宋体"/>
                <w:lang w:val="en-US" w:eastAsia="zh-CN"/>
              </w:rPr>
            </w:pPr>
            <w:r>
              <w:rPr>
                <w:rFonts w:hint="eastAsia"/>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宋体"/>
                <w:lang w:val="en-US" w:eastAsia="zh-CN"/>
              </w:rPr>
            </w:pPr>
            <w:r>
              <w:rPr>
                <w:rFonts w:hint="eastAsia"/>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宋体"/>
                <w:lang w:val="en-US" w:eastAsia="zh-CN"/>
              </w:rPr>
            </w:pPr>
            <w:r>
              <w:rPr>
                <w:rFonts w:hint="eastAsia"/>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宋体"/>
                <w:lang w:val="en-US" w:eastAsia="zh-CN"/>
              </w:rPr>
            </w:pPr>
            <w:r>
              <w:rPr>
                <w:rFonts w:hint="eastAsia"/>
                <w:lang w:val="en-US" w:eastAsia="zh-CN"/>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宋体"/>
                <w:lang w:val="en-US" w:eastAsia="zh-CN"/>
              </w:rPr>
            </w:pPr>
            <w:r>
              <w:rPr>
                <w:rFonts w:hint="eastAsia"/>
                <w:lang w:val="en-US" w:eastAsia="zh-CN"/>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宋体"/>
                <w:lang w:val="en-US" w:eastAsia="zh-CN"/>
              </w:rPr>
            </w:pPr>
            <w:r>
              <w:rPr>
                <w:rFonts w:hint="eastAsia"/>
                <w:lang w:val="en-US" w:eastAsia="zh-CN"/>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宋体"/>
                <w:lang w:val="en-US" w:eastAsia="zh-CN"/>
              </w:rPr>
            </w:pPr>
            <w:r>
              <w:rPr>
                <w:rFonts w:hint="eastAsia"/>
                <w:lang w:val="en-US" w:eastAsia="zh-CN"/>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宋体"/>
                <w:lang w:val="en-US" w:eastAsia="zh-CN"/>
              </w:rPr>
            </w:pPr>
            <w:r>
              <w:rPr>
                <w:rFonts w:hint="eastAsia"/>
                <w:lang w:val="en-US" w:eastAsia="zh-CN"/>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r>
    </w:tbl>
    <w:p>
      <w:pPr>
        <w:widowControl/>
        <w:spacing w:line="560" w:lineRule="exact"/>
        <w:ind w:firstLine="672" w:firstLineChars="200"/>
        <w:jc w:val="left"/>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spacing w:line="500" w:lineRule="exact"/>
        <w:ind w:firstLine="640" w:firstLineChars="200"/>
        <w:jc w:val="left"/>
        <w:rPr>
          <w:rFonts w:hint="eastAsia" w:ascii="仿宋" w:hAnsi="仿宋" w:eastAsia="仿宋"/>
          <w:sz w:val="32"/>
          <w:szCs w:val="32"/>
        </w:rPr>
      </w:pPr>
      <w:r>
        <w:rPr>
          <w:rFonts w:hint="eastAsia" w:ascii="仿宋" w:hAnsi="仿宋" w:eastAsia="仿宋"/>
          <w:sz w:val="32"/>
          <w:szCs w:val="32"/>
        </w:rPr>
        <w:t>1.主动公开信息</w:t>
      </w:r>
      <w:r>
        <w:rPr>
          <w:rFonts w:ascii="仿宋" w:hAnsi="仿宋" w:eastAsia="仿宋"/>
          <w:sz w:val="32"/>
          <w:szCs w:val="32"/>
        </w:rPr>
        <w:t>的数量</w:t>
      </w:r>
      <w:r>
        <w:rPr>
          <w:rFonts w:hint="eastAsia" w:ascii="仿宋" w:hAnsi="仿宋" w:eastAsia="仿宋"/>
          <w:sz w:val="32"/>
          <w:szCs w:val="32"/>
        </w:rPr>
        <w:t>和质量还有待提升。2</w:t>
      </w:r>
      <w:r>
        <w:rPr>
          <w:rFonts w:ascii="仿宋" w:hAnsi="仿宋" w:eastAsia="仿宋"/>
          <w:sz w:val="32"/>
          <w:szCs w:val="32"/>
        </w:rPr>
        <w:t>02</w:t>
      </w:r>
      <w:r>
        <w:rPr>
          <w:rFonts w:hint="eastAsia" w:ascii="仿宋" w:hAnsi="仿宋" w:eastAsia="仿宋"/>
          <w:sz w:val="32"/>
          <w:szCs w:val="32"/>
          <w:lang w:val="en-US" w:eastAsia="zh-CN"/>
        </w:rPr>
        <w:t>4</w:t>
      </w:r>
      <w:r>
        <w:rPr>
          <w:rFonts w:hint="eastAsia" w:ascii="仿宋" w:hAnsi="仿宋" w:eastAsia="仿宋"/>
          <w:sz w:val="32"/>
          <w:szCs w:val="32"/>
        </w:rPr>
        <w:t>年</w:t>
      </w:r>
      <w:r>
        <w:rPr>
          <w:rFonts w:ascii="仿宋" w:hAnsi="仿宋" w:eastAsia="仿宋"/>
          <w:sz w:val="32"/>
          <w:szCs w:val="32"/>
        </w:rPr>
        <w:t>主动公开信息数量</w:t>
      </w:r>
      <w:r>
        <w:rPr>
          <w:rFonts w:hint="eastAsia" w:ascii="仿宋" w:hAnsi="仿宋" w:eastAsia="仿宋"/>
          <w:sz w:val="32"/>
          <w:szCs w:val="32"/>
          <w:lang w:val="en-US" w:eastAsia="zh-CN"/>
        </w:rPr>
        <w:t>虽</w:t>
      </w:r>
      <w:r>
        <w:rPr>
          <w:rFonts w:ascii="仿宋" w:hAnsi="仿宋" w:eastAsia="仿宋"/>
          <w:sz w:val="32"/>
          <w:szCs w:val="32"/>
        </w:rPr>
        <w:t>较</w:t>
      </w:r>
      <w:r>
        <w:rPr>
          <w:rFonts w:hint="eastAsia" w:ascii="仿宋" w:hAnsi="仿宋" w:eastAsia="仿宋"/>
          <w:sz w:val="32"/>
          <w:szCs w:val="32"/>
          <w:lang w:val="en-US" w:eastAsia="zh-CN"/>
        </w:rPr>
        <w:t>2023</w:t>
      </w:r>
      <w:r>
        <w:rPr>
          <w:rFonts w:hint="eastAsia" w:ascii="仿宋" w:hAnsi="仿宋" w:eastAsia="仿宋"/>
          <w:sz w:val="32"/>
          <w:szCs w:val="32"/>
        </w:rPr>
        <w:t>年</w:t>
      </w:r>
      <w:r>
        <w:rPr>
          <w:rFonts w:ascii="仿宋" w:hAnsi="仿宋" w:eastAsia="仿宋"/>
          <w:sz w:val="32"/>
          <w:szCs w:val="32"/>
        </w:rPr>
        <w:t>有所增加，但</w:t>
      </w:r>
      <w:r>
        <w:rPr>
          <w:rFonts w:hint="eastAsia" w:ascii="仿宋" w:hAnsi="仿宋" w:eastAsia="仿宋"/>
          <w:sz w:val="32"/>
          <w:szCs w:val="32"/>
        </w:rPr>
        <w:t>和</w:t>
      </w:r>
      <w:r>
        <w:rPr>
          <w:rFonts w:ascii="仿宋" w:hAnsi="仿宋" w:eastAsia="仿宋"/>
          <w:sz w:val="32"/>
          <w:szCs w:val="32"/>
        </w:rPr>
        <w:t>优秀单位相比仍有较大差距</w:t>
      </w:r>
      <w:r>
        <w:rPr>
          <w:rFonts w:hint="eastAsia" w:ascii="仿宋" w:hAnsi="仿宋" w:eastAsia="仿宋"/>
          <w:sz w:val="32"/>
          <w:szCs w:val="32"/>
          <w:lang w:eastAsia="zh-CN"/>
        </w:rPr>
        <w:t>。</w:t>
      </w:r>
      <w:r>
        <w:rPr>
          <w:rFonts w:hint="eastAsia" w:ascii="仿宋" w:hAnsi="仿宋" w:eastAsia="仿宋"/>
          <w:sz w:val="32"/>
          <w:szCs w:val="32"/>
          <w:lang w:val="en-US" w:eastAsia="zh-CN"/>
        </w:rPr>
        <w:t>2025年</w:t>
      </w:r>
      <w:r>
        <w:rPr>
          <w:rFonts w:hint="eastAsia" w:ascii="仿宋" w:hAnsi="仿宋" w:eastAsia="仿宋"/>
          <w:sz w:val="32"/>
          <w:szCs w:val="32"/>
          <w:lang w:eastAsia="zh-CN"/>
        </w:rPr>
        <w:t>我</w:t>
      </w:r>
      <w:r>
        <w:rPr>
          <w:rFonts w:hint="eastAsia" w:ascii="仿宋" w:hAnsi="仿宋" w:eastAsia="仿宋"/>
          <w:sz w:val="32"/>
          <w:szCs w:val="32"/>
          <w:lang w:val="en-US" w:eastAsia="zh-CN"/>
        </w:rPr>
        <w:t>单位</w:t>
      </w:r>
      <w:r>
        <w:rPr>
          <w:rFonts w:ascii="仿宋" w:hAnsi="仿宋" w:eastAsia="仿宋"/>
          <w:sz w:val="32"/>
          <w:szCs w:val="32"/>
        </w:rPr>
        <w:t>将</w:t>
      </w:r>
      <w:r>
        <w:rPr>
          <w:rFonts w:hint="eastAsia" w:ascii="仿宋" w:hAnsi="仿宋" w:eastAsia="仿宋"/>
          <w:sz w:val="32"/>
          <w:szCs w:val="32"/>
          <w:lang w:val="en-US" w:eastAsia="zh-CN"/>
        </w:rPr>
        <w:t>依托新建立的丰台12345公众号，强化媒体宣传和推广工作，</w:t>
      </w:r>
      <w:r>
        <w:rPr>
          <w:rFonts w:hint="eastAsia" w:ascii="仿宋" w:hAnsi="仿宋" w:eastAsia="仿宋"/>
          <w:sz w:val="32"/>
          <w:szCs w:val="32"/>
        </w:rPr>
        <w:t>进</w:t>
      </w:r>
      <w:r>
        <w:rPr>
          <w:rFonts w:hint="eastAsia" w:ascii="仿宋" w:hAnsi="仿宋" w:eastAsia="仿宋"/>
          <w:sz w:val="32"/>
          <w:szCs w:val="32"/>
          <w:lang w:val="en-US" w:eastAsia="zh-CN"/>
        </w:rPr>
        <w:t>不断提升</w:t>
      </w:r>
      <w:r>
        <w:rPr>
          <w:rFonts w:hint="eastAsia" w:ascii="仿宋" w:hAnsi="仿宋" w:eastAsia="仿宋"/>
          <w:sz w:val="32"/>
          <w:szCs w:val="32"/>
        </w:rPr>
        <w:t>信息写作</w:t>
      </w:r>
      <w:r>
        <w:rPr>
          <w:rFonts w:hint="eastAsia" w:ascii="仿宋" w:hAnsi="仿宋" w:eastAsia="仿宋"/>
          <w:sz w:val="32"/>
          <w:szCs w:val="32"/>
          <w:lang w:val="en-US" w:eastAsia="zh-CN"/>
        </w:rPr>
        <w:t>和视频剪辑制作方面的能力</w:t>
      </w:r>
      <w:r>
        <w:rPr>
          <w:rFonts w:ascii="仿宋" w:hAnsi="仿宋" w:eastAsia="仿宋"/>
          <w:sz w:val="32"/>
          <w:szCs w:val="32"/>
        </w:rPr>
        <w:t>，</w:t>
      </w:r>
      <w:r>
        <w:rPr>
          <w:rFonts w:hint="eastAsia" w:ascii="仿宋" w:hAnsi="仿宋" w:eastAsia="仿宋"/>
          <w:sz w:val="32"/>
          <w:szCs w:val="32"/>
          <w:lang w:val="en-US" w:eastAsia="zh-CN"/>
        </w:rPr>
        <w:t>在数量和质量上不断提升我单位的主动信息工作。</w:t>
      </w:r>
    </w:p>
    <w:p>
      <w:pPr>
        <w:spacing w:line="500" w:lineRule="exact"/>
        <w:ind w:firstLine="640" w:firstLineChars="200"/>
        <w:rPr>
          <w:rFonts w:hint="eastAsia" w:ascii="仿宋_GB2312" w:hAnsi="宋体" w:eastAsia="仿宋_GB2312" w:cs="宋体"/>
          <w:spacing w:val="8"/>
          <w:kern w:val="0"/>
          <w:sz w:val="32"/>
          <w:szCs w:val="32"/>
        </w:rPr>
      </w:pPr>
      <w:r>
        <w:rPr>
          <w:rFonts w:ascii="仿宋" w:hAnsi="仿宋" w:eastAsia="仿宋"/>
          <w:sz w:val="32"/>
          <w:szCs w:val="32"/>
        </w:rPr>
        <w:t>2.</w:t>
      </w:r>
      <w:r>
        <w:rPr>
          <w:rFonts w:hint="eastAsia" w:ascii="仿宋" w:hAnsi="仿宋" w:eastAsia="仿宋"/>
          <w:sz w:val="32"/>
          <w:szCs w:val="32"/>
          <w:lang w:val="en-US" w:eastAsia="zh-CN"/>
        </w:rPr>
        <w:t>进一步细化依申请公开相关工作。我单位负责已申请公开的科室和工作人员</w:t>
      </w:r>
      <w:r>
        <w:rPr>
          <w:rFonts w:hint="eastAsia" w:ascii="仿宋_GB2312" w:hAnsi="宋体" w:eastAsia="仿宋_GB2312" w:cs="宋体"/>
          <w:spacing w:val="8"/>
          <w:kern w:val="0"/>
          <w:sz w:val="32"/>
          <w:szCs w:val="32"/>
        </w:rPr>
        <w:t>对《中华人民共和国政府信息公开条例》的</w:t>
      </w:r>
      <w:r>
        <w:rPr>
          <w:rFonts w:ascii="仿宋_GB2312" w:hAnsi="宋体" w:eastAsia="仿宋_GB2312" w:cs="宋体"/>
          <w:spacing w:val="8"/>
          <w:kern w:val="0"/>
          <w:sz w:val="32"/>
          <w:szCs w:val="32"/>
        </w:rPr>
        <w:t>熟悉程度</w:t>
      </w:r>
      <w:r>
        <w:rPr>
          <w:rFonts w:hint="eastAsia" w:ascii="仿宋_GB2312" w:hAnsi="宋体" w:eastAsia="仿宋_GB2312" w:cs="宋体"/>
          <w:spacing w:val="8"/>
          <w:kern w:val="0"/>
          <w:sz w:val="32"/>
          <w:szCs w:val="32"/>
          <w:lang w:val="en-US" w:eastAsia="zh-CN"/>
        </w:rPr>
        <w:t>有待进一步加强</w:t>
      </w:r>
      <w:r>
        <w:rPr>
          <w:rFonts w:ascii="仿宋_GB2312" w:hAnsi="宋体" w:eastAsia="仿宋_GB2312" w:cs="宋体"/>
          <w:spacing w:val="8"/>
          <w:kern w:val="0"/>
          <w:sz w:val="32"/>
          <w:szCs w:val="32"/>
        </w:rPr>
        <w:t>。</w:t>
      </w:r>
      <w:r>
        <w:rPr>
          <w:rFonts w:hint="eastAsia" w:ascii="仿宋_GB2312" w:hAnsi="宋体" w:eastAsia="仿宋_GB2312" w:cs="宋体"/>
          <w:spacing w:val="8"/>
          <w:kern w:val="0"/>
          <w:sz w:val="32"/>
          <w:szCs w:val="32"/>
        </w:rPr>
        <w:t>202</w:t>
      </w:r>
      <w:r>
        <w:rPr>
          <w:rFonts w:hint="eastAsia" w:ascii="仿宋_GB2312" w:hAnsi="宋体" w:eastAsia="仿宋_GB2312" w:cs="宋体"/>
          <w:spacing w:val="8"/>
          <w:kern w:val="0"/>
          <w:sz w:val="32"/>
          <w:szCs w:val="32"/>
          <w:lang w:val="en-US" w:eastAsia="zh-CN"/>
        </w:rPr>
        <w:t>4</w:t>
      </w:r>
      <w:r>
        <w:rPr>
          <w:rFonts w:hint="eastAsia" w:ascii="仿宋_GB2312" w:hAnsi="宋体" w:eastAsia="仿宋_GB2312" w:cs="宋体"/>
          <w:spacing w:val="8"/>
          <w:kern w:val="0"/>
          <w:sz w:val="32"/>
          <w:szCs w:val="32"/>
        </w:rPr>
        <w:t>年</w:t>
      </w:r>
      <w:r>
        <w:rPr>
          <w:rFonts w:ascii="仿宋_GB2312" w:hAnsi="宋体" w:eastAsia="仿宋_GB2312" w:cs="宋体"/>
          <w:spacing w:val="8"/>
          <w:kern w:val="0"/>
          <w:sz w:val="32"/>
          <w:szCs w:val="32"/>
        </w:rPr>
        <w:t>受理依申请公</w:t>
      </w:r>
      <w:r>
        <w:rPr>
          <w:rFonts w:hint="eastAsia" w:ascii="仿宋_GB2312" w:hAnsi="宋体" w:eastAsia="仿宋_GB2312" w:cs="宋体"/>
          <w:spacing w:val="8"/>
          <w:kern w:val="0"/>
          <w:sz w:val="32"/>
          <w:szCs w:val="32"/>
        </w:rPr>
        <w:t>开</w:t>
      </w:r>
      <w:r>
        <w:rPr>
          <w:rFonts w:hint="eastAsia" w:ascii="仿宋_GB2312" w:hAnsi="宋体" w:eastAsia="仿宋_GB2312" w:cs="宋体"/>
          <w:spacing w:val="8"/>
          <w:kern w:val="0"/>
          <w:sz w:val="32"/>
          <w:szCs w:val="32"/>
          <w:lang w:val="en-US" w:eastAsia="zh-CN"/>
        </w:rPr>
        <w:t>5</w:t>
      </w:r>
      <w:r>
        <w:rPr>
          <w:rFonts w:hint="eastAsia" w:ascii="仿宋_GB2312" w:hAnsi="宋体" w:eastAsia="仿宋_GB2312" w:cs="宋体"/>
          <w:spacing w:val="8"/>
          <w:kern w:val="0"/>
          <w:sz w:val="32"/>
          <w:szCs w:val="32"/>
        </w:rPr>
        <w:t>件，</w:t>
      </w:r>
      <w:r>
        <w:rPr>
          <w:rFonts w:hint="eastAsia" w:ascii="仿宋_GB2312" w:hAnsi="宋体" w:eastAsia="仿宋_GB2312" w:cs="宋体"/>
          <w:spacing w:val="8"/>
          <w:kern w:val="0"/>
          <w:sz w:val="32"/>
          <w:szCs w:val="32"/>
          <w:lang w:val="en-US" w:eastAsia="zh-CN"/>
        </w:rPr>
        <w:t>较去年数量有了提升，</w:t>
      </w:r>
      <w:r>
        <w:rPr>
          <w:rFonts w:ascii="仿宋_GB2312" w:hAnsi="宋体" w:eastAsia="仿宋_GB2312" w:cs="宋体"/>
          <w:spacing w:val="8"/>
          <w:kern w:val="0"/>
          <w:sz w:val="32"/>
          <w:szCs w:val="32"/>
        </w:rPr>
        <w:t>面对</w:t>
      </w:r>
      <w:r>
        <w:rPr>
          <w:rFonts w:hint="eastAsia" w:ascii="仿宋_GB2312" w:hAnsi="宋体" w:eastAsia="仿宋_GB2312" w:cs="宋体"/>
          <w:spacing w:val="8"/>
          <w:kern w:val="0"/>
          <w:sz w:val="32"/>
          <w:szCs w:val="32"/>
          <w:lang w:val="en-US" w:eastAsia="zh-CN"/>
        </w:rPr>
        <w:t>接诉即办工作的热度和</w:t>
      </w:r>
      <w:r>
        <w:rPr>
          <w:rFonts w:ascii="仿宋_GB2312" w:hAnsi="宋体" w:eastAsia="仿宋_GB2312" w:cs="宋体"/>
          <w:spacing w:val="8"/>
          <w:kern w:val="0"/>
          <w:sz w:val="32"/>
          <w:szCs w:val="32"/>
        </w:rPr>
        <w:t>日益增长的群众需求，</w:t>
      </w:r>
      <w:r>
        <w:rPr>
          <w:rFonts w:hint="eastAsia" w:ascii="仿宋_GB2312" w:hAnsi="宋体" w:eastAsia="仿宋_GB2312" w:cs="宋体"/>
          <w:spacing w:val="8"/>
          <w:kern w:val="0"/>
          <w:sz w:val="32"/>
          <w:szCs w:val="32"/>
          <w:lang w:eastAsia="zh-CN"/>
        </w:rPr>
        <w:t>我</w:t>
      </w:r>
      <w:r>
        <w:rPr>
          <w:rFonts w:hint="eastAsia" w:ascii="仿宋_GB2312" w:hAnsi="宋体" w:eastAsia="仿宋_GB2312" w:cs="宋体"/>
          <w:spacing w:val="8"/>
          <w:kern w:val="0"/>
          <w:sz w:val="32"/>
          <w:szCs w:val="32"/>
          <w:lang w:val="en-US" w:eastAsia="zh-CN"/>
        </w:rPr>
        <w:t>单位</w:t>
      </w:r>
      <w:r>
        <w:rPr>
          <w:rFonts w:hint="eastAsia" w:ascii="仿宋_GB2312" w:hAnsi="宋体" w:eastAsia="仿宋_GB2312" w:cs="宋体"/>
          <w:spacing w:val="8"/>
          <w:kern w:val="0"/>
          <w:sz w:val="32"/>
          <w:szCs w:val="32"/>
        </w:rPr>
        <w:t>将进一步</w:t>
      </w:r>
      <w:r>
        <w:rPr>
          <w:rFonts w:ascii="仿宋_GB2312" w:hAnsi="宋体" w:eastAsia="仿宋_GB2312" w:cs="宋体"/>
          <w:spacing w:val="8"/>
          <w:kern w:val="0"/>
          <w:sz w:val="32"/>
          <w:szCs w:val="32"/>
        </w:rPr>
        <w:t>加强学习，</w:t>
      </w:r>
      <w:r>
        <w:rPr>
          <w:rFonts w:hint="eastAsia" w:ascii="仿宋_GB2312" w:hAnsi="宋体" w:eastAsia="仿宋_GB2312" w:cs="宋体"/>
          <w:spacing w:val="8"/>
          <w:kern w:val="0"/>
          <w:sz w:val="32"/>
          <w:szCs w:val="32"/>
        </w:rPr>
        <w:t>补短板，</w:t>
      </w:r>
      <w:r>
        <w:rPr>
          <w:rFonts w:ascii="仿宋" w:hAnsi="仿宋" w:eastAsia="仿宋"/>
          <w:sz w:val="32"/>
          <w:szCs w:val="32"/>
        </w:rPr>
        <w:t>按照</w:t>
      </w:r>
      <w:r>
        <w:rPr>
          <w:rFonts w:hint="eastAsia" w:ascii="仿宋" w:hAnsi="仿宋" w:eastAsia="仿宋"/>
          <w:sz w:val="32"/>
          <w:szCs w:val="32"/>
        </w:rPr>
        <w:t>《条例》要求</w:t>
      </w:r>
      <w:r>
        <w:rPr>
          <w:rFonts w:hint="eastAsia" w:ascii="仿宋" w:hAnsi="仿宋" w:eastAsia="仿宋"/>
          <w:sz w:val="32"/>
          <w:szCs w:val="32"/>
          <w:lang w:val="en-US" w:eastAsia="zh-CN"/>
        </w:rPr>
        <w:t>更加细致地做好</w:t>
      </w:r>
      <w:r>
        <w:rPr>
          <w:rFonts w:hint="eastAsia" w:ascii="仿宋" w:hAnsi="仿宋" w:eastAsia="仿宋"/>
          <w:sz w:val="32"/>
          <w:szCs w:val="32"/>
        </w:rPr>
        <w:t>依申请</w:t>
      </w:r>
      <w:r>
        <w:rPr>
          <w:rFonts w:ascii="仿宋" w:hAnsi="仿宋" w:eastAsia="仿宋"/>
          <w:sz w:val="32"/>
          <w:szCs w:val="32"/>
        </w:rPr>
        <w:t>公开工作。</w:t>
      </w:r>
    </w:p>
    <w:p>
      <w:pPr>
        <w:widowControl/>
        <w:spacing w:line="560" w:lineRule="exact"/>
        <w:ind w:firstLine="675"/>
        <w:jc w:val="left"/>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widowControl/>
        <w:spacing w:line="560" w:lineRule="exact"/>
        <w:jc w:val="left"/>
        <w:rPr>
          <w:rFonts w:hint="eastAsia" w:ascii="黑体" w:hAnsi="黑体" w:eastAsia="黑体" w:cs="黑体"/>
          <w:color w:val="000000"/>
          <w:sz w:val="32"/>
          <w:szCs w:val="32"/>
          <w:highlight w:val="none"/>
          <w:lang w:val="en-US" w:eastAsia="zh-CN"/>
        </w:rPr>
      </w:pPr>
      <w:r>
        <w:rPr>
          <w:rFonts w:ascii="宋体" w:hAnsi="宋体" w:cs="宋体"/>
          <w:spacing w:val="8"/>
          <w:kern w:val="0"/>
          <w:sz w:val="32"/>
          <w:szCs w:val="32"/>
        </w:rPr>
        <w:t>　　</w:t>
      </w:r>
      <w:r>
        <w:rPr>
          <w:rFonts w:hint="eastAsia" w:ascii="仿宋_GB2312" w:hAnsi="宋体" w:eastAsia="仿宋_GB2312" w:cs="宋体"/>
          <w:spacing w:val="8"/>
          <w:kern w:val="0"/>
          <w:sz w:val="32"/>
          <w:szCs w:val="32"/>
          <w:lang w:eastAsia="zh-CN"/>
        </w:rPr>
        <w:t>无。</w:t>
      </w: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A5860A"/>
    <w:multiLevelType w:val="singleLevel"/>
    <w:tmpl w:val="3FA5860A"/>
    <w:lvl w:ilvl="0" w:tentative="0">
      <w:start w:val="2"/>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FC300A"/>
    <w:rsid w:val="00D33C42"/>
    <w:rsid w:val="02E36A2F"/>
    <w:rsid w:val="076C0517"/>
    <w:rsid w:val="19205339"/>
    <w:rsid w:val="19B4308D"/>
    <w:rsid w:val="1A4216CC"/>
    <w:rsid w:val="2CD34AA0"/>
    <w:rsid w:val="35607A21"/>
    <w:rsid w:val="3DB63CE0"/>
    <w:rsid w:val="3E887EA3"/>
    <w:rsid w:val="3F9930D6"/>
    <w:rsid w:val="40165770"/>
    <w:rsid w:val="50B8222E"/>
    <w:rsid w:val="61FC300A"/>
    <w:rsid w:val="71802E96"/>
    <w:rsid w:val="73ED6BA7"/>
    <w:rsid w:val="7C351724"/>
    <w:rsid w:val="7E305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spacing w:line="600" w:lineRule="exact"/>
      <w:ind w:right="-316" w:rightChars="-100" w:firstLine="790" w:firstLineChars="250"/>
    </w:pPr>
    <w:rPr>
      <w:szCs w:val="24"/>
    </w:rPr>
  </w:style>
  <w:style w:type="paragraph" w:styleId="3">
    <w:name w:val="Plain Text"/>
    <w:basedOn w:val="1"/>
    <w:qFormat/>
    <w:uiPriority w:val="0"/>
    <w:rPr>
      <w:rFonts w:ascii="宋体" w:hAnsi="Courier New"/>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99"/>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2025-01-06T09:38:00Z</dcterms:created>
  <dc:creator>lc</dc:creator>
  <cp:lastModifiedBy>admin</cp:lastModifiedBy>
  <cp:lastPrinted>2025-01-10T02:08:00Z</cp:lastPrinted>
  <dcterms:modified xsi:type="dcterms:W3CDTF">2025-05-26T07:35:22Z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DB42DCF450CA4538B942341173A5CBF0</vt:lpwstr>
  </property>
</Properties>
</file>