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丰台街道办事处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w:t>
      </w:r>
      <w:bookmarkStart w:id="0" w:name="_GoBack"/>
      <w:bookmarkEnd w:id="0"/>
      <w:r>
        <w:rPr>
          <w:rFonts w:ascii="黑体" w:hAnsi="黑体" w:eastAsia="黑体" w:cs="宋体"/>
          <w:spacing w:val="8"/>
          <w:kern w:val="0"/>
          <w:sz w:val="32"/>
          <w:szCs w:val="32"/>
        </w:rPr>
        <w:t>况</w:t>
      </w:r>
    </w:p>
    <w:p>
      <w:pPr>
        <w:keepNext w:val="0"/>
        <w:keepLines w:val="0"/>
        <w:widowControl/>
        <w:suppressLineNumbers w:val="0"/>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2024年，丰台街道办事处深入贯彻《中华人民共和国政府信息公开条例》，坚持“公开为常态、不公开为例外”的原则，</w:t>
      </w:r>
      <w:r>
        <w:rPr>
          <w:rFonts w:hint="default" w:ascii="仿宋_GB2312" w:hAnsi="宋体" w:eastAsia="仿宋_GB2312" w:cs="宋体"/>
          <w:spacing w:val="8"/>
          <w:kern w:val="0"/>
          <w:sz w:val="32"/>
          <w:szCs w:val="32"/>
          <w:lang w:val="en-US" w:eastAsia="zh-CN"/>
        </w:rPr>
        <w:t>妥善处理公开与保密的关系，合理界定信息公开范围，及时准确的公开各类信息。</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lang w:eastAsia="zh-CN"/>
        </w:rPr>
        <w:t>（</w:t>
      </w:r>
      <w:r>
        <w:rPr>
          <w:rFonts w:hint="eastAsia" w:ascii="楷体_GB2312" w:hAnsi="楷体" w:eastAsia="楷体_GB2312"/>
          <w:sz w:val="32"/>
          <w:szCs w:val="32"/>
          <w:lang w:val="en-US" w:eastAsia="zh-CN"/>
        </w:rPr>
        <w:t>一</w:t>
      </w:r>
      <w:r>
        <w:rPr>
          <w:rFonts w:hint="eastAsia" w:ascii="楷体_GB2312" w:hAnsi="楷体" w:eastAsia="楷体_GB2312"/>
          <w:sz w:val="32"/>
          <w:szCs w:val="32"/>
          <w:lang w:eastAsia="zh-CN"/>
        </w:rPr>
        <w:t>）</w:t>
      </w:r>
      <w:r>
        <w:rPr>
          <w:rFonts w:hint="eastAsia" w:ascii="楷体_GB2312" w:hAnsi="楷体" w:eastAsia="楷体_GB2312"/>
          <w:sz w:val="32"/>
          <w:szCs w:val="32"/>
        </w:rPr>
        <w:t>主动公开情况</w:t>
      </w:r>
    </w:p>
    <w:p>
      <w:p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4年度在区政府门户网站</w:t>
      </w:r>
      <w:r>
        <w:rPr>
          <w:rFonts w:hint="eastAsia" w:ascii="仿宋_GB2312" w:hAnsi="宋体" w:eastAsia="仿宋_GB2312" w:cs="宋体"/>
          <w:spacing w:val="8"/>
          <w:kern w:val="0"/>
          <w:sz w:val="32"/>
          <w:szCs w:val="32"/>
        </w:rPr>
        <w:t>主动公开政府信息共</w:t>
      </w:r>
      <w:r>
        <w:rPr>
          <w:rFonts w:hint="eastAsia" w:ascii="仿宋_GB2312" w:hAnsi="宋体" w:eastAsia="仿宋_GB2312" w:cs="宋体"/>
          <w:spacing w:val="8"/>
          <w:kern w:val="0"/>
          <w:sz w:val="32"/>
          <w:szCs w:val="32"/>
          <w:lang w:val="en-US" w:eastAsia="zh-CN"/>
        </w:rPr>
        <w:t>832</w:t>
      </w:r>
      <w:r>
        <w:rPr>
          <w:rFonts w:hint="eastAsia" w:ascii="仿宋_GB2312" w:hAnsi="宋体" w:eastAsia="仿宋_GB2312" w:cs="宋体"/>
          <w:spacing w:val="8"/>
          <w:kern w:val="0"/>
          <w:sz w:val="32"/>
          <w:szCs w:val="32"/>
        </w:rPr>
        <w:t>条，通过政务新媒体微信公众号</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丰街视线</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公开政府信息共计641</w:t>
      </w:r>
      <w:r>
        <w:rPr>
          <w:rFonts w:hint="eastAsia" w:ascii="仿宋_GB2312" w:hAnsi="宋体" w:eastAsia="仿宋_GB2312" w:cs="宋体"/>
          <w:spacing w:val="8"/>
          <w:kern w:val="0"/>
          <w:sz w:val="32"/>
          <w:szCs w:val="32"/>
          <w:highlight w:val="none"/>
          <w:lang w:val="en-US" w:eastAsia="zh-CN"/>
        </w:rPr>
        <w:t>篇</w:t>
      </w:r>
      <w:r>
        <w:rPr>
          <w:rFonts w:hint="eastAsia" w:ascii="仿宋_GB2312" w:hAnsi="宋体" w:eastAsia="仿宋_GB2312" w:cs="宋体"/>
          <w:spacing w:val="8"/>
          <w:kern w:val="0"/>
          <w:sz w:val="32"/>
          <w:szCs w:val="32"/>
          <w:highlight w:val="none"/>
        </w:rPr>
        <w:t>。重点领域公开政府信息数 4</w:t>
      </w:r>
      <w:r>
        <w:rPr>
          <w:rFonts w:hint="eastAsia" w:ascii="仿宋_GB2312" w:hAnsi="宋体" w:eastAsia="仿宋_GB2312" w:cs="宋体"/>
          <w:spacing w:val="8"/>
          <w:kern w:val="0"/>
          <w:sz w:val="32"/>
          <w:szCs w:val="32"/>
          <w:highlight w:val="none"/>
          <w:lang w:val="en-US" w:eastAsia="zh-CN"/>
        </w:rPr>
        <w:t>5</w:t>
      </w:r>
      <w:r>
        <w:rPr>
          <w:rFonts w:hint="eastAsia" w:ascii="仿宋_GB2312" w:hAnsi="宋体" w:eastAsia="仿宋_GB2312" w:cs="宋体"/>
          <w:color w:val="auto"/>
          <w:spacing w:val="8"/>
          <w:kern w:val="0"/>
          <w:sz w:val="32"/>
          <w:szCs w:val="32"/>
          <w:highlight w:val="none"/>
        </w:rPr>
        <w:t>条，其中，主动公开机构信息</w:t>
      </w:r>
      <w:r>
        <w:rPr>
          <w:rFonts w:hint="eastAsia" w:ascii="仿宋_GB2312" w:hAnsi="宋体" w:eastAsia="仿宋_GB2312" w:cs="宋体"/>
          <w:color w:val="auto"/>
          <w:spacing w:val="8"/>
          <w:kern w:val="0"/>
          <w:sz w:val="32"/>
          <w:szCs w:val="32"/>
          <w:highlight w:val="none"/>
          <w:lang w:val="en-US" w:eastAsia="zh-CN"/>
        </w:rPr>
        <w:t>4</w:t>
      </w:r>
      <w:r>
        <w:rPr>
          <w:rFonts w:hint="eastAsia" w:ascii="仿宋_GB2312" w:hAnsi="宋体" w:eastAsia="仿宋_GB2312" w:cs="宋体"/>
          <w:color w:val="auto"/>
          <w:spacing w:val="8"/>
          <w:kern w:val="0"/>
          <w:sz w:val="32"/>
          <w:szCs w:val="32"/>
          <w:highlight w:val="none"/>
        </w:rPr>
        <w:t>条；主动公开政府公告</w:t>
      </w:r>
      <w:r>
        <w:rPr>
          <w:rFonts w:hint="eastAsia" w:ascii="仿宋_GB2312" w:hAnsi="宋体" w:eastAsia="仿宋_GB2312" w:cs="宋体"/>
          <w:color w:val="auto"/>
          <w:spacing w:val="8"/>
          <w:kern w:val="0"/>
          <w:sz w:val="32"/>
          <w:szCs w:val="32"/>
          <w:highlight w:val="none"/>
          <w:lang w:val="en-US" w:eastAsia="zh-CN"/>
        </w:rPr>
        <w:t>6</w:t>
      </w:r>
      <w:r>
        <w:rPr>
          <w:rFonts w:hint="eastAsia" w:ascii="仿宋_GB2312" w:hAnsi="宋体" w:eastAsia="仿宋_GB2312" w:cs="宋体"/>
          <w:color w:val="auto"/>
          <w:spacing w:val="8"/>
          <w:kern w:val="0"/>
          <w:sz w:val="32"/>
          <w:szCs w:val="32"/>
          <w:highlight w:val="none"/>
        </w:rPr>
        <w:t>条；主动公开财政预算决算、政府购买服务和</w:t>
      </w:r>
      <w:r>
        <w:rPr>
          <w:rFonts w:hint="eastAsia" w:ascii="仿宋_GB2312" w:hAnsi="宋体" w:eastAsia="仿宋_GB2312" w:cs="宋体"/>
          <w:color w:val="auto"/>
          <w:spacing w:val="8"/>
          <w:kern w:val="0"/>
          <w:sz w:val="32"/>
          <w:szCs w:val="32"/>
          <w:highlight w:val="none"/>
          <w:lang w:eastAsia="zh-CN"/>
        </w:rPr>
        <w:t>“三公”经费</w:t>
      </w:r>
      <w:r>
        <w:rPr>
          <w:rFonts w:hint="eastAsia" w:ascii="仿宋_GB2312" w:hAnsi="宋体" w:eastAsia="仿宋_GB2312" w:cs="宋体"/>
          <w:color w:val="auto"/>
          <w:spacing w:val="8"/>
          <w:kern w:val="0"/>
          <w:sz w:val="32"/>
          <w:szCs w:val="32"/>
          <w:highlight w:val="none"/>
        </w:rPr>
        <w:t>信息数</w:t>
      </w:r>
      <w:r>
        <w:rPr>
          <w:rFonts w:hint="eastAsia" w:ascii="仿宋_GB2312" w:hAnsi="宋体" w:eastAsia="仿宋_GB2312" w:cs="宋体"/>
          <w:color w:val="auto"/>
          <w:spacing w:val="8"/>
          <w:kern w:val="0"/>
          <w:sz w:val="32"/>
          <w:szCs w:val="32"/>
          <w:highlight w:val="none"/>
          <w:lang w:val="en-US" w:eastAsia="zh-CN"/>
        </w:rPr>
        <w:t>1</w:t>
      </w:r>
      <w:r>
        <w:rPr>
          <w:rFonts w:hint="eastAsia" w:ascii="仿宋_GB2312" w:hAnsi="宋体" w:eastAsia="仿宋_GB2312" w:cs="宋体"/>
          <w:color w:val="auto"/>
          <w:spacing w:val="8"/>
          <w:kern w:val="0"/>
          <w:sz w:val="32"/>
          <w:szCs w:val="32"/>
          <w:highlight w:val="none"/>
        </w:rPr>
        <w:t>条；执法公开</w:t>
      </w:r>
      <w:r>
        <w:rPr>
          <w:rFonts w:hint="eastAsia" w:ascii="仿宋_GB2312" w:hAnsi="宋体" w:eastAsia="仿宋_GB2312" w:cs="宋体"/>
          <w:color w:val="auto"/>
          <w:spacing w:val="8"/>
          <w:kern w:val="0"/>
          <w:sz w:val="32"/>
          <w:szCs w:val="32"/>
          <w:highlight w:val="none"/>
          <w:lang w:val="en-US" w:eastAsia="zh-CN"/>
        </w:rPr>
        <w:t>34</w:t>
      </w:r>
      <w:r>
        <w:rPr>
          <w:rFonts w:hint="eastAsia" w:ascii="仿宋_GB2312" w:hAnsi="宋体" w:eastAsia="仿宋_GB2312" w:cs="宋体"/>
          <w:color w:val="auto"/>
          <w:spacing w:val="8"/>
          <w:kern w:val="0"/>
          <w:sz w:val="32"/>
          <w:szCs w:val="32"/>
          <w:highlight w:val="none"/>
        </w:rPr>
        <w:t>条。</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二</w:t>
      </w:r>
      <w:r>
        <w:rPr>
          <w:rFonts w:hint="eastAsia" w:ascii="楷体_GB2312" w:hAnsi="楷体" w:eastAsia="楷体_GB2312"/>
          <w:sz w:val="32"/>
          <w:szCs w:val="32"/>
        </w:rPr>
        <w:t>）依申请公开情况</w:t>
      </w:r>
    </w:p>
    <w:p>
      <w:p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年，街道收到政府信息公开申请共</w:t>
      </w:r>
      <w:r>
        <w:rPr>
          <w:rFonts w:hint="eastAsia" w:ascii="仿宋_GB2312" w:hAnsi="宋体" w:eastAsia="仿宋_GB2312" w:cs="宋体"/>
          <w:spacing w:val="8"/>
          <w:kern w:val="0"/>
          <w:sz w:val="32"/>
          <w:szCs w:val="32"/>
          <w:lang w:val="en-US" w:eastAsia="zh-CN"/>
        </w:rPr>
        <w:t>34</w:t>
      </w:r>
      <w:r>
        <w:rPr>
          <w:rFonts w:hint="eastAsia" w:ascii="仿宋_GB2312" w:hAnsi="宋体" w:eastAsia="仿宋_GB2312" w:cs="宋体"/>
          <w:spacing w:val="8"/>
          <w:kern w:val="0"/>
          <w:sz w:val="32"/>
          <w:szCs w:val="32"/>
        </w:rPr>
        <w:t>件，已办结</w:t>
      </w:r>
      <w:r>
        <w:rPr>
          <w:rFonts w:hint="eastAsia" w:ascii="仿宋_GB2312" w:hAnsi="宋体" w:eastAsia="仿宋_GB2312" w:cs="宋体"/>
          <w:spacing w:val="8"/>
          <w:kern w:val="0"/>
          <w:sz w:val="32"/>
          <w:szCs w:val="32"/>
          <w:lang w:val="en-US" w:eastAsia="zh-CN"/>
        </w:rPr>
        <w:t>29</w:t>
      </w:r>
      <w:r>
        <w:rPr>
          <w:rFonts w:hint="eastAsia" w:ascii="仿宋_GB2312" w:hAnsi="宋体" w:eastAsia="仿宋_GB2312" w:cs="宋体"/>
          <w:spacing w:val="8"/>
          <w:kern w:val="0"/>
          <w:sz w:val="32"/>
          <w:szCs w:val="32"/>
        </w:rPr>
        <w:t>件，结转202</w:t>
      </w:r>
      <w:r>
        <w:rPr>
          <w:rFonts w:hint="eastAsia" w:ascii="仿宋_GB2312" w:hAnsi="宋体" w:eastAsia="仿宋_GB2312" w:cs="宋体"/>
          <w:spacing w:val="8"/>
          <w:kern w:val="0"/>
          <w:sz w:val="32"/>
          <w:szCs w:val="32"/>
          <w:lang w:val="en-US" w:eastAsia="zh-CN"/>
        </w:rPr>
        <w:t>5</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val="en-US" w:eastAsia="zh-CN"/>
        </w:rPr>
        <w:t>5</w:t>
      </w:r>
      <w:r>
        <w:rPr>
          <w:rFonts w:hint="eastAsia" w:ascii="仿宋_GB2312" w:hAnsi="宋体" w:eastAsia="仿宋_GB2312" w:cs="宋体"/>
          <w:spacing w:val="8"/>
          <w:kern w:val="0"/>
          <w:sz w:val="32"/>
          <w:szCs w:val="32"/>
        </w:rPr>
        <w:t>件。202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年，政府信息公开工作未出现不宜公开内容和涉密政府信息，未发生任何泄密事件。</w:t>
      </w:r>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三</w:t>
      </w:r>
      <w:r>
        <w:rPr>
          <w:rFonts w:hint="eastAsia" w:ascii="楷体_GB2312" w:hAnsi="楷体" w:eastAsia="楷体_GB2312"/>
          <w:sz w:val="32"/>
          <w:szCs w:val="32"/>
        </w:rPr>
        <w:t>）政府信息管理</w:t>
      </w:r>
    </w:p>
    <w:p>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严格遵守信息数据报送核查机制，规范信息发布审批流程；二是严把信息内容审核关，根据区政务和数据局发布的错敏词汇总表，加强日常信息发布审核，避免出现表述性错误；三是特别关注国家秘密、工作秘密以及个人敏感信息泄露等重大问题，进一步加强敏感信息的安全防护。</w:t>
      </w:r>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lang w:eastAsia="zh-CN"/>
        </w:rPr>
        <w:t>（四）</w:t>
      </w:r>
      <w:r>
        <w:rPr>
          <w:rFonts w:hint="eastAsia" w:ascii="楷体_GB2312" w:hAnsi="楷体" w:eastAsia="楷体_GB2312"/>
          <w:sz w:val="32"/>
          <w:szCs w:val="32"/>
        </w:rPr>
        <w:t>政府信息公开平台建设</w:t>
      </w:r>
    </w:p>
    <w:p>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w:t>
      </w:r>
      <w:r>
        <w:rPr>
          <w:rFonts w:hint="eastAsia" w:ascii="仿宋_GB2312" w:hAnsi="宋体" w:eastAsia="仿宋_GB2312" w:cs="宋体"/>
          <w:spacing w:val="8"/>
          <w:kern w:val="0"/>
          <w:sz w:val="32"/>
          <w:szCs w:val="32"/>
          <w:rtl w:val="0"/>
          <w:lang w:val="en-US" w:eastAsia="zh-CN"/>
        </w:rPr>
        <w:t>街道打造</w:t>
      </w:r>
      <w:r>
        <w:rPr>
          <w:rFonts w:hint="eastAsia" w:ascii="仿宋_GB2312" w:hAnsi="宋体" w:eastAsia="仿宋_GB2312" w:cs="宋体"/>
          <w:spacing w:val="8"/>
          <w:kern w:val="0"/>
          <w:sz w:val="32"/>
          <w:szCs w:val="32"/>
          <w:rtl w:val="0"/>
          <w:lang w:val="zh-TW" w:eastAsia="zh-CN"/>
        </w:rPr>
        <w:t>“</w:t>
      </w:r>
      <w:r>
        <w:rPr>
          <w:rFonts w:hint="eastAsia" w:ascii="仿宋_GB2312" w:hAnsi="宋体" w:eastAsia="仿宋_GB2312" w:cs="宋体"/>
          <w:spacing w:val="8"/>
          <w:kern w:val="0"/>
          <w:sz w:val="32"/>
          <w:szCs w:val="32"/>
          <w:rtl w:val="0"/>
          <w:lang w:val="zh-TW" w:eastAsia="zh-TW"/>
        </w:rPr>
        <w:t>丰街视线</w:t>
      </w:r>
      <w:r>
        <w:rPr>
          <w:rFonts w:hint="eastAsia" w:ascii="仿宋_GB2312" w:hAnsi="宋体" w:eastAsia="仿宋_GB2312" w:cs="宋体"/>
          <w:spacing w:val="8"/>
          <w:kern w:val="0"/>
          <w:sz w:val="32"/>
          <w:szCs w:val="32"/>
          <w:rtl w:val="0"/>
          <w:lang w:val="zh-TW" w:eastAsia="zh-CN"/>
        </w:rPr>
        <w:t>”</w:t>
      </w:r>
      <w:r>
        <w:rPr>
          <w:rFonts w:hint="eastAsia" w:ascii="仿宋_GB2312" w:hAnsi="宋体" w:eastAsia="仿宋_GB2312" w:cs="宋体"/>
          <w:spacing w:val="8"/>
          <w:kern w:val="0"/>
          <w:sz w:val="32"/>
          <w:szCs w:val="32"/>
          <w:rtl w:val="0"/>
          <w:lang w:val="en-US" w:eastAsia="zh-CN"/>
        </w:rPr>
        <w:t>公众号</w:t>
      </w:r>
      <w:r>
        <w:rPr>
          <w:rFonts w:hint="eastAsia" w:ascii="仿宋_GB2312" w:hAnsi="宋体" w:eastAsia="仿宋_GB2312" w:cs="宋体"/>
          <w:spacing w:val="8"/>
          <w:kern w:val="0"/>
          <w:sz w:val="32"/>
          <w:szCs w:val="32"/>
          <w:rtl w:val="0"/>
          <w:lang w:val="zh-TW" w:eastAsia="zh-CN"/>
        </w:rPr>
        <w:t>，设置多个栏目</w:t>
      </w:r>
      <w:r>
        <w:rPr>
          <w:rFonts w:hint="eastAsia" w:ascii="仿宋_GB2312" w:hAnsi="宋体" w:eastAsia="仿宋_GB2312" w:cs="宋体"/>
          <w:spacing w:val="8"/>
          <w:kern w:val="0"/>
          <w:sz w:val="32"/>
          <w:szCs w:val="32"/>
          <w:rtl w:val="0"/>
          <w:lang w:val="zh-TW" w:eastAsia="zh-TW"/>
        </w:rPr>
        <w:t>，保证菜单内容及时进行更新增强互动性、丰富信息量，实现粉丝高质量转化。</w:t>
      </w:r>
      <w:r>
        <w:rPr>
          <w:rFonts w:hint="eastAsia" w:ascii="仿宋_GB2312" w:hAnsi="宋体" w:eastAsia="仿宋_GB2312" w:cs="宋体"/>
          <w:spacing w:val="8"/>
          <w:kern w:val="0"/>
          <w:sz w:val="32"/>
          <w:szCs w:val="32"/>
          <w:lang w:val="en-US" w:eastAsia="zh-CN"/>
        </w:rPr>
        <w:t>二是及时更新信息公开栏。由专人对信息公开专栏进行维护，保障信息及时准确。三是维护好依申请公开申请渠道。如传真、电子邮箱、电话、网页申请等，做好信息公开申请进行登记、受理、审核和公开工作。</w:t>
      </w:r>
    </w:p>
    <w:p>
      <w:pPr>
        <w:spacing w:line="560" w:lineRule="exact"/>
        <w:ind w:firstLine="640" w:firstLineChars="200"/>
        <w:jc w:val="left"/>
        <w:rPr>
          <w:rFonts w:hint="eastAsia" w:ascii="楷体_GB2312" w:hAnsi="楷体" w:eastAsia="楷体_GB2312"/>
          <w:sz w:val="32"/>
          <w:szCs w:val="32"/>
          <w:lang w:val="en-US" w:eastAsia="zh-CN"/>
        </w:rPr>
      </w:pPr>
      <w:r>
        <w:rPr>
          <w:rFonts w:hint="eastAsia" w:ascii="楷体_GB2312" w:hAnsi="楷体" w:eastAsia="楷体_GB2312"/>
          <w:sz w:val="32"/>
          <w:szCs w:val="32"/>
          <w:lang w:val="en-US" w:eastAsia="zh-CN"/>
        </w:rPr>
        <w:t>（五）教育培训与监督保障</w:t>
      </w:r>
    </w:p>
    <w:p>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一是主管领导和科室工作人员积极参加区政务服务局组织的学习培训，及时传达培训精神；二是积极开展信息公开监督，将政务信息公开情况与年底绩效挂钩，对违反政务公开有关规定的，严肃追究责任。</w:t>
      </w:r>
    </w:p>
    <w:p>
      <w:pPr>
        <w:numPr>
          <w:ilvl w:val="0"/>
          <w:numId w:val="1"/>
        </w:numPr>
        <w:spacing w:line="560" w:lineRule="exact"/>
        <w:ind w:left="-10" w:firstLine="640" w:firstLineChars="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1160"/>
              </w:tabs>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iCs w:val="0"/>
                <w:color w:val="000000"/>
                <w:kern w:val="0"/>
                <w:sz w:val="20"/>
                <w:szCs w:val="20"/>
                <w:u w:val="none"/>
                <w:lang w:val="en-US" w:eastAsia="zh-CN" w:bidi="ar"/>
              </w:rPr>
              <w:t>34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0.其他处理总计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highlight w:val="none"/>
              </w:rPr>
            </w:pPr>
            <w:r>
              <w:rPr>
                <w:rFonts w:hint="default" w:ascii="Calibri" w:hAnsi="Calibri" w:eastAsia="等线" w:cs="Calibri"/>
                <w:i w:val="0"/>
                <w:iCs w:val="0"/>
                <w:color w:val="000000"/>
                <w:kern w:val="0"/>
                <w:sz w:val="20"/>
                <w:szCs w:val="20"/>
                <w:highlight w:val="none"/>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rPr>
                <w:highlight w:val="none"/>
              </w:rPr>
            </w:pPr>
            <w:r>
              <w:rPr>
                <w:rFonts w:hint="default" w:ascii="Calibri" w:hAnsi="Calibri" w:eastAsia="等线" w:cs="Calibri"/>
                <w:i w:val="0"/>
                <w:iCs w:val="0"/>
                <w:color w:val="000000"/>
                <w:kern w:val="0"/>
                <w:sz w:val="20"/>
                <w:szCs w:val="20"/>
                <w:highlight w:val="none"/>
                <w:u w:val="none"/>
                <w:lang w:val="en-US" w:eastAsia="zh-CN" w:bidi="ar"/>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17</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highlight w:val="none"/>
                <w:lang w:val="en-US" w:eastAsia="zh-CN" w:bidi="ar-SA"/>
              </w:rPr>
            </w:pPr>
            <w:r>
              <w:rPr>
                <w:rFonts w:hint="default" w:ascii="Calibri" w:hAnsi="Calibri" w:eastAsia="等线" w:cs="Calibri"/>
                <w:i w:val="0"/>
                <w:iCs w:val="0"/>
                <w:color w:val="000000"/>
                <w:kern w:val="0"/>
                <w:sz w:val="20"/>
                <w:szCs w:val="20"/>
                <w:highlight w:val="none"/>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highlight w:val="none"/>
                <w:lang w:val="en-US" w:eastAsia="zh-CN" w:bidi="ar-SA"/>
              </w:rPr>
            </w:pPr>
            <w:r>
              <w:rPr>
                <w:rFonts w:hint="default" w:ascii="Calibri" w:hAnsi="Calibri" w:eastAsia="等线" w:cs="Calibri"/>
                <w:i w:val="0"/>
                <w:iCs w:val="0"/>
                <w:color w:val="000000"/>
                <w:kern w:val="0"/>
                <w:sz w:val="20"/>
                <w:szCs w:val="20"/>
                <w:highlight w:val="none"/>
                <w:u w:val="none"/>
                <w:lang w:val="en-US" w:eastAsia="zh-CN" w:bidi="ar"/>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29</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shd w:val="clear" w:color="auto" w:fill="auto"/>
            <w:noWrap w:val="0"/>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5</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2024年政府信息公开工作还存在</w:t>
      </w:r>
      <w:r>
        <w:rPr>
          <w:rFonts w:hint="eastAsia" w:ascii="仿宋_GB2312" w:hAnsi="黑体" w:eastAsia="仿宋_GB2312"/>
          <w:sz w:val="32"/>
          <w:szCs w:val="32"/>
        </w:rPr>
        <w:t>部分领域信息公开时效性不足</w:t>
      </w:r>
      <w:r>
        <w:rPr>
          <w:rFonts w:hint="eastAsia" w:ascii="仿宋_GB2312" w:hAnsi="黑体" w:eastAsia="仿宋_GB2312"/>
          <w:sz w:val="32"/>
          <w:szCs w:val="32"/>
          <w:lang w:eastAsia="zh-CN"/>
        </w:rPr>
        <w:t>和</w:t>
      </w:r>
      <w:r>
        <w:rPr>
          <w:rFonts w:hint="default" w:ascii="仿宋_GB2312" w:hAnsi="黑体" w:eastAsia="仿宋_GB2312"/>
          <w:sz w:val="32"/>
          <w:szCs w:val="32"/>
        </w:rPr>
        <w:t>政策解读形式单一，缺乏针对性</w:t>
      </w:r>
      <w:r>
        <w:rPr>
          <w:rFonts w:hint="eastAsia" w:ascii="仿宋_GB2312" w:hAnsi="黑体" w:eastAsia="仿宋_GB2312"/>
          <w:sz w:val="32"/>
          <w:szCs w:val="32"/>
          <w:lang w:eastAsia="zh-CN"/>
        </w:rPr>
        <w:t>的问题。</w:t>
      </w:r>
    </w:p>
    <w:p>
      <w:pPr>
        <w:keepNext w:val="0"/>
        <w:keepLines w:val="0"/>
        <w:pageBreakBefore w:val="0"/>
        <w:widowControl w:val="0"/>
        <w:kinsoku/>
        <w:wordWrap/>
        <w:overflowPunct/>
        <w:topLinePunct w:val="0"/>
        <w:bidi w:val="0"/>
        <w:snapToGrid/>
        <w:spacing w:line="560" w:lineRule="exact"/>
        <w:ind w:firstLine="645"/>
        <w:jc w:val="left"/>
        <w:textAlignment w:val="auto"/>
        <w:rPr>
          <w:rFonts w:hint="default" w:ascii="仿宋_GB2312" w:hAnsi="黑体" w:eastAsia="仿宋_GB2312"/>
          <w:sz w:val="32"/>
          <w:szCs w:val="32"/>
        </w:rPr>
      </w:pPr>
      <w:r>
        <w:rPr>
          <w:rFonts w:hint="eastAsia" w:ascii="仿宋_GB2312" w:hAnsi="黑体" w:eastAsia="仿宋_GB2312"/>
          <w:sz w:val="32"/>
          <w:szCs w:val="32"/>
          <w:lang w:val="en-US" w:eastAsia="zh-CN"/>
        </w:rPr>
        <w:t>2025年</w:t>
      </w:r>
      <w:r>
        <w:rPr>
          <w:rFonts w:hint="eastAsia" w:ascii="仿宋_GB2312" w:hAnsi="黑体" w:eastAsia="仿宋_GB2312"/>
          <w:sz w:val="32"/>
          <w:szCs w:val="32"/>
        </w:rPr>
        <w:t>我街道将继续高度重视政务公开工作，</w:t>
      </w:r>
      <w:r>
        <w:rPr>
          <w:rFonts w:hint="eastAsia" w:ascii="仿宋_GB2312" w:hAnsi="黑体" w:eastAsia="仿宋_GB2312"/>
          <w:sz w:val="32"/>
          <w:szCs w:val="32"/>
          <w:lang w:val="en-US" w:eastAsia="zh-CN"/>
        </w:rPr>
        <w:t>一是加强常态化工作机制建设，及时公开和更新，确保政府信息公开工作深入、持续、高效地开展。二是坚持以群众需求为导向，进一步优化政策解读形式，丰富解读载体。</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spacing w:line="560" w:lineRule="exact"/>
        <w:ind w:firstLine="672" w:firstLineChars="200"/>
        <w:jc w:val="left"/>
      </w:pPr>
      <w:r>
        <w:rPr>
          <w:rFonts w:hint="eastAsia" w:ascii="仿宋_GB2312" w:hAnsi="宋体" w:eastAsia="仿宋_GB2312" w:cs="宋体"/>
          <w:spacing w:val="8"/>
          <w:kern w:val="0"/>
          <w:sz w:val="32"/>
          <w:szCs w:val="32"/>
        </w:rPr>
        <w:t>发出收费通知的件数和总金额以及实际收取的总金额均为0。</w:t>
      </w:r>
      <w:r>
        <w:rPr>
          <w:rFonts w:ascii="微软雅黑" w:hAnsi="微软雅黑" w:eastAsia="微软雅黑" w:cs="宋体"/>
          <w:color w:val="404040"/>
          <w:kern w:val="0"/>
          <w:sz w:val="32"/>
          <w:szCs w:val="32"/>
        </w:rPr>
        <w:t xml:space="preserve"> </w:t>
      </w: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pStyle w:val="2"/>
        <w:rPr>
          <w:rFonts w:hint="eastAsia" w:ascii="黑体" w:hAnsi="黑体" w:eastAsia="黑体" w:cs="黑体"/>
          <w:color w:val="000000"/>
          <w:sz w:val="32"/>
          <w:szCs w:val="32"/>
          <w:highlight w:val="none"/>
          <w:lang w:val="en-US" w:eastAsia="zh-CN"/>
        </w:rPr>
      </w:pPr>
    </w:p>
    <w:p>
      <w:pPr>
        <w:pStyle w:val="2"/>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60A255E"/>
    <w:rsid w:val="0B5F0138"/>
    <w:rsid w:val="0EAF6971"/>
    <w:rsid w:val="2A7A6AAF"/>
    <w:rsid w:val="3BF40533"/>
    <w:rsid w:val="408D21E3"/>
    <w:rsid w:val="47F03219"/>
    <w:rsid w:val="48D12ED0"/>
    <w:rsid w:val="4A125911"/>
    <w:rsid w:val="55000A53"/>
    <w:rsid w:val="61FC300A"/>
    <w:rsid w:val="6B0B0E14"/>
    <w:rsid w:val="7EF0237C"/>
    <w:rsid w:val="7FFB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1391</Words>
  <Characters>1423</Characters>
  <Lines>0</Lines>
  <Paragraphs>0</Paragraphs>
  <TotalTime>97</TotalTime>
  <ScaleCrop>false</ScaleCrop>
  <LinksUpToDate>false</LinksUpToDate>
  <CharactersWithSpaces>1432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2025-01-06T17:38:00Z</dcterms:created>
  <dc:creator>lc</dc:creator>
  <cp:lastModifiedBy>Administrator</cp:lastModifiedBy>
  <cp:lastPrinted>2025-01-08T10:44:00Z</cp:lastPrinted>
  <dcterms:modified xsi:type="dcterms:W3CDTF">2025-05-26T02:16:03Z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D5CF2DEEF2BB8C1335E72F68942505B7_43</vt:lpwstr>
  </property>
  <property fmtid="{D5CDD505-2E9C-101B-9397-08002B2CF9AE}" pid="4" name="KSOTemplateDocerSaveRecord">
    <vt:lpwstr>eyJoZGlkIjoiMWFkZmU5Mjc4OGU5MDAzZWE1YTQxNGIxOTI2NGQ3YmMiLCJ1c2VySWQiOiIxNjUxNjgzOTkxIn0=</vt:lpwstr>
  </property>
</Properties>
</file>