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OLE_LINK2"/>
      <w:r>
        <w:rPr>
          <w:rFonts w:hint="eastAsia" w:ascii="方正小标宋简体" w:eastAsia="方正小标宋简体"/>
          <w:sz w:val="44"/>
          <w:szCs w:val="44"/>
        </w:rPr>
        <w:t>北京市丰台区人民政府南苑街道</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2019年政府信息公开工作年度报告</w:t>
      </w:r>
    </w:p>
    <w:p>
      <w:pPr>
        <w:spacing w:line="560" w:lineRule="exact"/>
        <w:ind w:firstLine="640" w:firstLineChars="200"/>
        <w:rPr>
          <w:rFonts w:ascii="方正小标宋简体" w:eastAsia="方正小标宋简体"/>
          <w:sz w:val="32"/>
          <w:szCs w:val="32"/>
        </w:rPr>
      </w:pPr>
      <w:bookmarkStart w:id="3" w:name="_GoBack"/>
      <w:bookmarkEnd w:id="3"/>
      <w:bookmarkStart w:id="1" w:name="OLE_LINK3"/>
      <w:bookmarkStart w:id="2" w:name="OLE_LINK1"/>
    </w:p>
    <w:p>
      <w:pPr>
        <w:spacing w:line="560" w:lineRule="exact"/>
        <w:ind w:firstLine="640" w:firstLineChars="200"/>
        <w:rPr>
          <w:rFonts w:ascii="仿宋_GB2312" w:eastAsia="仿宋_GB2312"/>
          <w:sz w:val="32"/>
          <w:szCs w:val="32"/>
        </w:rPr>
      </w:pPr>
      <w:r>
        <w:rPr>
          <w:rFonts w:hint="eastAsia" w:ascii="仿宋_GB2312" w:eastAsia="仿宋_GB2312"/>
          <w:sz w:val="32"/>
          <w:szCs w:val="32"/>
        </w:rPr>
        <w:t>依据《中华人民共和国政府信息公开条例》第五十条之规定，制作本报告。</w:t>
      </w:r>
    </w:p>
    <w:bookmarkEnd w:id="1"/>
    <w:p>
      <w:pPr>
        <w:spacing w:line="56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sz w:val="32"/>
          <w:szCs w:val="32"/>
        </w:rPr>
        <w:t>总体情况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9</w:t>
      </w:r>
      <w:r>
        <w:rPr>
          <w:rFonts w:hint="eastAsia" w:ascii="仿宋_GB2312" w:eastAsia="仿宋_GB2312"/>
          <w:sz w:val="32"/>
          <w:szCs w:val="32"/>
        </w:rPr>
        <w:t>年在</w:t>
      </w:r>
      <w:r>
        <w:rPr>
          <w:rFonts w:ascii="仿宋_GB2312" w:eastAsia="仿宋_GB2312"/>
          <w:sz w:val="32"/>
          <w:szCs w:val="32"/>
        </w:rPr>
        <w:t>区委</w:t>
      </w:r>
      <w:r>
        <w:rPr>
          <w:rFonts w:hint="eastAsia" w:ascii="仿宋_GB2312" w:eastAsia="仿宋_GB2312"/>
          <w:sz w:val="32"/>
          <w:szCs w:val="32"/>
        </w:rPr>
        <w:t>、</w:t>
      </w:r>
      <w:r>
        <w:rPr>
          <w:rFonts w:ascii="仿宋_GB2312" w:eastAsia="仿宋_GB2312"/>
          <w:sz w:val="32"/>
          <w:szCs w:val="32"/>
        </w:rPr>
        <w:t>区政府</w:t>
      </w:r>
      <w:r>
        <w:rPr>
          <w:rFonts w:hint="eastAsia" w:ascii="仿宋_GB2312" w:eastAsia="仿宋_GB2312"/>
          <w:sz w:val="32"/>
          <w:szCs w:val="32"/>
        </w:rPr>
        <w:t>的</w:t>
      </w:r>
      <w:r>
        <w:rPr>
          <w:rFonts w:ascii="仿宋_GB2312" w:eastAsia="仿宋_GB2312"/>
          <w:sz w:val="32"/>
          <w:szCs w:val="32"/>
        </w:rPr>
        <w:t>坚强领导下，在区政府信息公开办的</w:t>
      </w:r>
      <w:r>
        <w:rPr>
          <w:rFonts w:hint="eastAsia" w:ascii="仿宋_GB2312" w:eastAsia="仿宋_GB2312"/>
          <w:sz w:val="32"/>
          <w:szCs w:val="32"/>
        </w:rPr>
        <w:t>正确指导下</w:t>
      </w:r>
      <w:r>
        <w:rPr>
          <w:rFonts w:ascii="仿宋_GB2312" w:eastAsia="仿宋_GB2312"/>
          <w:sz w:val="32"/>
          <w:szCs w:val="32"/>
        </w:rPr>
        <w:t>，</w:t>
      </w:r>
      <w:r>
        <w:rPr>
          <w:rFonts w:hint="eastAsia" w:ascii="仿宋_GB2312" w:eastAsia="仿宋_GB2312"/>
          <w:sz w:val="32"/>
          <w:szCs w:val="32"/>
        </w:rPr>
        <w:t>南苑街道按照市、区关于政府信息</w:t>
      </w:r>
      <w:r>
        <w:rPr>
          <w:rFonts w:ascii="仿宋_GB2312" w:eastAsia="仿宋_GB2312"/>
          <w:sz w:val="32"/>
          <w:szCs w:val="32"/>
        </w:rPr>
        <w:t>和</w:t>
      </w:r>
      <w:r>
        <w:rPr>
          <w:rFonts w:hint="eastAsia" w:ascii="仿宋_GB2312" w:eastAsia="仿宋_GB2312"/>
          <w:sz w:val="32"/>
          <w:szCs w:val="32"/>
        </w:rPr>
        <w:t>政务公开工作的总体部署，</w:t>
      </w:r>
      <w:r>
        <w:rPr>
          <w:rFonts w:hint="eastAsia" w:ascii="仿宋_GB2312" w:hAnsi="仿宋" w:eastAsia="仿宋_GB2312" w:cs="宋体"/>
          <w:kern w:val="0"/>
          <w:sz w:val="32"/>
          <w:szCs w:val="32"/>
        </w:rPr>
        <w:t>认真履行</w:t>
      </w:r>
      <w:r>
        <w:rPr>
          <w:rFonts w:hint="eastAsia" w:ascii="仿宋_GB2312" w:hAnsi="仿宋" w:eastAsia="仿宋_GB2312"/>
          <w:sz w:val="32"/>
          <w:szCs w:val="32"/>
        </w:rPr>
        <w:t>义务，将政府信息公开工作与非首都功能疏解、地区的</w:t>
      </w:r>
      <w:r>
        <w:rPr>
          <w:rFonts w:ascii="仿宋_GB2312" w:hAnsi="仿宋" w:eastAsia="仿宋_GB2312"/>
          <w:sz w:val="32"/>
          <w:szCs w:val="32"/>
        </w:rPr>
        <w:t>安全</w:t>
      </w:r>
      <w:r>
        <w:rPr>
          <w:rFonts w:hint="eastAsia" w:ascii="仿宋_GB2312" w:hAnsi="仿宋" w:eastAsia="仿宋_GB2312"/>
          <w:sz w:val="32"/>
          <w:szCs w:val="32"/>
        </w:rPr>
        <w:t>稳定、环境整治和民生保障等</w:t>
      </w:r>
      <w:r>
        <w:rPr>
          <w:rFonts w:hint="eastAsia" w:ascii="仿宋_GB2312" w:hAnsi="仿宋" w:eastAsia="仿宋_GB2312" w:cs="宋体"/>
          <w:kern w:val="0"/>
          <w:sz w:val="32"/>
          <w:szCs w:val="32"/>
        </w:rPr>
        <w:t>重点任务相结合，全面推进决策</w:t>
      </w:r>
      <w:r>
        <w:rPr>
          <w:rFonts w:ascii="仿宋_GB2312" w:hAnsi="仿宋" w:eastAsia="仿宋_GB2312" w:cs="宋体"/>
          <w:kern w:val="0"/>
          <w:sz w:val="32"/>
          <w:szCs w:val="32"/>
        </w:rPr>
        <w:t>、执行、管理、服务和结果</w:t>
      </w:r>
      <w:r>
        <w:rPr>
          <w:rFonts w:hint="eastAsia" w:ascii="仿宋_GB2312" w:hAnsi="仿宋" w:eastAsia="仿宋_GB2312" w:cs="宋体"/>
          <w:kern w:val="0"/>
          <w:sz w:val="32"/>
          <w:szCs w:val="32"/>
        </w:rPr>
        <w:t>公开，</w:t>
      </w:r>
      <w:r>
        <w:rPr>
          <w:rFonts w:hint="eastAsia" w:ascii="仿宋_GB2312" w:eastAsia="仿宋_GB2312"/>
          <w:sz w:val="32"/>
          <w:szCs w:val="32"/>
        </w:rPr>
        <w:t>以服务基层</w:t>
      </w:r>
      <w:r>
        <w:rPr>
          <w:rFonts w:ascii="仿宋_GB2312" w:eastAsia="仿宋_GB2312"/>
          <w:sz w:val="32"/>
          <w:szCs w:val="32"/>
        </w:rPr>
        <w:t>、服务</w:t>
      </w:r>
      <w:r>
        <w:rPr>
          <w:rFonts w:hint="eastAsia" w:ascii="仿宋_GB2312" w:eastAsia="仿宋_GB2312"/>
          <w:sz w:val="32"/>
          <w:szCs w:val="32"/>
        </w:rPr>
        <w:t>群众为重点，不断提升政务公开标准化、规范化水平。对照</w:t>
      </w:r>
      <w:r>
        <w:rPr>
          <w:rFonts w:hint="eastAsia" w:ascii="仿宋_GB2312" w:hAnsi="仿宋" w:eastAsia="仿宋_GB2312"/>
          <w:sz w:val="32"/>
          <w:szCs w:val="32"/>
        </w:rPr>
        <w:t>《丰台区201</w:t>
      </w:r>
      <w:r>
        <w:rPr>
          <w:rFonts w:ascii="仿宋_GB2312" w:hAnsi="仿宋" w:eastAsia="仿宋_GB2312"/>
          <w:sz w:val="32"/>
          <w:szCs w:val="32"/>
        </w:rPr>
        <w:t>9</w:t>
      </w:r>
      <w:r>
        <w:rPr>
          <w:rFonts w:hint="eastAsia" w:ascii="仿宋_GB2312" w:hAnsi="仿宋" w:eastAsia="仿宋_GB2312"/>
          <w:sz w:val="32"/>
          <w:szCs w:val="32"/>
        </w:rPr>
        <w:t>年政务公开工作要点》和市区相关工作要求，南苑街道作为</w:t>
      </w:r>
      <w:r>
        <w:rPr>
          <w:rFonts w:ascii="仿宋_GB2312" w:hAnsi="仿宋" w:eastAsia="仿宋_GB2312"/>
          <w:sz w:val="32"/>
          <w:szCs w:val="32"/>
        </w:rPr>
        <w:t>政务公开主体，在预决算、</w:t>
      </w:r>
      <w:r>
        <w:rPr>
          <w:rFonts w:hint="eastAsia" w:ascii="仿宋_GB2312" w:hAnsi="仿宋" w:eastAsia="仿宋_GB2312"/>
          <w:sz w:val="32"/>
          <w:szCs w:val="32"/>
        </w:rPr>
        <w:t>拓宽群众监督</w:t>
      </w:r>
      <w:r>
        <w:rPr>
          <w:rFonts w:ascii="仿宋_GB2312" w:hAnsi="仿宋" w:eastAsia="仿宋_GB2312"/>
          <w:sz w:val="32"/>
          <w:szCs w:val="32"/>
        </w:rPr>
        <w:t>、</w:t>
      </w:r>
      <w:r>
        <w:rPr>
          <w:rFonts w:hint="eastAsia" w:ascii="仿宋_GB2312" w:hAnsi="仿宋" w:eastAsia="仿宋_GB2312"/>
          <w:sz w:val="32"/>
          <w:szCs w:val="32"/>
        </w:rPr>
        <w:t>依申请</w:t>
      </w:r>
      <w:r>
        <w:rPr>
          <w:rFonts w:ascii="仿宋_GB2312" w:hAnsi="仿宋" w:eastAsia="仿宋_GB2312"/>
          <w:sz w:val="32"/>
          <w:szCs w:val="32"/>
        </w:rPr>
        <w:t>公开等方面</w:t>
      </w:r>
      <w:r>
        <w:rPr>
          <w:rFonts w:hint="eastAsia" w:ascii="仿宋_GB2312" w:eastAsia="仿宋_GB2312"/>
          <w:sz w:val="32"/>
          <w:szCs w:val="32"/>
        </w:rPr>
        <w:t>取得了新的成效。</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（一）主动公开情况</w:t>
      </w:r>
    </w:p>
    <w:p>
      <w:pPr>
        <w:spacing w:line="560" w:lineRule="exact"/>
        <w:ind w:firstLine="640" w:firstLineChars="200"/>
        <w:rPr>
          <w:rFonts w:ascii="仿宋_GB2312" w:hAnsi="仿宋" w:eastAsia="仿宋_GB2312"/>
          <w:color w:val="FF0000"/>
          <w:sz w:val="32"/>
          <w:szCs w:val="32"/>
        </w:rPr>
      </w:pPr>
      <w:r>
        <w:rPr>
          <w:rFonts w:ascii="仿宋_GB2312" w:hAnsi="宋体" w:eastAsia="仿宋_GB2312" w:cs="宋体"/>
          <w:kern w:val="0"/>
          <w:sz w:val="32"/>
          <w:szCs w:val="32"/>
        </w:rPr>
        <w:t>2019</w:t>
      </w:r>
      <w:r>
        <w:rPr>
          <w:rFonts w:hint="eastAsia" w:ascii="仿宋_GB2312" w:hAnsi="宋体" w:eastAsia="仿宋_GB2312" w:cs="宋体"/>
          <w:kern w:val="0"/>
          <w:sz w:val="32"/>
          <w:szCs w:val="32"/>
        </w:rPr>
        <w:t>年度政府</w:t>
      </w:r>
      <w:r>
        <w:rPr>
          <w:rFonts w:hint="eastAsia" w:ascii="仿宋_GB2312" w:hAnsi="仿宋" w:eastAsia="仿宋_GB2312"/>
          <w:sz w:val="32"/>
          <w:szCs w:val="32"/>
        </w:rPr>
        <w:t>网站公开信息</w:t>
      </w:r>
      <w:r>
        <w:rPr>
          <w:rFonts w:ascii="仿宋_GB2312" w:hAnsi="仿宋" w:eastAsia="仿宋_GB2312"/>
          <w:sz w:val="32"/>
          <w:szCs w:val="32"/>
        </w:rPr>
        <w:t>1266</w:t>
      </w:r>
      <w:r>
        <w:rPr>
          <w:rFonts w:hint="eastAsia" w:ascii="仿宋_GB2312" w:hAnsi="仿宋" w:eastAsia="仿宋_GB2312"/>
          <w:sz w:val="32"/>
          <w:szCs w:val="32"/>
        </w:rPr>
        <w:t>条，其中机关、</w:t>
      </w:r>
      <w:r>
        <w:rPr>
          <w:rFonts w:ascii="仿宋_GB2312" w:hAnsi="仿宋" w:eastAsia="仿宋_GB2312"/>
          <w:sz w:val="32"/>
          <w:szCs w:val="32"/>
        </w:rPr>
        <w:t>社区信息数1247</w:t>
      </w:r>
      <w:r>
        <w:rPr>
          <w:rFonts w:hint="eastAsia" w:ascii="仿宋_GB2312" w:hAnsi="仿宋" w:eastAsia="仿宋_GB2312"/>
          <w:sz w:val="32"/>
          <w:szCs w:val="32"/>
        </w:rPr>
        <w:t>条</w:t>
      </w:r>
      <w:r>
        <w:rPr>
          <w:rFonts w:ascii="仿宋_GB2312" w:hAnsi="仿宋" w:eastAsia="仿宋_GB2312"/>
          <w:sz w:val="32"/>
          <w:szCs w:val="32"/>
        </w:rPr>
        <w:t>，领导介绍8</w:t>
      </w:r>
      <w:r>
        <w:rPr>
          <w:rFonts w:hint="eastAsia" w:ascii="仿宋_GB2312" w:hAnsi="仿宋" w:eastAsia="仿宋_GB2312"/>
          <w:sz w:val="32"/>
          <w:szCs w:val="32"/>
        </w:rPr>
        <w:t>条</w:t>
      </w:r>
      <w:r>
        <w:rPr>
          <w:rFonts w:ascii="仿宋_GB2312" w:hAnsi="仿宋" w:eastAsia="仿宋_GB2312"/>
          <w:sz w:val="32"/>
          <w:szCs w:val="32"/>
        </w:rPr>
        <w:t>，为民办实事重点任务</w:t>
      </w:r>
      <w:r>
        <w:rPr>
          <w:rFonts w:hint="eastAsia" w:ascii="仿宋_GB2312" w:hAnsi="仿宋" w:eastAsia="仿宋_GB2312"/>
          <w:sz w:val="32"/>
          <w:szCs w:val="32"/>
        </w:rPr>
        <w:t>情况2条</w:t>
      </w:r>
      <w:r>
        <w:rPr>
          <w:rFonts w:ascii="仿宋_GB2312" w:hAnsi="仿宋" w:eastAsia="仿宋_GB2312"/>
          <w:sz w:val="32"/>
          <w:szCs w:val="32"/>
        </w:rPr>
        <w:t>，街道基本信息3</w:t>
      </w:r>
      <w:r>
        <w:rPr>
          <w:rFonts w:hint="eastAsia" w:ascii="仿宋_GB2312" w:hAnsi="仿宋" w:eastAsia="仿宋_GB2312"/>
          <w:sz w:val="32"/>
          <w:szCs w:val="32"/>
        </w:rPr>
        <w:t>条</w:t>
      </w:r>
      <w:r>
        <w:rPr>
          <w:rFonts w:ascii="仿宋_GB2312" w:hAnsi="仿宋" w:eastAsia="仿宋_GB2312"/>
          <w:sz w:val="32"/>
          <w:szCs w:val="32"/>
        </w:rPr>
        <w:t>，财政预算决算3</w:t>
      </w:r>
      <w:r>
        <w:rPr>
          <w:rFonts w:hint="eastAsia" w:ascii="仿宋_GB2312" w:hAnsi="仿宋" w:eastAsia="仿宋_GB2312"/>
          <w:sz w:val="32"/>
          <w:szCs w:val="32"/>
        </w:rPr>
        <w:t>条</w:t>
      </w:r>
      <w:r>
        <w:rPr>
          <w:rFonts w:ascii="仿宋_GB2312" w:hAnsi="仿宋" w:eastAsia="仿宋_GB2312"/>
          <w:sz w:val="32"/>
          <w:szCs w:val="32"/>
        </w:rPr>
        <w:t>，办事指南1</w:t>
      </w:r>
      <w:r>
        <w:rPr>
          <w:rFonts w:hint="eastAsia" w:ascii="仿宋_GB2312" w:hAnsi="仿宋" w:eastAsia="仿宋_GB2312"/>
          <w:sz w:val="32"/>
          <w:szCs w:val="32"/>
        </w:rPr>
        <w:t>条</w:t>
      </w:r>
      <w:r>
        <w:rPr>
          <w:rFonts w:ascii="仿宋_GB2312" w:hAnsi="仿宋" w:eastAsia="仿宋_GB2312"/>
          <w:sz w:val="32"/>
          <w:szCs w:val="32"/>
        </w:rPr>
        <w:t>，</w:t>
      </w:r>
      <w:r>
        <w:rPr>
          <w:rFonts w:hint="eastAsia" w:ascii="仿宋_GB2312" w:hAnsi="仿宋" w:eastAsia="仿宋_GB2312"/>
          <w:sz w:val="32"/>
          <w:szCs w:val="32"/>
        </w:rPr>
        <w:t>政府</w:t>
      </w:r>
      <w:r>
        <w:rPr>
          <w:rFonts w:ascii="仿宋_GB2312" w:hAnsi="仿宋" w:eastAsia="仿宋_GB2312"/>
          <w:sz w:val="32"/>
          <w:szCs w:val="32"/>
        </w:rPr>
        <w:t>信息公开年报</w:t>
      </w:r>
      <w:r>
        <w:rPr>
          <w:rFonts w:hint="eastAsia" w:ascii="仿宋_GB2312" w:hAnsi="仿宋" w:eastAsia="仿宋_GB2312"/>
          <w:sz w:val="32"/>
          <w:szCs w:val="32"/>
        </w:rPr>
        <w:t>1条</w:t>
      </w:r>
      <w:r>
        <w:rPr>
          <w:rFonts w:ascii="仿宋_GB2312" w:hAnsi="仿宋" w:eastAsia="仿宋_GB2312"/>
          <w:sz w:val="32"/>
          <w:szCs w:val="32"/>
        </w:rPr>
        <w:t>，政府信息</w:t>
      </w:r>
      <w:r>
        <w:rPr>
          <w:rFonts w:hint="eastAsia" w:ascii="仿宋_GB2312" w:hAnsi="仿宋" w:eastAsia="仿宋_GB2312"/>
          <w:sz w:val="32"/>
          <w:szCs w:val="32"/>
        </w:rPr>
        <w:t>公开</w:t>
      </w:r>
      <w:r>
        <w:rPr>
          <w:rFonts w:ascii="仿宋_GB2312" w:hAnsi="仿宋" w:eastAsia="仿宋_GB2312"/>
          <w:sz w:val="32"/>
          <w:szCs w:val="32"/>
        </w:rPr>
        <w:t>全清单</w:t>
      </w:r>
      <w:r>
        <w:rPr>
          <w:rFonts w:hint="eastAsia" w:ascii="仿宋_GB2312" w:hAnsi="仿宋" w:eastAsia="仿宋_GB2312"/>
          <w:sz w:val="32"/>
          <w:szCs w:val="32"/>
        </w:rPr>
        <w:t>1条</w:t>
      </w:r>
      <w:r>
        <w:rPr>
          <w:rFonts w:ascii="仿宋_GB2312" w:hAnsi="仿宋" w:eastAsia="仿宋_GB2312"/>
          <w:sz w:val="32"/>
          <w:szCs w:val="32"/>
        </w:rPr>
        <w:t>。</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（二）依申请</w:t>
      </w:r>
      <w:r>
        <w:rPr>
          <w:rFonts w:ascii="楷体_GB2312" w:hAnsi="仿宋" w:eastAsia="楷体_GB2312"/>
          <w:sz w:val="32"/>
          <w:szCs w:val="32"/>
        </w:rPr>
        <w:t>公开办理情况</w:t>
      </w:r>
    </w:p>
    <w:p>
      <w:pPr>
        <w:spacing w:line="560" w:lineRule="exact"/>
        <w:ind w:firstLine="640" w:firstLineChars="200"/>
        <w:rPr>
          <w:rFonts w:ascii="仿宋_GB2312" w:hAnsi="华文仿宋" w:eastAsia="仿宋_GB2312" w:cs="华文仿宋"/>
          <w:sz w:val="32"/>
          <w:szCs w:val="32"/>
        </w:rPr>
      </w:pPr>
      <w:r>
        <w:rPr>
          <w:rFonts w:hint="eastAsia" w:ascii="仿宋_GB2312" w:hAnsi="仿宋" w:eastAsia="仿宋_GB2312"/>
          <w:sz w:val="32"/>
          <w:szCs w:val="32"/>
        </w:rPr>
        <w:t>畅通依申请公开受理渠道，全年共受理依申请公开事项</w:t>
      </w:r>
      <w:r>
        <w:rPr>
          <w:rFonts w:ascii="仿宋_GB2312" w:hAnsi="仿宋" w:eastAsia="仿宋_GB2312"/>
          <w:sz w:val="32"/>
          <w:szCs w:val="32"/>
        </w:rPr>
        <w:t>2</w:t>
      </w:r>
      <w:r>
        <w:rPr>
          <w:rFonts w:hint="eastAsia" w:ascii="仿宋_GB2312" w:hAnsi="仿宋" w:eastAsia="仿宋_GB2312"/>
          <w:sz w:val="32"/>
          <w:szCs w:val="32"/>
        </w:rPr>
        <w:t>件，其中网络申请</w:t>
      </w:r>
      <w:r>
        <w:rPr>
          <w:rFonts w:ascii="仿宋_GB2312" w:hAnsi="仿宋" w:eastAsia="仿宋_GB2312"/>
          <w:sz w:val="32"/>
          <w:szCs w:val="32"/>
        </w:rPr>
        <w:t>1</w:t>
      </w:r>
      <w:r>
        <w:rPr>
          <w:rFonts w:hint="eastAsia" w:ascii="仿宋_GB2312" w:hAnsi="仿宋" w:eastAsia="仿宋_GB2312"/>
          <w:sz w:val="32"/>
          <w:szCs w:val="32"/>
        </w:rPr>
        <w:t>件，传真申请1件。全部按时办结</w:t>
      </w:r>
      <w:r>
        <w:rPr>
          <w:rFonts w:ascii="仿宋_GB2312" w:hAnsi="仿宋" w:eastAsia="仿宋_GB2312"/>
          <w:sz w:val="32"/>
          <w:szCs w:val="32"/>
        </w:rPr>
        <w:t>2</w:t>
      </w:r>
      <w:r>
        <w:rPr>
          <w:rFonts w:hint="eastAsia" w:ascii="仿宋_GB2312" w:hAnsi="仿宋" w:eastAsia="仿宋_GB2312"/>
          <w:sz w:val="32"/>
          <w:szCs w:val="32"/>
        </w:rPr>
        <w:t>件并按期答复，其中EMS邮寄答复1件，邮件答复</w:t>
      </w:r>
      <w:r>
        <w:rPr>
          <w:rFonts w:ascii="仿宋_GB2312" w:hAnsi="仿宋" w:eastAsia="仿宋_GB2312"/>
          <w:sz w:val="32"/>
          <w:szCs w:val="32"/>
        </w:rPr>
        <w:t>1</w:t>
      </w:r>
      <w:r>
        <w:rPr>
          <w:rFonts w:hint="eastAsia" w:ascii="仿宋_GB2312" w:hAnsi="仿宋" w:eastAsia="仿宋_GB2312"/>
          <w:sz w:val="32"/>
          <w:szCs w:val="32"/>
        </w:rPr>
        <w:t>件，经保密审查和信息公开审查，均属于同意公开范围。</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（三）政府信息</w:t>
      </w:r>
      <w:r>
        <w:rPr>
          <w:rFonts w:ascii="楷体_GB2312" w:hAnsi="仿宋" w:eastAsia="楷体_GB2312"/>
          <w:sz w:val="32"/>
          <w:szCs w:val="32"/>
        </w:rPr>
        <w:t>资源的规范化、标准化管理情况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积极推进政府信息资源的规范化、标准化、信息化管理，促进政府信息公开平台与政务服务平台融合，提高政府信息公开在线办理水平。</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（四）政府信息</w:t>
      </w:r>
      <w:r>
        <w:rPr>
          <w:rFonts w:ascii="楷体_GB2312" w:hAnsi="仿宋" w:eastAsia="楷体_GB2312"/>
          <w:sz w:val="32"/>
          <w:szCs w:val="32"/>
        </w:rPr>
        <w:t>公开平台建设情况</w:t>
      </w:r>
    </w:p>
    <w:p>
      <w:pPr>
        <w:spacing w:line="560" w:lineRule="exact"/>
        <w:ind w:firstLine="640" w:firstLineChars="200"/>
        <w:rPr>
          <w:rFonts w:ascii="仿宋_GB2312" w:hAnsi="仿宋" w:eastAsia="仿宋_GB2312"/>
          <w:color w:val="FF0000"/>
          <w:sz w:val="32"/>
          <w:szCs w:val="32"/>
        </w:rPr>
      </w:pPr>
      <w:r>
        <w:rPr>
          <w:rFonts w:hint="eastAsia" w:ascii="仿宋_GB2312" w:hAnsi="宋体" w:eastAsia="仿宋_GB2312"/>
          <w:sz w:val="32"/>
          <w:szCs w:val="32"/>
        </w:rPr>
        <w:t>不断加强互联网政府信息公开平台建设，全面建立重点领域信息公开制度，扎实推进信息公开工作,</w:t>
      </w:r>
      <w:r>
        <w:rPr>
          <w:rFonts w:hint="eastAsia" w:ascii="仿宋_GB2312" w:hAnsi="仿宋" w:eastAsia="仿宋_GB2312"/>
          <w:sz w:val="32"/>
          <w:szCs w:val="32"/>
        </w:rPr>
        <w:t>多渠道的政务公开，回应社会关切，提升了政府的执行力和公信力。新媒体采用街道工作信息，北京电视台21篇、北京日报46篇、北京晚报26篇、劳动午报26篇、丰台报82篇、丰台有线40篇、人民网、千龙网、新华网等网站报道293篇。通过政务微博@和谐南苑发布政府信息256条；通过政务微信@北京丰台南苑公开政府信息76条。解决居民通过微博反映的与生产生活密切相关的舆情问题12件。</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（五）政府</w:t>
      </w:r>
      <w:r>
        <w:rPr>
          <w:rFonts w:ascii="楷体_GB2312" w:hAnsi="仿宋" w:eastAsia="楷体_GB2312"/>
          <w:sz w:val="32"/>
          <w:szCs w:val="32"/>
        </w:rPr>
        <w:t>信息公开监督保障及教育培训情况</w:t>
      </w:r>
    </w:p>
    <w:p>
      <w:pPr>
        <w:spacing w:line="560" w:lineRule="exact"/>
        <w:ind w:firstLine="640" w:firstLineChars="200"/>
        <w:rPr>
          <w:rFonts w:ascii="仿宋_GB2312" w:hAnsi="宋体" w:eastAsia="仿宋_GB2312"/>
          <w:b/>
          <w:sz w:val="32"/>
          <w:szCs w:val="32"/>
        </w:rPr>
      </w:pPr>
      <w:r>
        <w:rPr>
          <w:rFonts w:hint="eastAsia" w:ascii="仿宋_GB2312" w:hAnsi="宋体" w:eastAsia="仿宋_GB2312"/>
          <w:sz w:val="32"/>
          <w:szCs w:val="32"/>
        </w:rPr>
        <w:t>一是按照政务公开培训计划，</w:t>
      </w:r>
      <w:r>
        <w:rPr>
          <w:rFonts w:hint="eastAsia" w:ascii="仿宋_GB2312" w:hAnsi="宋体" w:eastAsia="仿宋_GB2312" w:cs="宋体"/>
          <w:kern w:val="0"/>
          <w:sz w:val="32"/>
          <w:szCs w:val="32"/>
        </w:rPr>
        <w:t>由办公室组织信息员进行培训，重点对政府信</w:t>
      </w:r>
      <w:r>
        <w:rPr>
          <w:rFonts w:hint="eastAsia" w:ascii="仿宋_GB2312" w:hAnsi="宋体" w:eastAsia="仿宋_GB2312"/>
          <w:sz w:val="32"/>
          <w:szCs w:val="32"/>
        </w:rPr>
        <w:t>息公开流程、信息</w:t>
      </w:r>
      <w:r>
        <w:rPr>
          <w:rFonts w:ascii="仿宋_GB2312" w:hAnsi="宋体" w:eastAsia="仿宋_GB2312"/>
          <w:sz w:val="32"/>
          <w:szCs w:val="32"/>
        </w:rPr>
        <w:t>的时效性和内容的</w:t>
      </w:r>
      <w:r>
        <w:rPr>
          <w:rFonts w:hint="eastAsia" w:ascii="仿宋_GB2312" w:hAnsi="宋体" w:eastAsia="仿宋_GB2312"/>
          <w:sz w:val="32"/>
          <w:szCs w:val="32"/>
        </w:rPr>
        <w:t>把握方面进行针对性讲解，全年召开政府信息公开工作会议或专题会议</w:t>
      </w:r>
      <w:r>
        <w:rPr>
          <w:rFonts w:ascii="仿宋_GB2312" w:hAnsi="宋体" w:eastAsia="仿宋_GB2312"/>
          <w:sz w:val="32"/>
          <w:szCs w:val="32"/>
        </w:rPr>
        <w:t>2</w:t>
      </w:r>
      <w:r>
        <w:rPr>
          <w:rFonts w:hint="eastAsia" w:ascii="仿宋_GB2312" w:hAnsi="宋体" w:eastAsia="仿宋_GB2312"/>
          <w:sz w:val="32"/>
          <w:szCs w:val="32"/>
        </w:rPr>
        <w:t>次，举办业务培训班</w:t>
      </w:r>
      <w:r>
        <w:rPr>
          <w:rFonts w:ascii="仿宋_GB2312" w:hAnsi="宋体" w:eastAsia="仿宋_GB2312"/>
          <w:sz w:val="32"/>
          <w:szCs w:val="32"/>
        </w:rPr>
        <w:t>2</w:t>
      </w:r>
      <w:r>
        <w:rPr>
          <w:rFonts w:hint="eastAsia" w:ascii="仿宋_GB2312" w:hAnsi="宋体" w:eastAsia="仿宋_GB2312"/>
          <w:sz w:val="32"/>
          <w:szCs w:val="32"/>
        </w:rPr>
        <w:t>次，接收培训人数</w:t>
      </w:r>
      <w:r>
        <w:rPr>
          <w:rFonts w:ascii="仿宋_GB2312" w:hAnsi="宋体" w:eastAsia="仿宋_GB2312"/>
          <w:sz w:val="32"/>
          <w:szCs w:val="32"/>
        </w:rPr>
        <w:t>24人，</w:t>
      </w:r>
      <w:r>
        <w:rPr>
          <w:rFonts w:hint="eastAsia" w:ascii="仿宋_GB2312" w:hAnsi="宋体" w:eastAsia="仿宋_GB2312"/>
          <w:sz w:val="32"/>
          <w:szCs w:val="32"/>
        </w:rPr>
        <w:t>对政务公开工作进行部署落实；二是及时</w:t>
      </w:r>
      <w:r>
        <w:rPr>
          <w:rFonts w:hint="eastAsia" w:ascii="仿宋_GB2312" w:hAnsi="Times New Roman" w:eastAsia="仿宋_GB2312"/>
          <w:bCs/>
          <w:sz w:val="32"/>
          <w:szCs w:val="32"/>
        </w:rPr>
        <w:t>反馈政务公开相关文件，积极参与</w:t>
      </w:r>
      <w:r>
        <w:rPr>
          <w:rFonts w:ascii="仿宋_GB2312" w:hAnsi="Times New Roman" w:eastAsia="仿宋_GB2312"/>
          <w:bCs/>
          <w:sz w:val="32"/>
          <w:szCs w:val="32"/>
        </w:rPr>
        <w:t>区信息公开办</w:t>
      </w:r>
      <w:r>
        <w:rPr>
          <w:rFonts w:hint="eastAsia" w:ascii="仿宋_GB2312" w:hAnsi="Times New Roman" w:eastAsia="仿宋_GB2312"/>
          <w:bCs/>
          <w:sz w:val="32"/>
          <w:szCs w:val="32"/>
        </w:rPr>
        <w:t>各类</w:t>
      </w:r>
      <w:r>
        <w:rPr>
          <w:rFonts w:ascii="仿宋_GB2312" w:hAnsi="Times New Roman" w:eastAsia="仿宋_GB2312"/>
          <w:bCs/>
          <w:sz w:val="32"/>
          <w:szCs w:val="32"/>
        </w:rPr>
        <w:t>会议</w:t>
      </w:r>
      <w:r>
        <w:rPr>
          <w:rFonts w:hint="eastAsia" w:ascii="仿宋_GB2312" w:hAnsi="Times New Roman" w:eastAsia="仿宋_GB2312"/>
          <w:bCs/>
          <w:sz w:val="32"/>
          <w:szCs w:val="32"/>
        </w:rPr>
        <w:t>。</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（六）市</w:t>
      </w:r>
      <w:r>
        <w:rPr>
          <w:rFonts w:ascii="楷体_GB2312" w:hAnsi="仿宋" w:eastAsia="楷体_GB2312"/>
          <w:sz w:val="32"/>
          <w:szCs w:val="32"/>
        </w:rPr>
        <w:t>和区人民政府工作考核、社会评议和责任追究结果情况</w:t>
      </w:r>
    </w:p>
    <w:p>
      <w:pPr>
        <w:spacing w:line="560" w:lineRule="exact"/>
        <w:ind w:firstLine="643" w:firstLineChars="200"/>
        <w:rPr>
          <w:rFonts w:ascii="仿宋_GB2312" w:hAnsi="仿宋" w:eastAsia="仿宋_GB2312"/>
          <w:sz w:val="32"/>
          <w:szCs w:val="32"/>
        </w:rPr>
      </w:pPr>
      <w:r>
        <w:rPr>
          <w:rFonts w:hint="eastAsia" w:ascii="仿宋_GB2312" w:hAnsi="宋体" w:eastAsia="仿宋_GB2312" w:cs="宋体"/>
          <w:b/>
          <w:kern w:val="0"/>
          <w:sz w:val="32"/>
          <w:szCs w:val="32"/>
        </w:rPr>
        <w:t>一是</w:t>
      </w:r>
      <w:r>
        <w:rPr>
          <w:rFonts w:hint="eastAsia" w:ascii="仿宋_GB2312" w:hAnsi="宋体" w:eastAsia="仿宋_GB2312" w:cs="宋体"/>
          <w:kern w:val="0"/>
          <w:sz w:val="32"/>
          <w:szCs w:val="32"/>
        </w:rPr>
        <w:t>完善组织领导。调整政府信息公开工作领导机构，办事处主任杨建林为组长、副主任杨仕彬为副组长，各办公室和各社区为成员的政府信息公开工作领导小组。</w:t>
      </w:r>
      <w:r>
        <w:rPr>
          <w:rFonts w:hint="eastAsia" w:ascii="仿宋_GB2312" w:hAnsi="宋体" w:eastAsia="仿宋_GB2312" w:cs="宋体"/>
          <w:b/>
          <w:kern w:val="0"/>
          <w:sz w:val="32"/>
          <w:szCs w:val="32"/>
        </w:rPr>
        <w:t>二是</w:t>
      </w:r>
      <w:r>
        <w:rPr>
          <w:rFonts w:hint="eastAsia" w:ascii="仿宋_GB2312" w:hAnsi="宋体" w:eastAsia="仿宋_GB2312" w:cs="宋体"/>
          <w:kern w:val="0"/>
          <w:sz w:val="32"/>
          <w:szCs w:val="32"/>
        </w:rPr>
        <w:t>明确责任分工。由综合办公室牵头，统筹指导各办公室开展政府信息公开工作，党群工作</w:t>
      </w:r>
      <w:r>
        <w:rPr>
          <w:rFonts w:ascii="仿宋_GB2312" w:hAnsi="宋体" w:eastAsia="仿宋_GB2312" w:cs="宋体"/>
          <w:kern w:val="0"/>
          <w:sz w:val="32"/>
          <w:szCs w:val="32"/>
        </w:rPr>
        <w:t>办公室</w:t>
      </w:r>
      <w:r>
        <w:rPr>
          <w:rFonts w:hint="eastAsia" w:ascii="仿宋_GB2312" w:hAnsi="宋体" w:eastAsia="仿宋_GB2312" w:cs="宋体"/>
          <w:kern w:val="0"/>
          <w:sz w:val="32"/>
          <w:szCs w:val="32"/>
        </w:rPr>
        <w:t>加强媒体信息的审核公布，及时上报和撰写经验性工作信息，其他办公室和社区居委会在信息制作和线索提供方面给予强有力的支撑。</w:t>
      </w:r>
      <w:r>
        <w:rPr>
          <w:rFonts w:hint="eastAsia" w:ascii="仿宋_GB2312" w:hAnsi="仿宋" w:eastAsia="仿宋_GB2312"/>
          <w:b/>
          <w:sz w:val="32"/>
          <w:szCs w:val="32"/>
        </w:rPr>
        <w:t>三是</w:t>
      </w:r>
      <w:r>
        <w:rPr>
          <w:rFonts w:ascii="仿宋_GB2312" w:hAnsi="仿宋" w:eastAsia="仿宋_GB2312"/>
          <w:sz w:val="32"/>
          <w:szCs w:val="32"/>
        </w:rPr>
        <w:t>建立和完善相关的工作制度</w:t>
      </w:r>
      <w:r>
        <w:rPr>
          <w:rFonts w:hint="eastAsia" w:ascii="仿宋_GB2312" w:hAnsi="仿宋" w:eastAsia="仿宋_GB2312"/>
          <w:b/>
          <w:sz w:val="32"/>
          <w:szCs w:val="32"/>
        </w:rPr>
        <w:t>。</w:t>
      </w:r>
      <w:r>
        <w:rPr>
          <w:rFonts w:hint="eastAsia" w:ascii="仿宋_GB2312" w:hAnsi="仿宋" w:eastAsia="仿宋_GB2312"/>
          <w:sz w:val="32"/>
          <w:szCs w:val="32"/>
        </w:rPr>
        <w:t>制定了</w:t>
      </w:r>
      <w:r>
        <w:rPr>
          <w:rFonts w:ascii="仿宋_GB2312" w:hAnsi="仿宋" w:eastAsia="仿宋_GB2312"/>
          <w:sz w:val="32"/>
          <w:szCs w:val="32"/>
        </w:rPr>
        <w:t>社区信息工作考核制度，月考核年总结，</w:t>
      </w:r>
      <w:r>
        <w:rPr>
          <w:rFonts w:hint="eastAsia" w:ascii="仿宋_GB2312" w:hAnsi="仿宋" w:eastAsia="仿宋_GB2312"/>
          <w:sz w:val="32"/>
          <w:szCs w:val="32"/>
        </w:rPr>
        <w:t>重点</w:t>
      </w:r>
      <w:r>
        <w:rPr>
          <w:rFonts w:ascii="仿宋_GB2312" w:hAnsi="仿宋" w:eastAsia="仿宋_GB2312"/>
          <w:sz w:val="32"/>
          <w:szCs w:val="32"/>
        </w:rPr>
        <w:t>把握信息数量和质量，抓紧</w:t>
      </w:r>
      <w:r>
        <w:rPr>
          <w:rFonts w:hint="eastAsia" w:ascii="仿宋_GB2312" w:hAnsi="仿宋" w:eastAsia="仿宋_GB2312"/>
          <w:sz w:val="32"/>
          <w:szCs w:val="32"/>
        </w:rPr>
        <w:t>抓</w:t>
      </w:r>
      <w:r>
        <w:rPr>
          <w:rFonts w:ascii="仿宋_GB2312" w:hAnsi="仿宋" w:eastAsia="仿宋_GB2312"/>
          <w:sz w:val="32"/>
          <w:szCs w:val="32"/>
        </w:rPr>
        <w:t>实</w:t>
      </w:r>
      <w:r>
        <w:rPr>
          <w:rFonts w:hint="eastAsia" w:ascii="仿宋_GB2312" w:hAnsi="仿宋" w:eastAsia="仿宋_GB2312"/>
          <w:sz w:val="32"/>
          <w:szCs w:val="32"/>
        </w:rPr>
        <w:t>街道</w:t>
      </w:r>
      <w:r>
        <w:rPr>
          <w:rFonts w:ascii="仿宋_GB2312" w:hAnsi="仿宋" w:eastAsia="仿宋_GB2312"/>
          <w:sz w:val="32"/>
          <w:szCs w:val="32"/>
        </w:rPr>
        <w:t>信息</w:t>
      </w:r>
      <w:r>
        <w:rPr>
          <w:rFonts w:hint="eastAsia" w:ascii="仿宋_GB2312" w:hAnsi="仿宋" w:eastAsia="仿宋_GB2312"/>
          <w:sz w:val="32"/>
          <w:szCs w:val="32"/>
        </w:rPr>
        <w:t>工作</w:t>
      </w:r>
      <w:r>
        <w:rPr>
          <w:rFonts w:ascii="仿宋_GB2312" w:hAnsi="仿宋"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主动公开政府信息情况</w:t>
      </w:r>
    </w:p>
    <w:tbl>
      <w:tblPr>
        <w:tblStyle w:val="7"/>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1275"/>
        <w:gridCol w:w="2209"/>
        <w:gridCol w:w="164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775" w:type="dxa"/>
            <w:gridSpan w:val="5"/>
            <w:shd w:val="clear" w:color="000000" w:fill="C6D9F1"/>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2209" w:type="dxa"/>
            <w:shd w:val="clear" w:color="auto" w:fill="auto"/>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本年新制作数量</w:t>
            </w:r>
          </w:p>
        </w:tc>
        <w:tc>
          <w:tcPr>
            <w:tcW w:w="1640" w:type="dxa"/>
            <w:shd w:val="clear" w:color="auto" w:fill="auto"/>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本年新公开数量</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规章</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640" w:type="dxa"/>
            <w:shd w:val="clear" w:color="auto" w:fill="auto"/>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规范性文件</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640" w:type="dxa"/>
            <w:shd w:val="clear" w:color="auto" w:fill="auto"/>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775" w:type="dxa"/>
            <w:gridSpan w:val="5"/>
            <w:shd w:val="clear" w:color="000000" w:fill="C6D9F1"/>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上一年项目数量</w:t>
            </w:r>
          </w:p>
        </w:tc>
        <w:tc>
          <w:tcPr>
            <w:tcW w:w="1640" w:type="dxa"/>
            <w:shd w:val="clear" w:color="auto" w:fill="auto"/>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本年增/减</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行政许可</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640"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688" w:type="dxa"/>
            <w:vMerge w:val="restart"/>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其他对外管理服务事项</w:t>
            </w:r>
          </w:p>
        </w:tc>
        <w:tc>
          <w:tcPr>
            <w:tcW w:w="1275"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行政检查</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640"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688" w:type="dxa"/>
            <w:vMerge w:val="continue"/>
            <w:vAlign w:val="center"/>
          </w:tcPr>
          <w:p>
            <w:pPr>
              <w:widowControl/>
              <w:spacing w:line="560" w:lineRule="exact"/>
              <w:jc w:val="left"/>
              <w:rPr>
                <w:rFonts w:ascii="宋体" w:hAnsi="宋体" w:eastAsia="宋体" w:cs="宋体"/>
                <w:color w:val="000000"/>
                <w:kern w:val="0"/>
                <w:sz w:val="24"/>
                <w:szCs w:val="24"/>
              </w:rPr>
            </w:pPr>
          </w:p>
        </w:tc>
        <w:tc>
          <w:tcPr>
            <w:tcW w:w="1275"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行政确认</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640"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775" w:type="dxa"/>
            <w:gridSpan w:val="5"/>
            <w:shd w:val="clear" w:color="000000" w:fill="C6D9F1"/>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上一年项目数量</w:t>
            </w:r>
          </w:p>
        </w:tc>
        <w:tc>
          <w:tcPr>
            <w:tcW w:w="1640" w:type="dxa"/>
            <w:shd w:val="clear" w:color="auto" w:fill="auto"/>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本年增/减</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行政处罚</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640"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行政强制</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640"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963"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775" w:type="dxa"/>
            <w:gridSpan w:val="5"/>
            <w:shd w:val="clear" w:color="000000" w:fill="C6D9F1"/>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上一年项目数量</w:t>
            </w:r>
          </w:p>
        </w:tc>
        <w:tc>
          <w:tcPr>
            <w:tcW w:w="360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行政事业性收费</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360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775" w:type="dxa"/>
            <w:gridSpan w:val="5"/>
            <w:shd w:val="clear" w:color="000000" w:fill="C6D9F1"/>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信息内容</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采购项目数量</w:t>
            </w:r>
          </w:p>
        </w:tc>
        <w:tc>
          <w:tcPr>
            <w:tcW w:w="360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采购总金额（万元，保留四位小数）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96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政府集中采购</w:t>
            </w:r>
          </w:p>
        </w:tc>
        <w:tc>
          <w:tcPr>
            <w:tcW w:w="2209" w:type="dxa"/>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ascii="宋体" w:hAnsi="宋体" w:eastAsia="宋体" w:cs="宋体"/>
                <w:color w:val="000000"/>
                <w:kern w:val="0"/>
                <w:sz w:val="24"/>
                <w:szCs w:val="24"/>
              </w:rPr>
              <w:t>119</w:t>
            </w:r>
          </w:p>
        </w:tc>
        <w:tc>
          <w:tcPr>
            <w:tcW w:w="3603" w:type="dxa"/>
            <w:gridSpan w:val="2"/>
            <w:shd w:val="clear" w:color="auto" w:fill="auto"/>
            <w:noWrap/>
            <w:vAlign w:val="center"/>
          </w:tcPr>
          <w:p>
            <w:pPr>
              <w:widowControl/>
              <w:spacing w:line="560" w:lineRule="exact"/>
              <w:jc w:val="center"/>
              <w:rPr>
                <w:rFonts w:ascii="宋体" w:hAnsi="宋体" w:eastAsia="宋体" w:cs="宋体"/>
                <w:color w:val="000000"/>
                <w:kern w:val="0"/>
                <w:sz w:val="24"/>
                <w:szCs w:val="24"/>
              </w:rPr>
            </w:pPr>
            <w:r>
              <w:rPr>
                <w:rFonts w:ascii="宋体" w:hAnsi="宋体" w:eastAsia="宋体" w:cs="宋体"/>
                <w:color w:val="000000"/>
                <w:kern w:val="0"/>
                <w:sz w:val="24"/>
                <w:szCs w:val="24"/>
              </w:rPr>
              <w:t>694.4260</w:t>
            </w:r>
          </w:p>
        </w:tc>
      </w:tr>
    </w:tbl>
    <w:p>
      <w:pPr>
        <w:suppressAutoHyphens/>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7"/>
        <w:tblW w:w="9633" w:type="dxa"/>
        <w:jc w:val="center"/>
        <w:tblLayout w:type="autofit"/>
        <w:tblCellMar>
          <w:top w:w="0" w:type="dxa"/>
          <w:left w:w="108" w:type="dxa"/>
          <w:bottom w:w="0" w:type="dxa"/>
          <w:right w:w="108" w:type="dxa"/>
        </w:tblCellMar>
      </w:tblPr>
      <w:tblGrid>
        <w:gridCol w:w="960"/>
        <w:gridCol w:w="960"/>
        <w:gridCol w:w="2700"/>
        <w:gridCol w:w="619"/>
        <w:gridCol w:w="709"/>
        <w:gridCol w:w="709"/>
        <w:gridCol w:w="992"/>
        <w:gridCol w:w="992"/>
        <w:gridCol w:w="567"/>
        <w:gridCol w:w="425"/>
      </w:tblGrid>
      <w:tr>
        <w:tblPrEx>
          <w:tblCellMar>
            <w:top w:w="0" w:type="dxa"/>
            <w:left w:w="108" w:type="dxa"/>
            <w:bottom w:w="0" w:type="dxa"/>
            <w:right w:w="108" w:type="dxa"/>
          </w:tblCellMar>
        </w:tblPrEx>
        <w:trPr>
          <w:trHeight w:val="288" w:hRule="atLeast"/>
          <w:jc w:val="center"/>
        </w:trPr>
        <w:tc>
          <w:tcPr>
            <w:tcW w:w="462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（本列数据的勾稽关系为：第一项加第二项之和，等于第三项加第四项之和）</w:t>
            </w:r>
          </w:p>
        </w:tc>
        <w:tc>
          <w:tcPr>
            <w:tcW w:w="5013"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申请人情况</w:t>
            </w:r>
          </w:p>
        </w:tc>
      </w:tr>
      <w:tr>
        <w:tblPrEx>
          <w:tblCellMar>
            <w:top w:w="0" w:type="dxa"/>
            <w:left w:w="108" w:type="dxa"/>
            <w:bottom w:w="0" w:type="dxa"/>
            <w:right w:w="108" w:type="dxa"/>
          </w:tblCellMar>
        </w:tblPrEx>
        <w:trPr>
          <w:trHeight w:val="288" w:hRule="atLeast"/>
          <w:jc w:val="center"/>
        </w:trPr>
        <w:tc>
          <w:tcPr>
            <w:tcW w:w="46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自然人</w:t>
            </w:r>
          </w:p>
        </w:tc>
        <w:tc>
          <w:tcPr>
            <w:tcW w:w="3969"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法人或其他组织</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总计</w:t>
            </w:r>
          </w:p>
        </w:tc>
      </w:tr>
      <w:tr>
        <w:tblPrEx>
          <w:tblCellMar>
            <w:top w:w="0" w:type="dxa"/>
            <w:left w:w="108" w:type="dxa"/>
            <w:bottom w:w="0" w:type="dxa"/>
            <w:right w:w="108" w:type="dxa"/>
          </w:tblCellMar>
        </w:tblPrEx>
        <w:trPr>
          <w:trHeight w:val="480" w:hRule="atLeast"/>
          <w:jc w:val="center"/>
        </w:trPr>
        <w:tc>
          <w:tcPr>
            <w:tcW w:w="46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619"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商业企业</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科研机构</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社会公益组织</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法律服务机构</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288" w:hRule="atLeast"/>
          <w:jc w:val="center"/>
        </w:trPr>
        <w:tc>
          <w:tcPr>
            <w:tcW w:w="4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一、本年新收政府信息公开申请数量</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3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3</w:t>
            </w:r>
          </w:p>
        </w:tc>
      </w:tr>
      <w:tr>
        <w:tblPrEx>
          <w:tblCellMar>
            <w:top w:w="0" w:type="dxa"/>
            <w:left w:w="108" w:type="dxa"/>
            <w:bottom w:w="0" w:type="dxa"/>
            <w:right w:w="108" w:type="dxa"/>
          </w:tblCellMar>
        </w:tblPrEx>
        <w:trPr>
          <w:trHeight w:val="288" w:hRule="atLeast"/>
          <w:jc w:val="center"/>
        </w:trPr>
        <w:tc>
          <w:tcPr>
            <w:tcW w:w="4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二、上年结转政府信息公开申请数量</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三、本年度办理结果</w:t>
            </w:r>
          </w:p>
        </w:tc>
        <w:tc>
          <w:tcPr>
            <w:tcW w:w="3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（一）予以公开</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3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3</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3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（二）部分公开（区分处理的，只计这一情形，不计其他情形）</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（三）不予公开</w:t>
            </w: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1.属于国家秘密</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2.其他法律行政法规禁止公开</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3.危及“三安全一稳定”</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4.保护第三方合法权益</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5.属于三类内部事务信息</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6.属于四类过程性信息</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7.属于行政执法案卷</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8.属于行政查询事项</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（四）无法提供</w:t>
            </w: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1.本机关不掌握相关政府信息</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　</w:t>
            </w: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315"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2.没有现成信息需要另行制作</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3.补正后申请内容仍不明确</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（五）不予处理</w:t>
            </w: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1.信访举报投诉类申请</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2.重复申请</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3.要求提供公开出版物</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288"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4.无正当理由大量反复申请</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楷体" w:hAnsi="楷体" w:eastAsia="楷体" w:cs="宋体"/>
                <w:color w:val="000000"/>
                <w:kern w:val="0"/>
                <w:sz w:val="20"/>
                <w:szCs w:val="20"/>
              </w:rPr>
            </w:pPr>
          </w:p>
        </w:tc>
        <w:tc>
          <w:tcPr>
            <w:tcW w:w="2700" w:type="dxa"/>
            <w:tcBorders>
              <w:top w:val="nil"/>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5.要求行政机关确认或重新出具已获取信息</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343"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3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（六）其他处理</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r>
      <w:tr>
        <w:tblPrEx>
          <w:tblCellMar>
            <w:top w:w="0" w:type="dxa"/>
            <w:left w:w="108" w:type="dxa"/>
            <w:bottom w:w="0" w:type="dxa"/>
            <w:right w:w="108" w:type="dxa"/>
          </w:tblCellMar>
        </w:tblPrEx>
        <w:trPr>
          <w:trHeight w:val="486"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color w:val="000000"/>
                <w:kern w:val="0"/>
                <w:sz w:val="20"/>
                <w:szCs w:val="20"/>
              </w:rPr>
            </w:pPr>
          </w:p>
        </w:tc>
        <w:tc>
          <w:tcPr>
            <w:tcW w:w="36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left"/>
              <w:rPr>
                <w:rFonts w:ascii="楷体" w:hAnsi="楷体" w:eastAsia="楷体" w:cs="宋体"/>
                <w:color w:val="000000"/>
                <w:kern w:val="0"/>
                <w:sz w:val="20"/>
                <w:szCs w:val="20"/>
              </w:rPr>
            </w:pPr>
            <w:r>
              <w:rPr>
                <w:rFonts w:hint="eastAsia" w:ascii="楷体" w:hAnsi="楷体" w:eastAsia="楷体" w:cs="宋体"/>
                <w:color w:val="000000"/>
                <w:kern w:val="0"/>
                <w:sz w:val="20"/>
                <w:szCs w:val="20"/>
              </w:rPr>
              <w:t>（七）总计</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3</w:t>
            </w:r>
          </w:p>
        </w:tc>
      </w:tr>
      <w:tr>
        <w:tblPrEx>
          <w:tblCellMar>
            <w:top w:w="0" w:type="dxa"/>
            <w:left w:w="108" w:type="dxa"/>
            <w:bottom w:w="0" w:type="dxa"/>
            <w:right w:w="108" w:type="dxa"/>
          </w:tblCellMar>
        </w:tblPrEx>
        <w:trPr>
          <w:trHeight w:val="565" w:hRule="atLeast"/>
          <w:jc w:val="center"/>
        </w:trPr>
        <w:tc>
          <w:tcPr>
            <w:tcW w:w="4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61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r>
              <w:rPr>
                <w:rFonts w:ascii="Calibri" w:hAnsi="Calibri" w:eastAsia="宋体" w:cs="宋体"/>
                <w:color w:val="000000"/>
                <w:kern w:val="0"/>
                <w:sz w:val="20"/>
                <w:szCs w:val="20"/>
              </w:rPr>
              <w:t>　</w:t>
            </w:r>
          </w:p>
        </w:tc>
        <w:tc>
          <w:tcPr>
            <w:tcW w:w="99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hint="eastAsia" w:ascii="Calibri" w:hAnsi="Calibri" w:eastAsia="宋体" w:cs="宋体"/>
                <w:color w:val="000000"/>
                <w:kern w:val="0"/>
                <w:sz w:val="20"/>
                <w:szCs w:val="20"/>
              </w:rPr>
              <w:t>0</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kern w:val="0"/>
                <w:sz w:val="20"/>
                <w:szCs w:val="20"/>
              </w:rPr>
            </w:pPr>
            <w:r>
              <w:rPr>
                <w:rFonts w:ascii="Calibri" w:hAnsi="Calibri" w:eastAsia="宋体" w:cs="宋体"/>
                <w:color w:val="000000"/>
                <w:kern w:val="0"/>
                <w:sz w:val="20"/>
                <w:szCs w:val="20"/>
              </w:rPr>
              <w:t>0</w:t>
            </w:r>
          </w:p>
        </w:tc>
      </w:tr>
    </w:tbl>
    <w:p>
      <w:pPr>
        <w:suppressAutoHyphens/>
        <w:snapToGrid w:val="0"/>
        <w:spacing w:line="560" w:lineRule="exact"/>
        <w:ind w:firstLine="640" w:firstLineChars="200"/>
        <w:rPr>
          <w:rFonts w:ascii="黑体" w:hAnsi="黑体" w:eastAsia="黑体"/>
          <w:sz w:val="32"/>
          <w:szCs w:val="32"/>
        </w:rPr>
      </w:pPr>
    </w:p>
    <w:p>
      <w:pPr>
        <w:suppressAutoHyphens/>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7"/>
        <w:tblW w:w="8095" w:type="dxa"/>
        <w:jc w:val="center"/>
        <w:tblLayout w:type="autofit"/>
        <w:tblCellMar>
          <w:top w:w="0" w:type="dxa"/>
          <w:left w:w="108" w:type="dxa"/>
          <w:bottom w:w="0" w:type="dxa"/>
          <w:right w:w="108" w:type="dxa"/>
        </w:tblCellMar>
      </w:tblPr>
      <w:tblGrid>
        <w:gridCol w:w="572"/>
        <w:gridCol w:w="567"/>
        <w:gridCol w:w="567"/>
        <w:gridCol w:w="567"/>
        <w:gridCol w:w="425"/>
        <w:gridCol w:w="567"/>
        <w:gridCol w:w="567"/>
        <w:gridCol w:w="567"/>
        <w:gridCol w:w="567"/>
        <w:gridCol w:w="425"/>
        <w:gridCol w:w="567"/>
        <w:gridCol w:w="567"/>
        <w:gridCol w:w="567"/>
        <w:gridCol w:w="571"/>
        <w:gridCol w:w="432"/>
      </w:tblGrid>
      <w:tr>
        <w:tblPrEx>
          <w:tblCellMar>
            <w:top w:w="0" w:type="dxa"/>
            <w:left w:w="108" w:type="dxa"/>
            <w:bottom w:w="0" w:type="dxa"/>
            <w:right w:w="108" w:type="dxa"/>
          </w:tblCellMar>
        </w:tblPrEx>
        <w:trPr>
          <w:trHeight w:val="555" w:hRule="atLeast"/>
          <w:jc w:val="center"/>
        </w:trPr>
        <w:tc>
          <w:tcPr>
            <w:tcW w:w="26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行政复议</w:t>
            </w:r>
          </w:p>
        </w:tc>
        <w:tc>
          <w:tcPr>
            <w:tcW w:w="5397"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行政诉讼</w:t>
            </w:r>
          </w:p>
        </w:tc>
      </w:tr>
      <w:tr>
        <w:tblPrEx>
          <w:tblCellMar>
            <w:top w:w="0" w:type="dxa"/>
            <w:left w:w="108" w:type="dxa"/>
            <w:bottom w:w="0" w:type="dxa"/>
            <w:right w:w="108" w:type="dxa"/>
          </w:tblCellMar>
        </w:tblPrEx>
        <w:trPr>
          <w:trHeight w:val="555" w:hRule="atLeast"/>
          <w:jc w:val="center"/>
        </w:trPr>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结果维持</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结果纠正</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其他结果</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尚未审结</w:t>
            </w:r>
          </w:p>
        </w:tc>
        <w:tc>
          <w:tcPr>
            <w:tcW w:w="4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总计</w:t>
            </w:r>
          </w:p>
        </w:tc>
        <w:tc>
          <w:tcPr>
            <w:tcW w:w="269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未经复议直接起诉</w:t>
            </w:r>
          </w:p>
        </w:tc>
        <w:tc>
          <w:tcPr>
            <w:tcW w:w="2704"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复议后起诉</w:t>
            </w:r>
          </w:p>
        </w:tc>
      </w:tr>
      <w:tr>
        <w:tblPrEx>
          <w:tblCellMar>
            <w:top w:w="0" w:type="dxa"/>
            <w:left w:w="108" w:type="dxa"/>
            <w:bottom w:w="0" w:type="dxa"/>
            <w:right w:w="108" w:type="dxa"/>
          </w:tblCellMar>
        </w:tblPrEx>
        <w:trPr>
          <w:trHeight w:val="555" w:hRule="atLeast"/>
          <w:jc w:val="center"/>
        </w:trPr>
        <w:tc>
          <w:tcPr>
            <w:tcW w:w="572"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b/>
                <w:bCs/>
                <w:color w:val="000000"/>
                <w:w w:val="8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b/>
                <w:bCs/>
                <w:color w:val="000000"/>
                <w:w w:val="8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b/>
                <w:bCs/>
                <w:color w:val="000000"/>
                <w:w w:val="80"/>
                <w:kern w:val="0"/>
                <w:sz w:val="20"/>
                <w:szCs w:val="20"/>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b/>
                <w:bCs/>
                <w:color w:val="000000"/>
                <w:w w:val="80"/>
                <w:kern w:val="0"/>
                <w:sz w:val="20"/>
                <w:szCs w:val="20"/>
              </w:rPr>
            </w:pPr>
          </w:p>
        </w:tc>
        <w:tc>
          <w:tcPr>
            <w:tcW w:w="425"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left"/>
              <w:rPr>
                <w:rFonts w:ascii="宋体" w:hAnsi="宋体" w:eastAsia="宋体" w:cs="宋体"/>
                <w:b/>
                <w:bCs/>
                <w:color w:val="000000"/>
                <w:w w:val="80"/>
                <w:kern w:val="0"/>
                <w:sz w:val="20"/>
                <w:szCs w:val="20"/>
              </w:rPr>
            </w:pP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结果维持</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结果纠正</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其他结果</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尚未审结</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总计</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结果维持</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结果纠正</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其他结果</w:t>
            </w:r>
          </w:p>
        </w:tc>
        <w:tc>
          <w:tcPr>
            <w:tcW w:w="57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尚未审结</w:t>
            </w:r>
          </w:p>
        </w:tc>
        <w:tc>
          <w:tcPr>
            <w:tcW w:w="43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宋体" w:hAnsi="宋体" w:eastAsia="宋体" w:cs="宋体"/>
                <w:b/>
                <w:bCs/>
                <w:color w:val="000000"/>
                <w:w w:val="80"/>
                <w:kern w:val="0"/>
                <w:sz w:val="20"/>
                <w:szCs w:val="20"/>
              </w:rPr>
            </w:pPr>
            <w:r>
              <w:rPr>
                <w:rFonts w:hint="eastAsia" w:ascii="宋体" w:hAnsi="宋体" w:eastAsia="宋体" w:cs="宋体"/>
                <w:b/>
                <w:bCs/>
                <w:color w:val="000000"/>
                <w:w w:val="80"/>
                <w:kern w:val="0"/>
                <w:sz w:val="20"/>
                <w:szCs w:val="20"/>
              </w:rPr>
              <w:t>总计</w:t>
            </w:r>
          </w:p>
        </w:tc>
      </w:tr>
      <w:tr>
        <w:tblPrEx>
          <w:tblCellMar>
            <w:top w:w="0" w:type="dxa"/>
            <w:left w:w="108" w:type="dxa"/>
            <w:bottom w:w="0" w:type="dxa"/>
            <w:right w:w="108" w:type="dxa"/>
          </w:tblCellMar>
        </w:tblPrEx>
        <w:trPr>
          <w:trHeight w:val="645" w:hRule="atLeast"/>
          <w:jc w:val="center"/>
        </w:trPr>
        <w:tc>
          <w:tcPr>
            <w:tcW w:w="572" w:type="dxa"/>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ascii="Calibri" w:hAnsi="Calibri" w:eastAsia="宋体" w:cs="宋体"/>
                <w:color w:val="000000"/>
                <w:w w:val="80"/>
                <w:kern w:val="0"/>
                <w:sz w:val="20"/>
                <w:szCs w:val="20"/>
              </w:rPr>
              <w:t>0</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ascii="Calibri" w:hAnsi="Calibri" w:eastAsia="宋体" w:cs="宋体"/>
                <w:color w:val="000000"/>
                <w:w w:val="80"/>
                <w:kern w:val="0"/>
                <w:sz w:val="20"/>
                <w:szCs w:val="20"/>
              </w:rPr>
              <w:t>　</w:t>
            </w:r>
            <w:r>
              <w:rPr>
                <w:rFonts w:hint="eastAsia" w:ascii="Calibri" w:hAnsi="Calibri" w:eastAsia="宋体" w:cs="宋体"/>
                <w:color w:val="000000"/>
                <w:w w:val="80"/>
                <w:kern w:val="0"/>
                <w:sz w:val="20"/>
                <w:szCs w:val="20"/>
              </w:rPr>
              <w:t>0</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425"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ascii="Calibri" w:hAnsi="Calibri" w:eastAsia="宋体" w:cs="宋体"/>
                <w:color w:val="000000"/>
                <w:w w:val="80"/>
                <w:kern w:val="0"/>
                <w:sz w:val="20"/>
                <w:szCs w:val="20"/>
              </w:rPr>
              <w:t>0</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ascii="Calibri" w:hAnsi="Calibri" w:eastAsia="宋体" w:cs="宋体"/>
                <w:color w:val="000000"/>
                <w:w w:val="80"/>
                <w:kern w:val="0"/>
                <w:sz w:val="20"/>
                <w:szCs w:val="20"/>
              </w:rPr>
              <w:t>　</w:t>
            </w:r>
            <w:r>
              <w:rPr>
                <w:rFonts w:hint="eastAsia" w:ascii="Calibri" w:hAnsi="Calibri" w:eastAsia="宋体" w:cs="宋体"/>
                <w:color w:val="000000"/>
                <w:w w:val="80"/>
                <w:kern w:val="0"/>
                <w:sz w:val="20"/>
                <w:szCs w:val="20"/>
              </w:rPr>
              <w:t>0</w:t>
            </w:r>
          </w:p>
        </w:tc>
        <w:tc>
          <w:tcPr>
            <w:tcW w:w="567"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571"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hint="eastAsia" w:ascii="Calibri" w:hAnsi="Calibri" w:eastAsia="宋体" w:cs="宋体"/>
                <w:color w:val="000000"/>
                <w:w w:val="80"/>
                <w:kern w:val="0"/>
                <w:sz w:val="20"/>
                <w:szCs w:val="20"/>
              </w:rPr>
              <w:t>0</w:t>
            </w:r>
            <w:r>
              <w:rPr>
                <w:rFonts w:ascii="Calibri" w:hAnsi="Calibri" w:eastAsia="宋体" w:cs="宋体"/>
                <w:color w:val="000000"/>
                <w:w w:val="80"/>
                <w:kern w:val="0"/>
                <w:sz w:val="20"/>
                <w:szCs w:val="20"/>
              </w:rPr>
              <w:t>　</w:t>
            </w:r>
          </w:p>
        </w:tc>
        <w:tc>
          <w:tcPr>
            <w:tcW w:w="432" w:type="dxa"/>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Calibri" w:hAnsi="Calibri" w:eastAsia="宋体" w:cs="宋体"/>
                <w:color w:val="000000"/>
                <w:w w:val="80"/>
                <w:kern w:val="0"/>
                <w:sz w:val="20"/>
                <w:szCs w:val="20"/>
              </w:rPr>
            </w:pPr>
            <w:r>
              <w:rPr>
                <w:rFonts w:ascii="Calibri" w:hAnsi="Calibri" w:eastAsia="宋体" w:cs="宋体"/>
                <w:color w:val="000000"/>
                <w:w w:val="80"/>
                <w:kern w:val="0"/>
                <w:sz w:val="20"/>
                <w:szCs w:val="20"/>
              </w:rPr>
              <w:t>0</w:t>
            </w:r>
          </w:p>
        </w:tc>
      </w:tr>
    </w:tbl>
    <w:p>
      <w:pPr>
        <w:suppressAutoHyphens/>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w:t>
      </w:r>
      <w:r>
        <w:rPr>
          <w:rFonts w:hint="eastAsia" w:ascii="黑体" w:hAnsi="黑体" w:eastAsia="黑体"/>
          <w:sz w:val="32"/>
          <w:szCs w:val="32"/>
        </w:rPr>
        <w:t>政府信息公开工作存在的主要问题及改进情况</w:t>
      </w:r>
    </w:p>
    <w:p>
      <w:pPr>
        <w:widowControl/>
        <w:spacing w:line="560" w:lineRule="exact"/>
        <w:ind w:firstLine="640" w:firstLineChars="200"/>
        <w:outlineLvl w:val="0"/>
        <w:rPr>
          <w:rFonts w:ascii="仿宋_GB2312" w:hAnsi="Arial" w:eastAsia="仿宋_GB2312" w:cs="Arial"/>
          <w:kern w:val="0"/>
          <w:sz w:val="32"/>
          <w:szCs w:val="32"/>
        </w:rPr>
      </w:pPr>
      <w:r>
        <w:rPr>
          <w:rFonts w:hint="eastAsia" w:ascii="仿宋_GB2312" w:hAnsi="Arial" w:eastAsia="仿宋_GB2312" w:cs="Arial"/>
          <w:kern w:val="0"/>
          <w:sz w:val="32"/>
          <w:szCs w:val="32"/>
        </w:rPr>
        <w:t>201</w:t>
      </w:r>
      <w:r>
        <w:rPr>
          <w:rFonts w:ascii="仿宋_GB2312" w:hAnsi="Arial" w:eastAsia="仿宋_GB2312" w:cs="Arial"/>
          <w:kern w:val="0"/>
          <w:sz w:val="32"/>
          <w:szCs w:val="32"/>
        </w:rPr>
        <w:t>9</w:t>
      </w:r>
      <w:r>
        <w:rPr>
          <w:rFonts w:hint="eastAsia" w:ascii="仿宋_GB2312" w:hAnsi="Arial" w:eastAsia="仿宋_GB2312" w:cs="Arial"/>
          <w:kern w:val="0"/>
          <w:sz w:val="32"/>
          <w:szCs w:val="32"/>
        </w:rPr>
        <w:t>年</w:t>
      </w:r>
      <w:r>
        <w:rPr>
          <w:rFonts w:ascii="仿宋_GB2312" w:hAnsi="Arial" w:eastAsia="仿宋_GB2312" w:cs="Arial"/>
          <w:kern w:val="0"/>
          <w:sz w:val="32"/>
          <w:szCs w:val="32"/>
        </w:rPr>
        <w:t>在</w:t>
      </w:r>
      <w:r>
        <w:rPr>
          <w:rFonts w:hint="eastAsia" w:ascii="仿宋_GB2312" w:hAnsi="Arial" w:eastAsia="仿宋_GB2312" w:cs="Arial"/>
          <w:kern w:val="0"/>
          <w:sz w:val="32"/>
          <w:szCs w:val="32"/>
        </w:rPr>
        <w:t>南苑</w:t>
      </w:r>
      <w:r>
        <w:rPr>
          <w:rFonts w:hint="eastAsia" w:ascii="仿宋_GB2312" w:hAnsi="宋体" w:eastAsia="仿宋_GB2312" w:cs="宋体"/>
          <w:color w:val="000000"/>
          <w:kern w:val="0"/>
          <w:sz w:val="32"/>
          <w:szCs w:val="32"/>
        </w:rPr>
        <w:t>街道政府信息公开工作稳步推进，取得了一定的成效，但在信息公开</w:t>
      </w:r>
      <w:r>
        <w:rPr>
          <w:rFonts w:ascii="仿宋_GB2312" w:hAnsi="宋体" w:eastAsia="仿宋_GB2312" w:cs="宋体"/>
          <w:color w:val="000000"/>
          <w:kern w:val="0"/>
          <w:sz w:val="32"/>
          <w:szCs w:val="32"/>
        </w:rPr>
        <w:t>的</w:t>
      </w:r>
      <w:r>
        <w:rPr>
          <w:rFonts w:hint="eastAsia" w:ascii="仿宋_GB2312" w:hAnsi="Arial" w:eastAsia="仿宋_GB2312" w:cs="Arial"/>
          <w:kern w:val="0"/>
          <w:sz w:val="32"/>
          <w:szCs w:val="32"/>
        </w:rPr>
        <w:t>积极性、时效性等方面还存在着诸多需要改进和加强的方面。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Calibri" w:hAnsi="Calibri" w:cs="Calibri"/>
          <w:i w:val="0"/>
          <w:caps w:val="0"/>
          <w:color w:val="000000"/>
          <w:spacing w:val="0"/>
          <w:sz w:val="21"/>
          <w:szCs w:val="21"/>
        </w:rPr>
      </w:pPr>
      <w:r>
        <w:rPr>
          <w:rFonts w:ascii="楷体" w:hAnsi="楷体" w:eastAsia="楷体" w:cs="楷体"/>
          <w:i w:val="0"/>
          <w:caps w:val="0"/>
          <w:color w:val="000000"/>
          <w:spacing w:val="0"/>
          <w:sz w:val="32"/>
          <w:szCs w:val="32"/>
        </w:rPr>
        <w:t>（一）不断增强政府信息公开意识。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ascii="仿宋" w:hAnsi="仿宋" w:eastAsia="仿宋" w:cs="仿宋"/>
          <w:i w:val="0"/>
          <w:caps w:val="0"/>
          <w:color w:val="000000"/>
          <w:spacing w:val="0"/>
          <w:sz w:val="32"/>
          <w:szCs w:val="32"/>
        </w:rPr>
        <w:t>问题：对政府信息公开工作重要性认识不到位、积极性不够。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改进情况：进一步提高思想认识</w:t>
      </w:r>
      <w:r>
        <w:rPr>
          <w:rFonts w:hint="eastAsia" w:ascii="仿宋" w:hAnsi="仿宋" w:eastAsia="仿宋" w:cs="仿宋"/>
          <w:i w:val="0"/>
          <w:caps w:val="0"/>
          <w:color w:val="000000"/>
          <w:spacing w:val="0"/>
          <w:sz w:val="32"/>
          <w:szCs w:val="32"/>
          <w:lang w:eastAsia="zh-CN"/>
        </w:rPr>
        <w:t>，</w:t>
      </w:r>
      <w:r>
        <w:rPr>
          <w:rFonts w:hint="eastAsia" w:ascii="仿宋" w:hAnsi="仿宋" w:eastAsia="仿宋" w:cs="仿宋"/>
          <w:i w:val="0"/>
          <w:caps w:val="0"/>
          <w:color w:val="000000"/>
          <w:spacing w:val="0"/>
          <w:sz w:val="32"/>
          <w:szCs w:val="32"/>
        </w:rPr>
        <w:t>继续高度重视政府信息公开工作，进一步做好信息收集，加大对政务信息的公开力度，将群众最关心、反应最强烈的事项作为政府信息公开的主要内容，通过规范公开内容格式，增强主动公开工作质量，确保信息</w:t>
      </w:r>
      <w:r>
        <w:rPr>
          <w:rFonts w:hint="eastAsia" w:ascii="仿宋" w:hAnsi="仿宋" w:eastAsia="仿宋" w:cs="仿宋"/>
          <w:i w:val="0"/>
          <w:caps w:val="0"/>
          <w:color w:val="000000"/>
          <w:spacing w:val="0"/>
          <w:sz w:val="32"/>
          <w:szCs w:val="32"/>
          <w:lang w:eastAsia="zh-CN"/>
        </w:rPr>
        <w:t>公开</w:t>
      </w:r>
      <w:r>
        <w:rPr>
          <w:rFonts w:hint="eastAsia" w:ascii="仿宋" w:hAnsi="仿宋" w:eastAsia="仿宋" w:cs="仿宋"/>
          <w:i w:val="0"/>
          <w:caps w:val="0"/>
          <w:color w:val="000000"/>
          <w:spacing w:val="0"/>
          <w:sz w:val="32"/>
          <w:szCs w:val="32"/>
        </w:rPr>
        <w:t>准确、有效。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楷体" w:hAnsi="楷体" w:eastAsia="楷体" w:cs="楷体"/>
          <w:i w:val="0"/>
          <w:caps w:val="0"/>
          <w:color w:val="000000"/>
          <w:spacing w:val="0"/>
          <w:sz w:val="32"/>
          <w:szCs w:val="32"/>
        </w:rPr>
        <w:t>（二）积极提高信息公开实效。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default" w:ascii="Calibri" w:hAnsi="Calibri" w:cs="Calibri"/>
          <w:i w:val="0"/>
          <w:caps w:val="0"/>
          <w:color w:val="000000"/>
          <w:spacing w:val="0"/>
          <w:sz w:val="21"/>
          <w:szCs w:val="21"/>
        </w:rPr>
      </w:pPr>
      <w:r>
        <w:rPr>
          <w:rFonts w:hint="eastAsia" w:ascii="仿宋" w:hAnsi="仿宋" w:eastAsia="仿宋" w:cs="仿宋"/>
          <w:i w:val="0"/>
          <w:caps w:val="0"/>
          <w:color w:val="000000"/>
          <w:spacing w:val="0"/>
          <w:sz w:val="32"/>
          <w:szCs w:val="32"/>
        </w:rPr>
        <w:t>问题：公开的内容还不够全面，信息发布的及时性有待提高。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eastAsia" w:ascii="仿宋" w:hAnsi="仿宋" w:eastAsia="仿宋" w:cs="仿宋"/>
          <w:i w:val="0"/>
          <w:caps w:val="0"/>
          <w:color w:val="000000"/>
          <w:spacing w:val="0"/>
          <w:sz w:val="32"/>
          <w:szCs w:val="32"/>
        </w:rPr>
        <w:t>改进情况：一是强化制度保障。进一步完善信息公开制度，强化信息公开的责任意识、大局意识，确保政府信息公开工作及时、准确。二是加强对《条例》的宣传贯彻力度，积极拓展宣传渠道，适时组织全员性的专题培训，进一步提升街道的信息公开能力。三强化公开力度。进一步细化、优化政府信息公开目录，不断加大政府信息的公开力度，以社会需求为导向，选择社会关注度高的信息作为突破口，不断丰富信息公开的内容。</w:t>
      </w:r>
    </w:p>
    <w:p>
      <w:pPr>
        <w:suppressAutoHyphens/>
        <w:snapToGrid w:val="0"/>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w:t>
      </w:r>
      <w:r>
        <w:rPr>
          <w:rFonts w:ascii="黑体" w:hAnsi="黑体" w:eastAsia="黑体" w:cs="仿宋_GB2312"/>
          <w:sz w:val="32"/>
          <w:szCs w:val="32"/>
        </w:rPr>
        <w:t>、</w:t>
      </w:r>
      <w:r>
        <w:rPr>
          <w:rFonts w:hint="eastAsia" w:ascii="黑体" w:hAnsi="黑体" w:eastAsia="黑体" w:cs="仿宋_GB2312"/>
          <w:sz w:val="32"/>
          <w:szCs w:val="32"/>
        </w:rPr>
        <w:t>其他需要报告的事项</w:t>
      </w:r>
    </w:p>
    <w:p>
      <w:pPr>
        <w:suppressAutoHyphens/>
        <w:snapToGrid w:val="0"/>
        <w:spacing w:line="560" w:lineRule="exact"/>
        <w:ind w:firstLine="640" w:firstLineChars="200"/>
        <w:rPr>
          <w:rFonts w:ascii="仿宋_GB2312" w:hAnsi="宋体" w:eastAsia="仿宋_GB2312"/>
          <w:b/>
          <w:sz w:val="32"/>
          <w:szCs w:val="32"/>
        </w:rPr>
      </w:pPr>
      <w:r>
        <w:rPr>
          <w:rFonts w:hint="eastAsia" w:ascii="仿宋" w:hAnsi="仿宋" w:eastAsia="仿宋"/>
          <w:color w:val="000000"/>
          <w:sz w:val="32"/>
          <w:szCs w:val="32"/>
        </w:rPr>
        <w:t>北京市丰台区人民政府南苑街道办事处信息公开专栏（“首都之窗”）网址为</w:t>
      </w:r>
      <w:r>
        <w:fldChar w:fldCharType="begin"/>
      </w:r>
      <w:r>
        <w:instrText xml:space="preserve"> HYPERLINK </w:instrText>
      </w:r>
      <w:r>
        <w:fldChar w:fldCharType="separate"/>
      </w:r>
      <w:r>
        <w:fldChar w:fldCharType="end"/>
      </w:r>
      <w:r>
        <w:rPr>
          <w:rStyle w:val="10"/>
          <w:rFonts w:ascii="仿宋" w:hAnsi="仿宋" w:eastAsia="仿宋"/>
          <w:sz w:val="32"/>
          <w:szCs w:val="32"/>
        </w:rPr>
        <w:t>http://www.bjft.gov.cn/zfxxgk/ftq11GJ05/ftbm_index.shtml</w:t>
      </w:r>
      <w:r>
        <w:rPr>
          <w:rFonts w:hint="eastAsia" w:ascii="仿宋" w:hAnsi="仿宋" w:eastAsia="仿宋"/>
          <w:color w:val="000000"/>
          <w:sz w:val="32"/>
          <w:szCs w:val="32"/>
        </w:rPr>
        <w:t>，如需了解更多政府信息，请登录查询。</w:t>
      </w:r>
    </w:p>
    <w:bookmarkEnd w:id="2"/>
    <w:p>
      <w:pPr>
        <w:suppressAutoHyphens/>
        <w:snapToGrid w:val="0"/>
        <w:spacing w:line="560" w:lineRule="exact"/>
        <w:ind w:firstLine="643" w:firstLineChars="200"/>
        <w:rPr>
          <w:rFonts w:ascii="仿宋_GB2312" w:hAnsi="宋体" w:eastAsia="仿宋_GB2312"/>
          <w:b/>
          <w:sz w:val="32"/>
          <w:szCs w:val="32"/>
        </w:rPr>
      </w:pPr>
    </w:p>
    <w:p>
      <w:pPr>
        <w:suppressAutoHyphens/>
        <w:wordWrap w:val="0"/>
        <w:snapToGrid w:val="0"/>
        <w:spacing w:line="560" w:lineRule="exact"/>
        <w:ind w:firstLine="640" w:firstLineChars="200"/>
        <w:jc w:val="right"/>
        <w:rPr>
          <w:rFonts w:ascii="仿宋_GB2312" w:hAnsi="宋体" w:eastAsia="仿宋_GB2312"/>
          <w:sz w:val="32"/>
          <w:szCs w:val="32"/>
        </w:rPr>
      </w:pPr>
      <w:r>
        <w:rPr>
          <w:rFonts w:ascii="仿宋_GB2312" w:hAnsi="宋体" w:eastAsia="仿宋_GB2312"/>
          <w:sz w:val="32"/>
          <w:szCs w:val="32"/>
        </w:rPr>
        <w:t xml:space="preserve"> </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927322"/>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74"/>
    <w:rsid w:val="00003955"/>
    <w:rsid w:val="00013497"/>
    <w:rsid w:val="00023E64"/>
    <w:rsid w:val="00031BE5"/>
    <w:rsid w:val="00037022"/>
    <w:rsid w:val="000435BD"/>
    <w:rsid w:val="00092550"/>
    <w:rsid w:val="000A70F9"/>
    <w:rsid w:val="000A7B4C"/>
    <w:rsid w:val="000C6BB2"/>
    <w:rsid w:val="000D75D6"/>
    <w:rsid w:val="001068E4"/>
    <w:rsid w:val="001132CE"/>
    <w:rsid w:val="001143FF"/>
    <w:rsid w:val="00141750"/>
    <w:rsid w:val="0014645C"/>
    <w:rsid w:val="00146A8C"/>
    <w:rsid w:val="001473AA"/>
    <w:rsid w:val="00152EAB"/>
    <w:rsid w:val="0015481F"/>
    <w:rsid w:val="0017167E"/>
    <w:rsid w:val="00176798"/>
    <w:rsid w:val="00195ED1"/>
    <w:rsid w:val="001A6006"/>
    <w:rsid w:val="001C00F0"/>
    <w:rsid w:val="001E02F2"/>
    <w:rsid w:val="001F0CB9"/>
    <w:rsid w:val="002053BC"/>
    <w:rsid w:val="00213330"/>
    <w:rsid w:val="00230939"/>
    <w:rsid w:val="00235533"/>
    <w:rsid w:val="00245DFC"/>
    <w:rsid w:val="00263518"/>
    <w:rsid w:val="002823B0"/>
    <w:rsid w:val="00283155"/>
    <w:rsid w:val="002E0E66"/>
    <w:rsid w:val="002F3249"/>
    <w:rsid w:val="00316CA6"/>
    <w:rsid w:val="0031722B"/>
    <w:rsid w:val="00317A4C"/>
    <w:rsid w:val="0038388E"/>
    <w:rsid w:val="00385374"/>
    <w:rsid w:val="00386D50"/>
    <w:rsid w:val="003B3B50"/>
    <w:rsid w:val="003C26CB"/>
    <w:rsid w:val="003C6F0C"/>
    <w:rsid w:val="003C791C"/>
    <w:rsid w:val="004020D0"/>
    <w:rsid w:val="0041171C"/>
    <w:rsid w:val="00412EE1"/>
    <w:rsid w:val="004134D8"/>
    <w:rsid w:val="0041384F"/>
    <w:rsid w:val="00426536"/>
    <w:rsid w:val="004304F7"/>
    <w:rsid w:val="00431270"/>
    <w:rsid w:val="004405C0"/>
    <w:rsid w:val="004418A1"/>
    <w:rsid w:val="00442949"/>
    <w:rsid w:val="00472231"/>
    <w:rsid w:val="004729FE"/>
    <w:rsid w:val="004873BD"/>
    <w:rsid w:val="00492512"/>
    <w:rsid w:val="004E2359"/>
    <w:rsid w:val="004E2DAA"/>
    <w:rsid w:val="005120F8"/>
    <w:rsid w:val="00537D6D"/>
    <w:rsid w:val="005475EC"/>
    <w:rsid w:val="00572977"/>
    <w:rsid w:val="00574256"/>
    <w:rsid w:val="00595642"/>
    <w:rsid w:val="005A6E2C"/>
    <w:rsid w:val="005E7960"/>
    <w:rsid w:val="00602350"/>
    <w:rsid w:val="00602BEB"/>
    <w:rsid w:val="00605B2E"/>
    <w:rsid w:val="00626468"/>
    <w:rsid w:val="006450EB"/>
    <w:rsid w:val="00673D6A"/>
    <w:rsid w:val="006E010C"/>
    <w:rsid w:val="006E3E1E"/>
    <w:rsid w:val="006E4591"/>
    <w:rsid w:val="006E7A2C"/>
    <w:rsid w:val="006F3248"/>
    <w:rsid w:val="00740059"/>
    <w:rsid w:val="007433B3"/>
    <w:rsid w:val="00747B36"/>
    <w:rsid w:val="00747C5D"/>
    <w:rsid w:val="00756A3E"/>
    <w:rsid w:val="00765190"/>
    <w:rsid w:val="0078785E"/>
    <w:rsid w:val="007C1878"/>
    <w:rsid w:val="007C4BCD"/>
    <w:rsid w:val="007C6B81"/>
    <w:rsid w:val="007E226F"/>
    <w:rsid w:val="007E4CAA"/>
    <w:rsid w:val="007F020A"/>
    <w:rsid w:val="00804257"/>
    <w:rsid w:val="00825172"/>
    <w:rsid w:val="0082704C"/>
    <w:rsid w:val="008645B4"/>
    <w:rsid w:val="0086594D"/>
    <w:rsid w:val="00876408"/>
    <w:rsid w:val="00884E36"/>
    <w:rsid w:val="0089507D"/>
    <w:rsid w:val="0089663A"/>
    <w:rsid w:val="008A1913"/>
    <w:rsid w:val="008B0288"/>
    <w:rsid w:val="008C20CE"/>
    <w:rsid w:val="008C26FF"/>
    <w:rsid w:val="008C705E"/>
    <w:rsid w:val="008D7DCC"/>
    <w:rsid w:val="008E0BD5"/>
    <w:rsid w:val="008E1874"/>
    <w:rsid w:val="00901B12"/>
    <w:rsid w:val="00926AE8"/>
    <w:rsid w:val="00940D9D"/>
    <w:rsid w:val="0095071B"/>
    <w:rsid w:val="009576EF"/>
    <w:rsid w:val="00966A99"/>
    <w:rsid w:val="00966E7F"/>
    <w:rsid w:val="009672FA"/>
    <w:rsid w:val="00973EEC"/>
    <w:rsid w:val="00995550"/>
    <w:rsid w:val="009A73DB"/>
    <w:rsid w:val="009B5FAB"/>
    <w:rsid w:val="009D56EB"/>
    <w:rsid w:val="009E7DAD"/>
    <w:rsid w:val="00A06D07"/>
    <w:rsid w:val="00A43290"/>
    <w:rsid w:val="00A436C7"/>
    <w:rsid w:val="00A81D2A"/>
    <w:rsid w:val="00A97A7A"/>
    <w:rsid w:val="00AA197A"/>
    <w:rsid w:val="00AA7A19"/>
    <w:rsid w:val="00AB11E9"/>
    <w:rsid w:val="00AB13E9"/>
    <w:rsid w:val="00AC0053"/>
    <w:rsid w:val="00AC023C"/>
    <w:rsid w:val="00AC2A56"/>
    <w:rsid w:val="00AC7A8D"/>
    <w:rsid w:val="00AD02A2"/>
    <w:rsid w:val="00AF3A50"/>
    <w:rsid w:val="00AF40D9"/>
    <w:rsid w:val="00AF6012"/>
    <w:rsid w:val="00B015D0"/>
    <w:rsid w:val="00B0365F"/>
    <w:rsid w:val="00B12105"/>
    <w:rsid w:val="00B3499B"/>
    <w:rsid w:val="00B469FF"/>
    <w:rsid w:val="00B73539"/>
    <w:rsid w:val="00B82388"/>
    <w:rsid w:val="00B9423D"/>
    <w:rsid w:val="00BD01FB"/>
    <w:rsid w:val="00BD1606"/>
    <w:rsid w:val="00BD6687"/>
    <w:rsid w:val="00BE0160"/>
    <w:rsid w:val="00BE0449"/>
    <w:rsid w:val="00C018B5"/>
    <w:rsid w:val="00C232EB"/>
    <w:rsid w:val="00C458AB"/>
    <w:rsid w:val="00C45F9C"/>
    <w:rsid w:val="00C551EA"/>
    <w:rsid w:val="00C57798"/>
    <w:rsid w:val="00C81812"/>
    <w:rsid w:val="00CB682A"/>
    <w:rsid w:val="00CF6310"/>
    <w:rsid w:val="00D67DDB"/>
    <w:rsid w:val="00D75B3E"/>
    <w:rsid w:val="00D8282E"/>
    <w:rsid w:val="00D859CB"/>
    <w:rsid w:val="00DB641F"/>
    <w:rsid w:val="00DB6896"/>
    <w:rsid w:val="00DC188B"/>
    <w:rsid w:val="00DD4BF9"/>
    <w:rsid w:val="00E12093"/>
    <w:rsid w:val="00E2096D"/>
    <w:rsid w:val="00E301E8"/>
    <w:rsid w:val="00E3532C"/>
    <w:rsid w:val="00E57B21"/>
    <w:rsid w:val="00E75518"/>
    <w:rsid w:val="00E94D97"/>
    <w:rsid w:val="00E976D6"/>
    <w:rsid w:val="00EA44CD"/>
    <w:rsid w:val="00ED3185"/>
    <w:rsid w:val="00EF04BC"/>
    <w:rsid w:val="00F13326"/>
    <w:rsid w:val="00F2002D"/>
    <w:rsid w:val="00F23352"/>
    <w:rsid w:val="00F301A8"/>
    <w:rsid w:val="00F40D90"/>
    <w:rsid w:val="00F4644D"/>
    <w:rsid w:val="00F5418D"/>
    <w:rsid w:val="00F62CD5"/>
    <w:rsid w:val="00F7122B"/>
    <w:rsid w:val="00F8731D"/>
    <w:rsid w:val="00FA2A8B"/>
    <w:rsid w:val="00FB73DA"/>
    <w:rsid w:val="00FC2C29"/>
    <w:rsid w:val="00FC5631"/>
    <w:rsid w:val="00FC62A4"/>
    <w:rsid w:val="00FD1DAE"/>
    <w:rsid w:val="00FD6A39"/>
    <w:rsid w:val="050C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510</Words>
  <Characters>2912</Characters>
  <Lines>24</Lines>
  <Paragraphs>6</Paragraphs>
  <TotalTime>0</TotalTime>
  <ScaleCrop>false</ScaleCrop>
  <LinksUpToDate>false</LinksUpToDate>
  <CharactersWithSpaces>3416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2019-01-17T01:30:00Z</dcterms:created>
  <dc:creator>nyjd</dc:creator>
  <cp:lastModifiedBy>zbs</cp:lastModifiedBy>
  <cp:lastPrinted>2019-02-13T08:57:00Z</cp:lastPrinted>
  <dcterms:modified xsi:type="dcterms:W3CDTF">2020-11-20T06:57:54Z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