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4E" w:rsidRPr="00756BB7" w:rsidRDefault="009D2D4E" w:rsidP="00756BB7">
      <w:pPr>
        <w:widowControl/>
        <w:spacing w:line="560" w:lineRule="exact"/>
        <w:jc w:val="center"/>
        <w:rPr>
          <w:rFonts w:ascii="方正小标宋_GBK" w:eastAsia="方正小标宋_GBK" w:hAnsi="仿宋" w:cs="Arial"/>
          <w:kern w:val="0"/>
          <w:sz w:val="44"/>
          <w:szCs w:val="44"/>
        </w:rPr>
      </w:pPr>
      <w:r w:rsidRPr="00756BB7">
        <w:rPr>
          <w:rFonts w:ascii="方正小标宋_GBK" w:eastAsia="方正小标宋_GBK" w:hAnsi="仿宋" w:cs="Arial" w:hint="eastAsia"/>
          <w:kern w:val="0"/>
          <w:sz w:val="44"/>
          <w:szCs w:val="44"/>
        </w:rPr>
        <w:t>2014年丰台区</w:t>
      </w:r>
      <w:r w:rsidR="002653EE" w:rsidRPr="00756BB7">
        <w:rPr>
          <w:rFonts w:ascii="方正小标宋_GBK" w:eastAsia="方正小标宋_GBK" w:hAnsi="仿宋" w:cs="Arial" w:hint="eastAsia"/>
          <w:kern w:val="0"/>
          <w:sz w:val="44"/>
          <w:szCs w:val="44"/>
        </w:rPr>
        <w:t>宛平城地区办事处</w:t>
      </w:r>
    </w:p>
    <w:p w:rsidR="002653EE" w:rsidRPr="00756BB7" w:rsidRDefault="002653EE" w:rsidP="00756BB7">
      <w:pPr>
        <w:widowControl/>
        <w:spacing w:line="560" w:lineRule="exact"/>
        <w:jc w:val="center"/>
        <w:rPr>
          <w:rFonts w:ascii="方正小标宋_GBK" w:eastAsia="方正小标宋_GBK" w:hAnsi="仿宋" w:cs="Arial"/>
          <w:kern w:val="0"/>
          <w:sz w:val="44"/>
          <w:szCs w:val="44"/>
        </w:rPr>
      </w:pPr>
      <w:r w:rsidRPr="00756BB7">
        <w:rPr>
          <w:rFonts w:ascii="方正小标宋_GBK" w:eastAsia="方正小标宋_GBK" w:hAnsi="仿宋" w:cs="Arial" w:hint="eastAsia"/>
          <w:kern w:val="0"/>
          <w:sz w:val="44"/>
          <w:szCs w:val="44"/>
        </w:rPr>
        <w:t>政府信息公开年度报告</w:t>
      </w:r>
    </w:p>
    <w:p w:rsidR="009D2D4E" w:rsidRDefault="009D2D4E" w:rsidP="00756BB7">
      <w:pPr>
        <w:widowControl/>
        <w:spacing w:line="560" w:lineRule="exact"/>
        <w:jc w:val="center"/>
        <w:rPr>
          <w:rFonts w:ascii="仿宋" w:eastAsia="仿宋" w:hAnsi="仿宋" w:cs="Arial"/>
          <w:kern w:val="0"/>
          <w:sz w:val="32"/>
          <w:szCs w:val="32"/>
        </w:rPr>
      </w:pPr>
      <w:r w:rsidRPr="00756BB7">
        <w:rPr>
          <w:rFonts w:ascii="仿宋" w:eastAsia="仿宋" w:hAnsi="仿宋" w:cs="Arial" w:hint="eastAsia"/>
          <w:kern w:val="0"/>
          <w:sz w:val="32"/>
          <w:szCs w:val="32"/>
        </w:rPr>
        <w:t>（2015年3月20日）</w:t>
      </w:r>
    </w:p>
    <w:p w:rsidR="00756BB7" w:rsidRPr="00756BB7" w:rsidRDefault="00756BB7" w:rsidP="00756BB7">
      <w:pPr>
        <w:widowControl/>
        <w:spacing w:line="560" w:lineRule="exact"/>
        <w:jc w:val="center"/>
        <w:rPr>
          <w:rFonts w:ascii="仿宋" w:eastAsia="仿宋" w:hAnsi="仿宋" w:cs="Arial"/>
          <w:kern w:val="0"/>
          <w:sz w:val="32"/>
          <w:szCs w:val="32"/>
        </w:rPr>
      </w:pPr>
    </w:p>
    <w:p w:rsidR="009D2D4E" w:rsidRPr="00756BB7" w:rsidRDefault="009D2D4E" w:rsidP="00756BB7">
      <w:pPr>
        <w:widowControl/>
        <w:spacing w:line="560" w:lineRule="exact"/>
        <w:jc w:val="center"/>
        <w:rPr>
          <w:rFonts w:ascii="黑体" w:eastAsia="黑体" w:hAnsi="黑体" w:cs="Arial"/>
          <w:kern w:val="0"/>
          <w:sz w:val="32"/>
          <w:szCs w:val="32"/>
        </w:rPr>
      </w:pPr>
      <w:r w:rsidRPr="00756BB7">
        <w:rPr>
          <w:rFonts w:ascii="黑体" w:eastAsia="黑体" w:hAnsi="黑体" w:cs="Arial" w:hint="eastAsia"/>
          <w:kern w:val="0"/>
          <w:sz w:val="32"/>
          <w:szCs w:val="32"/>
        </w:rPr>
        <w:t>引言</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本报告是根据《中华人民共和国政府信息公开条例》（以下简称《条例》）要求，由北京市丰台区宛平城地区办事处编制的2014年度政府信息公开年度报告。</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全文包括概述，主动公开政府信息的情况，依申请公开政府信息和不予公开政府信息的情况，政府信息公开的人员及减免情况，政府信息公开咨询情况，因政府信息公开申请行政复议、提起行政诉讼的情况，政府信息公开工作存在的主要问题、改进情况和其他需要报告的事项。报告后附相关的说明。</w:t>
      </w:r>
    </w:p>
    <w:p w:rsidR="009D2D4E" w:rsidRPr="00756BB7" w:rsidRDefault="009D2D4E" w:rsidP="00756BB7">
      <w:pPr>
        <w:widowControl/>
        <w:spacing w:line="560" w:lineRule="exact"/>
        <w:ind w:firstLine="640"/>
        <w:rPr>
          <w:rFonts w:ascii="仿宋" w:eastAsia="仿宋" w:hAnsi="仿宋" w:cs="Arial"/>
          <w:sz w:val="32"/>
          <w:szCs w:val="32"/>
        </w:rPr>
      </w:pPr>
      <w:r w:rsidRPr="00756BB7">
        <w:rPr>
          <w:rFonts w:ascii="仿宋" w:eastAsia="仿宋" w:hAnsi="仿宋" w:cs="Arial" w:hint="eastAsia"/>
          <w:kern w:val="0"/>
          <w:sz w:val="32"/>
          <w:szCs w:val="32"/>
        </w:rPr>
        <w:t>我地区政府网站</w:t>
      </w:r>
      <w:r w:rsidR="00FE17E2">
        <w:rPr>
          <w:rFonts w:ascii="仿宋_GB2312" w:eastAsia="仿宋_GB2312" w:hAnsi="仿宋" w:hint="eastAsia"/>
          <w:kern w:val="0"/>
          <w:sz w:val="32"/>
          <w:szCs w:val="32"/>
        </w:rPr>
        <w:t>(http://www.beijing.gov.cn/zfxxgk/ftq11GJ14/zfxxgknb/ft_yjlist.shtml)</w:t>
      </w:r>
      <w:bookmarkStart w:id="0" w:name="_GoBack"/>
      <w:bookmarkEnd w:id="0"/>
      <w:r w:rsidRPr="00756BB7">
        <w:rPr>
          <w:rFonts w:ascii="仿宋" w:eastAsia="仿宋" w:hAnsi="仿宋" w:cs="Arial" w:hint="eastAsia"/>
          <w:sz w:val="32"/>
          <w:szCs w:val="32"/>
        </w:rPr>
        <w:t>上可下载本报告的电子版。如对本报告有任何疑问，请联系：83215981.</w:t>
      </w:r>
    </w:p>
    <w:p w:rsidR="009D2D4E" w:rsidRPr="00756BB7" w:rsidRDefault="009D2D4E" w:rsidP="00756BB7">
      <w:pPr>
        <w:widowControl/>
        <w:spacing w:line="560" w:lineRule="exact"/>
        <w:jc w:val="center"/>
        <w:rPr>
          <w:rFonts w:ascii="黑体" w:eastAsia="黑体" w:hAnsi="黑体" w:cs="Arial"/>
          <w:sz w:val="32"/>
          <w:szCs w:val="32"/>
        </w:rPr>
      </w:pPr>
      <w:r w:rsidRPr="00756BB7">
        <w:rPr>
          <w:rFonts w:ascii="黑体" w:eastAsia="黑体" w:hAnsi="黑体" w:cs="Arial" w:hint="eastAsia"/>
          <w:sz w:val="32"/>
          <w:szCs w:val="32"/>
        </w:rPr>
        <w:t>一、概述</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kern w:val="0"/>
          <w:sz w:val="32"/>
          <w:szCs w:val="32"/>
        </w:rPr>
        <w:t>宛平城地区面积</w:t>
      </w:r>
      <w:r w:rsidRPr="00756BB7">
        <w:rPr>
          <w:rFonts w:ascii="仿宋" w:eastAsia="仿宋" w:hAnsi="仿宋" w:cs="Arial" w:hint="eastAsia"/>
          <w:kern w:val="0"/>
          <w:sz w:val="32"/>
          <w:szCs w:val="32"/>
        </w:rPr>
        <w:t>22.1</w:t>
      </w:r>
      <w:r w:rsidRPr="00756BB7">
        <w:rPr>
          <w:rFonts w:ascii="仿宋" w:eastAsia="仿宋" w:hAnsi="仿宋" w:cs="Arial"/>
          <w:kern w:val="0"/>
          <w:sz w:val="32"/>
          <w:szCs w:val="32"/>
        </w:rPr>
        <w:t>平方公里，</w:t>
      </w:r>
      <w:r w:rsidRPr="00756BB7">
        <w:rPr>
          <w:rFonts w:ascii="仿宋" w:eastAsia="仿宋" w:hAnsi="仿宋" w:cs="Arial" w:hint="eastAsia"/>
          <w:kern w:val="0"/>
          <w:sz w:val="32"/>
          <w:szCs w:val="32"/>
        </w:rPr>
        <w:t>下辖8个社区、2个行政村，辖区有居住人口（管辖户）19753户、50024人。地区农居混杂，属于典型的城乡结合部,</w:t>
      </w:r>
      <w:r w:rsidRPr="00756BB7">
        <w:rPr>
          <w:rFonts w:ascii="仿宋" w:eastAsia="仿宋" w:hAnsi="仿宋" w:cs="Arial"/>
          <w:kern w:val="0"/>
          <w:sz w:val="32"/>
          <w:szCs w:val="32"/>
        </w:rPr>
        <w:t>也是卢沟桥、宛平城、中国人民抗日战争纪念馆、抗日战争雕塑园等爱国主义教育基地的所在地。</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lastRenderedPageBreak/>
        <w:t xml:space="preserve">按照“主要领导亲自抓，分管领导具体抓，专门科室抓落实”的工作要求，我地区把政府信息公开工作列入了重要议事日程，及时传达贯彻区一系列关于做好政府信息公开工作的文件精神，研究部署地区政府信息公开工作。成立了以政府信息公开工作领导小组，并建立了主要领导负总责，分管领导主抓，办公室具体负责，各科室密切配合的工作机制。建立处理政府信息公开事务的专门办公室，确立了由主要领导负责、分管领导具体抓、专门科室承办其它职能处室配合的组织推进体系。将政府信息公开工作纳入本部门绩效考核体系，切实推动政府信息公开工作深入开展。   </w:t>
      </w:r>
    </w:p>
    <w:p w:rsidR="00125D19" w:rsidRPr="00756BB7" w:rsidRDefault="00125D19"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为扩大政府信息公开工作的影响，使社会公众进一步关注和参与政府信息公开工作，2014年，我地区充分利用互联网等方式广泛宣传。建立了信息公开平台机制，畅通政府网站、微博微信等网上公开渠道，建立舆情收集回应机制和解读回应机制。</w:t>
      </w:r>
      <w:r w:rsidRPr="00756BB7">
        <w:rPr>
          <w:rFonts w:ascii="仿宋" w:eastAsia="仿宋" w:hAnsi="仿宋" w:cs="Arial"/>
          <w:kern w:val="0"/>
          <w:sz w:val="32"/>
          <w:szCs w:val="32"/>
        </w:rPr>
        <w:t xml:space="preserve">按照《政府信息公开条例》的要求，政务信息除依法免于公开的以外，凡与经济、社会管理和公共服务相关的政务信息全部进行公开。坚持“公开为原则，不公开为例外”清理信息公开内容，不断建设完善信息公开的内容和渠道。 </w:t>
      </w:r>
    </w:p>
    <w:p w:rsidR="009D2D4E" w:rsidRPr="00756BB7" w:rsidRDefault="009D2D4E" w:rsidP="00BC0326">
      <w:pPr>
        <w:widowControl/>
        <w:spacing w:line="560" w:lineRule="exact"/>
        <w:jc w:val="center"/>
        <w:rPr>
          <w:rFonts w:ascii="黑体" w:eastAsia="黑体" w:hAnsi="黑体" w:cs="Arial"/>
          <w:kern w:val="0"/>
          <w:sz w:val="32"/>
          <w:szCs w:val="32"/>
        </w:rPr>
      </w:pPr>
      <w:r w:rsidRPr="00756BB7">
        <w:rPr>
          <w:rFonts w:ascii="黑体" w:eastAsia="黑体" w:hAnsi="黑体" w:cs="Arial" w:hint="eastAsia"/>
          <w:kern w:val="0"/>
          <w:sz w:val="32"/>
          <w:szCs w:val="32"/>
        </w:rPr>
        <w:t>二、政府信息主动公开情况</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（一）公开情况</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2014</w:t>
      </w:r>
      <w:r w:rsidRPr="00756BB7">
        <w:rPr>
          <w:rFonts w:ascii="仿宋" w:eastAsia="仿宋" w:hAnsi="仿宋" w:cs="Arial"/>
          <w:kern w:val="0"/>
          <w:sz w:val="32"/>
          <w:szCs w:val="32"/>
        </w:rPr>
        <w:t>年，办事处外网主页内容更加丰富，更加符合政务公开的要求，成为信息公开的一个平台。网站设置有专门的政府信息公开栏目，并将领导分工、机构设置、政策法规、</w:t>
      </w:r>
      <w:r w:rsidRPr="00756BB7">
        <w:rPr>
          <w:rFonts w:ascii="仿宋" w:eastAsia="仿宋" w:hAnsi="仿宋" w:cs="Arial"/>
          <w:kern w:val="0"/>
          <w:sz w:val="32"/>
          <w:szCs w:val="32"/>
        </w:rPr>
        <w:lastRenderedPageBreak/>
        <w:t>党建工作、政务公开，以及办事指南、工作动态等信息及时通过外网网站向社会进行公开。本年度我办事处门户网站共公开政务公开信息10条，党务公开18条，便民服务64条，通知公告7条，工作动态724条，社区动态1175条，社会创新管理10条，文化旅游4条。我们在公开栏内为地区下岗再就业人员提供就业信息、为地区群众提供红十字捐赠信息；还有享受购买两限房、廉租房、低保人员等必须公开的信息在办事处、社区、村都及时按要求进行公开。尤其是在办事处、社保所、社区、村公开就业信息，为本地区失业人员提供了就业岗位，受到群众的好评，收到良好的效果。搭起了对外宣传政策的平台，突出了政务公开、为民服务的内容，增加了机关工作透明度，提高了为民服务的意识和水平，密切了政府部门与群众的关系。</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kern w:val="0"/>
          <w:sz w:val="32"/>
          <w:szCs w:val="32"/>
        </w:rPr>
        <w:t>工作中，</w:t>
      </w:r>
      <w:r w:rsidRPr="00756BB7">
        <w:rPr>
          <w:rFonts w:ascii="仿宋" w:eastAsia="仿宋" w:hAnsi="仿宋" w:cs="Arial" w:hint="eastAsia"/>
          <w:kern w:val="0"/>
          <w:sz w:val="32"/>
          <w:szCs w:val="32"/>
        </w:rPr>
        <w:t>我们</w:t>
      </w:r>
      <w:r w:rsidRPr="00756BB7">
        <w:rPr>
          <w:rFonts w:ascii="仿宋" w:eastAsia="仿宋" w:hAnsi="仿宋" w:cs="Arial"/>
          <w:kern w:val="0"/>
          <w:sz w:val="32"/>
          <w:szCs w:val="32"/>
        </w:rPr>
        <w:t>力求做到能公开的信息就主动公开</w:t>
      </w:r>
      <w:r w:rsidRPr="00756BB7">
        <w:rPr>
          <w:rFonts w:ascii="仿宋" w:eastAsia="仿宋" w:hAnsi="仿宋" w:cs="Arial" w:hint="eastAsia"/>
          <w:kern w:val="0"/>
          <w:sz w:val="32"/>
          <w:szCs w:val="32"/>
        </w:rPr>
        <w:t>，</w:t>
      </w:r>
      <w:r w:rsidR="00EA061C">
        <w:rPr>
          <w:rFonts w:ascii="仿宋" w:eastAsia="仿宋" w:hAnsi="仿宋" w:cs="Arial"/>
          <w:kern w:val="0"/>
          <w:sz w:val="32"/>
          <w:szCs w:val="32"/>
        </w:rPr>
        <w:t>对办事处</w:t>
      </w:r>
      <w:r w:rsidRPr="00756BB7">
        <w:rPr>
          <w:rFonts w:ascii="仿宋" w:eastAsia="仿宋" w:hAnsi="仿宋" w:cs="Arial"/>
          <w:kern w:val="0"/>
          <w:sz w:val="32"/>
          <w:szCs w:val="32"/>
        </w:rPr>
        <w:t>主动公开政府信息</w:t>
      </w:r>
      <w:r w:rsidRPr="00756BB7">
        <w:rPr>
          <w:rFonts w:ascii="仿宋" w:eastAsia="仿宋" w:hAnsi="仿宋" w:cs="Arial" w:hint="eastAsia"/>
          <w:kern w:val="0"/>
          <w:sz w:val="32"/>
          <w:szCs w:val="32"/>
        </w:rPr>
        <w:t>1183条</w:t>
      </w:r>
      <w:r w:rsidRPr="00756BB7">
        <w:rPr>
          <w:rFonts w:ascii="仿宋" w:eastAsia="仿宋" w:hAnsi="仿宋" w:cs="Arial"/>
          <w:kern w:val="0"/>
          <w:sz w:val="32"/>
          <w:szCs w:val="32"/>
        </w:rPr>
        <w:t>，其中全文电子化率达100%。机构职能类信息1条，内容包括工委、办事处、业务科室的工作职责；主动公开规划计划类信息数1条,主要内容为办事处下一年工作规划。由于办事处含盖农村工作，所以工作涉及将农村土地发包给本集体经济组织以外的单位或者个人承包的事项的批准等涉及农村工作的信息。</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（二）公开形式</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kern w:val="0"/>
          <w:sz w:val="32"/>
          <w:szCs w:val="32"/>
        </w:rPr>
        <w:t>公开政府信息的形式多样化、人性化。在办公区内建立了专门的政务公开栏、服务指南、电子触摸屏、公务员公示栏、党务公开栏。在政府网站建立了专门的信息公开栏目将</w:t>
      </w:r>
      <w:r w:rsidRPr="00756BB7">
        <w:rPr>
          <w:rFonts w:ascii="仿宋" w:eastAsia="仿宋" w:hAnsi="仿宋" w:cs="Arial"/>
          <w:kern w:val="0"/>
          <w:sz w:val="32"/>
          <w:szCs w:val="32"/>
        </w:rPr>
        <w:lastRenderedPageBreak/>
        <w:t>政府信息进行及时公开。在信息公开公共查阅点设立专人负责，设立了引导牌、桌椅、饮水机、一次性纸杯等，为群众查看政府信息提供方便。在主动公开政府信息的程序上，明确了各科室、各部门负责人要对公开内容进行初审后再报办公室。经办公室主任审核后报主管主任审批后由全代办进行公开，如对内容有疑问的，主管主任报主任审批后再公开。</w:t>
      </w:r>
    </w:p>
    <w:p w:rsidR="009D2D4E" w:rsidRPr="00756BB7" w:rsidRDefault="00EA061C" w:rsidP="00BC0326">
      <w:pPr>
        <w:widowControl/>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三、政府信息依</w:t>
      </w:r>
      <w:r w:rsidR="009D2D4E" w:rsidRPr="00756BB7">
        <w:rPr>
          <w:rFonts w:ascii="黑体" w:eastAsia="黑体" w:hAnsi="黑体" w:cs="Arial" w:hint="eastAsia"/>
          <w:bCs/>
          <w:kern w:val="0"/>
          <w:sz w:val="32"/>
          <w:szCs w:val="32"/>
        </w:rPr>
        <w:t>申请公开情况</w:t>
      </w:r>
    </w:p>
    <w:p w:rsidR="009D2D4E" w:rsidRPr="00756BB7" w:rsidRDefault="009D2D4E"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kern w:val="0"/>
          <w:sz w:val="32"/>
          <w:szCs w:val="32"/>
        </w:rPr>
        <w:t>我</w:t>
      </w:r>
      <w:r w:rsidRPr="00756BB7">
        <w:rPr>
          <w:rFonts w:ascii="仿宋" w:eastAsia="仿宋" w:hAnsi="仿宋" w:cs="Arial" w:hint="eastAsia"/>
          <w:kern w:val="0"/>
          <w:sz w:val="32"/>
          <w:szCs w:val="32"/>
        </w:rPr>
        <w:t>地区</w:t>
      </w:r>
      <w:r w:rsidRPr="00756BB7">
        <w:rPr>
          <w:rFonts w:ascii="仿宋" w:eastAsia="仿宋" w:hAnsi="仿宋" w:cs="Arial"/>
          <w:kern w:val="0"/>
          <w:sz w:val="32"/>
          <w:szCs w:val="32"/>
        </w:rPr>
        <w:t>201</w:t>
      </w:r>
      <w:r w:rsidRPr="00756BB7">
        <w:rPr>
          <w:rFonts w:ascii="仿宋" w:eastAsia="仿宋" w:hAnsi="仿宋" w:cs="Arial" w:hint="eastAsia"/>
          <w:kern w:val="0"/>
          <w:sz w:val="32"/>
          <w:szCs w:val="32"/>
        </w:rPr>
        <w:t>4</w:t>
      </w:r>
      <w:r w:rsidRPr="00756BB7">
        <w:rPr>
          <w:rFonts w:ascii="仿宋" w:eastAsia="仿宋" w:hAnsi="仿宋" w:cs="Arial"/>
          <w:kern w:val="0"/>
          <w:sz w:val="32"/>
          <w:szCs w:val="32"/>
        </w:rPr>
        <w:t>年度共收到政府信息公开申请</w:t>
      </w:r>
      <w:r w:rsidR="006D5F93" w:rsidRPr="00756BB7">
        <w:rPr>
          <w:rFonts w:ascii="仿宋" w:eastAsia="仿宋" w:hAnsi="仿宋" w:cs="Arial" w:hint="eastAsia"/>
          <w:kern w:val="0"/>
          <w:sz w:val="32"/>
          <w:szCs w:val="32"/>
        </w:rPr>
        <w:t>0件</w:t>
      </w:r>
      <w:r w:rsidRPr="00756BB7">
        <w:rPr>
          <w:rFonts w:ascii="仿宋" w:eastAsia="仿宋" w:hAnsi="仿宋" w:cs="Arial"/>
          <w:kern w:val="0"/>
          <w:sz w:val="32"/>
          <w:szCs w:val="32"/>
        </w:rPr>
        <w:t>。</w:t>
      </w:r>
    </w:p>
    <w:p w:rsidR="00125D19" w:rsidRPr="00756BB7" w:rsidRDefault="00125D19" w:rsidP="00BC0326">
      <w:pPr>
        <w:widowControl/>
        <w:spacing w:line="560" w:lineRule="exact"/>
        <w:jc w:val="center"/>
        <w:rPr>
          <w:rFonts w:ascii="黑体" w:eastAsia="黑体" w:hAnsi="黑体" w:cs="Arial"/>
          <w:kern w:val="0"/>
          <w:sz w:val="32"/>
          <w:szCs w:val="32"/>
        </w:rPr>
      </w:pPr>
      <w:r w:rsidRPr="00756BB7">
        <w:rPr>
          <w:rFonts w:ascii="黑体" w:eastAsia="黑体" w:hAnsi="黑体" w:cs="Arial" w:hint="eastAsia"/>
          <w:kern w:val="0"/>
          <w:sz w:val="32"/>
          <w:szCs w:val="32"/>
        </w:rPr>
        <w:t>四、咨询情况</w:t>
      </w:r>
    </w:p>
    <w:p w:rsidR="00125D19" w:rsidRPr="00756BB7" w:rsidRDefault="00125D19"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2014年，我地区共接受公民、法人及其他组织政府信息公开方面的 1人次，属于现场咨询。</w:t>
      </w:r>
    </w:p>
    <w:p w:rsidR="00125D19" w:rsidRPr="00756BB7" w:rsidRDefault="00125D19" w:rsidP="00BC0326">
      <w:pPr>
        <w:widowControl/>
        <w:spacing w:line="560" w:lineRule="exact"/>
        <w:jc w:val="center"/>
        <w:rPr>
          <w:rFonts w:ascii="黑体" w:eastAsia="黑体" w:hAnsi="黑体" w:cs="Arial"/>
          <w:kern w:val="0"/>
          <w:sz w:val="32"/>
          <w:szCs w:val="32"/>
        </w:rPr>
      </w:pPr>
      <w:r w:rsidRPr="00756BB7">
        <w:rPr>
          <w:rFonts w:ascii="黑体" w:eastAsia="黑体" w:hAnsi="黑体" w:cs="Arial" w:hint="eastAsia"/>
          <w:kern w:val="0"/>
          <w:sz w:val="32"/>
          <w:szCs w:val="32"/>
        </w:rPr>
        <w:t>五、行政复议和行政诉讼情况</w:t>
      </w:r>
    </w:p>
    <w:p w:rsidR="00125D19" w:rsidRPr="00756BB7" w:rsidRDefault="00125D19"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2014年，针对我地区政府信息公开的行政复议0件。</w:t>
      </w:r>
    </w:p>
    <w:p w:rsidR="002653EE" w:rsidRPr="00756BB7" w:rsidRDefault="00125D19"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hint="eastAsia"/>
          <w:kern w:val="0"/>
          <w:sz w:val="32"/>
          <w:szCs w:val="32"/>
        </w:rPr>
        <w:t>针对我地区政府信息公开的行政诉讼1件，现已</w:t>
      </w:r>
      <w:r w:rsidR="00AD056D" w:rsidRPr="00756BB7">
        <w:rPr>
          <w:rFonts w:ascii="仿宋" w:eastAsia="仿宋" w:hAnsi="仿宋" w:cs="Arial" w:hint="eastAsia"/>
          <w:kern w:val="0"/>
          <w:sz w:val="32"/>
          <w:szCs w:val="32"/>
        </w:rPr>
        <w:t>按照法院要求进行答复</w:t>
      </w:r>
      <w:r w:rsidR="002653EE" w:rsidRPr="00756BB7">
        <w:rPr>
          <w:rFonts w:ascii="仿宋" w:eastAsia="仿宋" w:hAnsi="仿宋" w:cs="Arial"/>
          <w:kern w:val="0"/>
          <w:sz w:val="32"/>
          <w:szCs w:val="32"/>
        </w:rPr>
        <w:t>。</w:t>
      </w:r>
    </w:p>
    <w:p w:rsidR="002653EE" w:rsidRPr="00756BB7" w:rsidRDefault="00125D19" w:rsidP="00BC0326">
      <w:pPr>
        <w:widowControl/>
        <w:shd w:val="clear" w:color="auto" w:fill="FFFFFF"/>
        <w:spacing w:line="560" w:lineRule="exact"/>
        <w:jc w:val="center"/>
        <w:rPr>
          <w:rFonts w:ascii="黑体" w:eastAsia="黑体" w:hAnsi="黑体" w:cs="Arial"/>
          <w:kern w:val="0"/>
          <w:sz w:val="32"/>
          <w:szCs w:val="32"/>
        </w:rPr>
      </w:pPr>
      <w:r w:rsidRPr="00756BB7">
        <w:rPr>
          <w:rFonts w:ascii="黑体" w:eastAsia="黑体" w:hAnsi="黑体" w:cs="Arial" w:hint="eastAsia"/>
          <w:bCs/>
          <w:kern w:val="0"/>
          <w:sz w:val="32"/>
          <w:szCs w:val="32"/>
        </w:rPr>
        <w:t>六、</w:t>
      </w:r>
      <w:r w:rsidR="002653EE" w:rsidRPr="00756BB7">
        <w:rPr>
          <w:rFonts w:ascii="黑体" w:eastAsia="黑体" w:hAnsi="黑体" w:cs="Arial"/>
          <w:bCs/>
          <w:kern w:val="0"/>
          <w:sz w:val="32"/>
          <w:szCs w:val="32"/>
        </w:rPr>
        <w:t>主要问题</w:t>
      </w:r>
      <w:r w:rsidRPr="00756BB7">
        <w:rPr>
          <w:rFonts w:ascii="黑体" w:eastAsia="黑体" w:hAnsi="黑体" w:cs="Arial" w:hint="eastAsia"/>
          <w:bCs/>
          <w:kern w:val="0"/>
          <w:sz w:val="32"/>
          <w:szCs w:val="32"/>
        </w:rPr>
        <w:t>和改进措施</w:t>
      </w:r>
    </w:p>
    <w:p w:rsidR="002653EE" w:rsidRPr="00756BB7" w:rsidRDefault="002653EE" w:rsidP="00756BB7">
      <w:pPr>
        <w:widowControl/>
        <w:shd w:val="clear" w:color="auto" w:fill="FFFFFF"/>
        <w:spacing w:line="560" w:lineRule="exact"/>
        <w:ind w:firstLine="640"/>
        <w:jc w:val="left"/>
        <w:rPr>
          <w:rFonts w:ascii="仿宋" w:eastAsia="仿宋" w:hAnsi="仿宋" w:cs="Arial"/>
          <w:kern w:val="0"/>
          <w:sz w:val="32"/>
          <w:szCs w:val="32"/>
        </w:rPr>
      </w:pPr>
      <w:r w:rsidRPr="00756BB7">
        <w:rPr>
          <w:rFonts w:ascii="仿宋" w:eastAsia="仿宋" w:hAnsi="仿宋" w:cs="Arial"/>
          <w:kern w:val="0"/>
          <w:sz w:val="32"/>
          <w:szCs w:val="32"/>
        </w:rPr>
        <w:t>政务公开是顺应时代发展，转变政府部门职能的一项重大举措。今年以来，宛平城地区办事处信息公开和政务公开工作在区政府办公室的指导下，虽然取得了一些的成效，但是存在一定的问题，例如：有的工作人员对信息公开工作领会不够。</w:t>
      </w:r>
    </w:p>
    <w:p w:rsidR="002653EE" w:rsidRPr="00756BB7" w:rsidRDefault="002653EE" w:rsidP="00756BB7">
      <w:pPr>
        <w:widowControl/>
        <w:spacing w:line="560" w:lineRule="exact"/>
        <w:ind w:firstLine="643"/>
        <w:rPr>
          <w:rFonts w:ascii="仿宋" w:eastAsia="仿宋" w:hAnsi="仿宋" w:cs="Arial"/>
          <w:kern w:val="0"/>
          <w:sz w:val="32"/>
          <w:szCs w:val="32"/>
        </w:rPr>
      </w:pPr>
      <w:r w:rsidRPr="00756BB7">
        <w:rPr>
          <w:rFonts w:ascii="仿宋" w:eastAsia="仿宋" w:hAnsi="仿宋" w:cs="Arial"/>
          <w:bCs/>
          <w:kern w:val="0"/>
          <w:sz w:val="32"/>
          <w:szCs w:val="32"/>
        </w:rPr>
        <w:t>下一步工作思路：</w:t>
      </w:r>
    </w:p>
    <w:p w:rsidR="002653EE" w:rsidRPr="00756BB7" w:rsidRDefault="002653EE" w:rsidP="00756BB7">
      <w:pPr>
        <w:widowControl/>
        <w:shd w:val="clear" w:color="auto" w:fill="FFFFFF"/>
        <w:spacing w:line="560" w:lineRule="exact"/>
        <w:ind w:firstLine="640"/>
        <w:jc w:val="left"/>
        <w:rPr>
          <w:rFonts w:ascii="仿宋" w:eastAsia="仿宋" w:hAnsi="仿宋" w:cs="Arial"/>
          <w:kern w:val="0"/>
          <w:sz w:val="32"/>
          <w:szCs w:val="32"/>
        </w:rPr>
      </w:pPr>
      <w:r w:rsidRPr="00756BB7">
        <w:rPr>
          <w:rFonts w:ascii="仿宋" w:eastAsia="仿宋" w:hAnsi="仿宋" w:cs="Arial"/>
          <w:kern w:val="0"/>
          <w:sz w:val="32"/>
          <w:szCs w:val="32"/>
        </w:rPr>
        <w:t xml:space="preserve">（一）做好政务公开工作规划，充分发挥政务公开工作推动地区行政工作的积极作用。 </w:t>
      </w:r>
    </w:p>
    <w:p w:rsidR="002653EE" w:rsidRPr="00756BB7" w:rsidRDefault="002653EE" w:rsidP="00756BB7">
      <w:pPr>
        <w:widowControl/>
        <w:shd w:val="clear" w:color="auto" w:fill="FFFFFF"/>
        <w:spacing w:line="560" w:lineRule="exact"/>
        <w:ind w:firstLine="640"/>
        <w:jc w:val="left"/>
        <w:rPr>
          <w:rFonts w:ascii="仿宋" w:eastAsia="仿宋" w:hAnsi="仿宋" w:cs="Arial"/>
          <w:kern w:val="0"/>
          <w:sz w:val="32"/>
          <w:szCs w:val="32"/>
        </w:rPr>
      </w:pPr>
      <w:r w:rsidRPr="00756BB7">
        <w:rPr>
          <w:rFonts w:ascii="仿宋" w:eastAsia="仿宋" w:hAnsi="仿宋" w:cs="Arial"/>
          <w:kern w:val="0"/>
          <w:sz w:val="32"/>
          <w:szCs w:val="32"/>
        </w:rPr>
        <w:lastRenderedPageBreak/>
        <w:t xml:space="preserve">（二）将政府信息公开与依法行政相结合。《政府信息公开条例》实施后，此项工作就成为政府的一个法定义务，承担政府信息公开工作的机构将负有法定责任，只有以法律为基础，依法行政，才能在信息收集、信息整理、信息完善与更新等方面具有更大的权威性，才能更好地发挥协调、管理和督查作用。 </w:t>
      </w:r>
    </w:p>
    <w:p w:rsidR="002653EE" w:rsidRPr="00756BB7" w:rsidRDefault="00AD056D"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kern w:val="0"/>
          <w:sz w:val="32"/>
          <w:szCs w:val="32"/>
        </w:rPr>
        <w:t>（三）</w:t>
      </w:r>
      <w:r w:rsidR="002653EE" w:rsidRPr="00756BB7">
        <w:rPr>
          <w:rFonts w:ascii="仿宋" w:eastAsia="仿宋" w:hAnsi="仿宋" w:cs="Arial"/>
          <w:kern w:val="0"/>
          <w:sz w:val="32"/>
          <w:szCs w:val="32"/>
        </w:rPr>
        <w:t>加大培训力度。争取和创造条件，对相关人员进行培训，提高工作水平。</w:t>
      </w:r>
    </w:p>
    <w:p w:rsidR="002653EE" w:rsidRDefault="00AD056D" w:rsidP="00756BB7">
      <w:pPr>
        <w:widowControl/>
        <w:spacing w:line="560" w:lineRule="exact"/>
        <w:ind w:firstLine="640"/>
        <w:rPr>
          <w:rFonts w:ascii="仿宋" w:eastAsia="仿宋" w:hAnsi="仿宋" w:cs="Arial"/>
          <w:kern w:val="0"/>
          <w:sz w:val="32"/>
          <w:szCs w:val="32"/>
        </w:rPr>
      </w:pPr>
      <w:r w:rsidRPr="00756BB7">
        <w:rPr>
          <w:rFonts w:ascii="仿宋" w:eastAsia="仿宋" w:hAnsi="仿宋" w:cs="Arial"/>
          <w:kern w:val="0"/>
          <w:sz w:val="32"/>
          <w:szCs w:val="32"/>
        </w:rPr>
        <w:t>（四）</w:t>
      </w:r>
      <w:r w:rsidR="002653EE" w:rsidRPr="00756BB7">
        <w:rPr>
          <w:rFonts w:ascii="仿宋" w:eastAsia="仿宋" w:hAnsi="仿宋" w:cs="Arial"/>
          <w:kern w:val="0"/>
          <w:sz w:val="32"/>
          <w:szCs w:val="32"/>
        </w:rPr>
        <w:t>加大资金投入，为今后网站建设提供必要的资金保障。</w:t>
      </w:r>
    </w:p>
    <w:p w:rsidR="00BC0326" w:rsidRPr="00BC0326" w:rsidRDefault="00BC0326" w:rsidP="00BC0326">
      <w:pPr>
        <w:widowControl/>
        <w:spacing w:line="560" w:lineRule="exact"/>
        <w:jc w:val="center"/>
        <w:rPr>
          <w:rFonts w:ascii="黑体" w:eastAsia="黑体" w:hAnsi="黑体" w:cs="Arial"/>
          <w:kern w:val="0"/>
          <w:sz w:val="32"/>
          <w:szCs w:val="32"/>
        </w:rPr>
      </w:pPr>
      <w:r w:rsidRPr="00BC0326">
        <w:rPr>
          <w:rFonts w:ascii="黑体" w:eastAsia="黑体" w:hAnsi="黑体" w:cs="Arial" w:hint="eastAsia"/>
          <w:kern w:val="0"/>
          <w:sz w:val="32"/>
          <w:szCs w:val="32"/>
        </w:rPr>
        <w:t>七、附表</w:t>
      </w:r>
    </w:p>
    <w:p w:rsidR="00BC0326" w:rsidRPr="00BC0326" w:rsidRDefault="00BC0326" w:rsidP="00BC0326">
      <w:pPr>
        <w:widowControl/>
        <w:spacing w:line="560" w:lineRule="exact"/>
        <w:jc w:val="center"/>
        <w:rPr>
          <w:rFonts w:ascii="仿宋" w:eastAsia="仿宋" w:hAnsi="仿宋" w:cs="Arial"/>
          <w:kern w:val="0"/>
          <w:sz w:val="28"/>
          <w:szCs w:val="28"/>
        </w:rPr>
      </w:pPr>
      <w:r w:rsidRPr="00BC0326">
        <w:rPr>
          <w:rFonts w:ascii="仿宋" w:eastAsia="仿宋" w:hAnsi="仿宋" w:cs="Arial" w:hint="eastAsia"/>
          <w:kern w:val="0"/>
          <w:sz w:val="28"/>
          <w:szCs w:val="28"/>
        </w:rPr>
        <w:t>附表一：主动公开情况统计</w:t>
      </w:r>
    </w:p>
    <w:tbl>
      <w:tblPr>
        <w:tblStyle w:val="a8"/>
        <w:tblW w:w="0" w:type="auto"/>
        <w:tblLook w:val="04A0" w:firstRow="1" w:lastRow="0" w:firstColumn="1" w:lastColumn="0" w:noHBand="0" w:noVBand="1"/>
      </w:tblPr>
      <w:tblGrid>
        <w:gridCol w:w="4077"/>
        <w:gridCol w:w="1604"/>
        <w:gridCol w:w="2841"/>
      </w:tblGrid>
      <w:tr w:rsidR="00BC0326" w:rsidTr="00BC0326">
        <w:tc>
          <w:tcPr>
            <w:tcW w:w="4077" w:type="dxa"/>
          </w:tcPr>
          <w:p w:rsidR="00BC0326" w:rsidRDefault="00BC0326"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指标</w:t>
            </w:r>
          </w:p>
        </w:tc>
        <w:tc>
          <w:tcPr>
            <w:tcW w:w="1604" w:type="dxa"/>
          </w:tcPr>
          <w:p w:rsidR="00BC0326" w:rsidRDefault="00BC0326"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单位</w:t>
            </w:r>
          </w:p>
        </w:tc>
        <w:tc>
          <w:tcPr>
            <w:tcW w:w="2841" w:type="dxa"/>
          </w:tcPr>
          <w:p w:rsidR="00BC0326" w:rsidRDefault="00BC0326"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数量</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主动公开信息数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1183</w:t>
            </w:r>
          </w:p>
        </w:tc>
      </w:tr>
    </w:tbl>
    <w:p w:rsidR="00BC0326" w:rsidRPr="00BC0326" w:rsidRDefault="00BC0326" w:rsidP="00BC0326">
      <w:pPr>
        <w:widowControl/>
        <w:spacing w:line="560" w:lineRule="exact"/>
        <w:jc w:val="center"/>
        <w:rPr>
          <w:rFonts w:ascii="仿宋" w:eastAsia="仿宋" w:hAnsi="仿宋" w:cs="Arial"/>
          <w:kern w:val="0"/>
          <w:sz w:val="28"/>
          <w:szCs w:val="28"/>
        </w:rPr>
      </w:pPr>
      <w:r w:rsidRPr="00BC0326">
        <w:rPr>
          <w:rFonts w:ascii="仿宋" w:eastAsia="仿宋" w:hAnsi="仿宋" w:cs="Arial" w:hint="eastAsia"/>
          <w:kern w:val="0"/>
          <w:sz w:val="28"/>
          <w:szCs w:val="28"/>
        </w:rPr>
        <w:t>附表二：依申请公开情况统计</w:t>
      </w:r>
    </w:p>
    <w:tbl>
      <w:tblPr>
        <w:tblStyle w:val="a8"/>
        <w:tblW w:w="0" w:type="auto"/>
        <w:tblLook w:val="04A0" w:firstRow="1" w:lastRow="0" w:firstColumn="1" w:lastColumn="0" w:noHBand="0" w:noVBand="1"/>
      </w:tblPr>
      <w:tblGrid>
        <w:gridCol w:w="4077"/>
        <w:gridCol w:w="1604"/>
        <w:gridCol w:w="2841"/>
      </w:tblGrid>
      <w:tr w:rsidR="00BC0326" w:rsidTr="00BC0326">
        <w:tc>
          <w:tcPr>
            <w:tcW w:w="4077" w:type="dxa"/>
          </w:tcPr>
          <w:p w:rsidR="00BC0326" w:rsidRDefault="00BC0326"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指标</w:t>
            </w:r>
          </w:p>
        </w:tc>
        <w:tc>
          <w:tcPr>
            <w:tcW w:w="1604" w:type="dxa"/>
          </w:tcPr>
          <w:p w:rsidR="00BC0326" w:rsidRDefault="00BC0326"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单位</w:t>
            </w:r>
          </w:p>
        </w:tc>
        <w:tc>
          <w:tcPr>
            <w:tcW w:w="2841" w:type="dxa"/>
          </w:tcPr>
          <w:p w:rsidR="00BC0326" w:rsidRDefault="00BC0326"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数量</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本年度申请总数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其中：1.当面申请数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 xml:space="preserve">      2.传真申请数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 xml:space="preserve">      3.互联网申请数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 xml:space="preserve">      4.信函申请数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对申请的答复总数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其中：1.同意公开答复数</w:t>
            </w:r>
          </w:p>
        </w:tc>
        <w:tc>
          <w:tcPr>
            <w:tcW w:w="1604"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 xml:space="preserve">      2.同意部分公开答复数</w:t>
            </w:r>
          </w:p>
        </w:tc>
        <w:tc>
          <w:tcPr>
            <w:tcW w:w="1604"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lastRenderedPageBreak/>
              <w:t xml:space="preserve">      3.不予公开答复总数</w:t>
            </w:r>
          </w:p>
        </w:tc>
        <w:tc>
          <w:tcPr>
            <w:tcW w:w="1604"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 xml:space="preserve">      4.信息不存在数</w:t>
            </w:r>
          </w:p>
        </w:tc>
        <w:tc>
          <w:tcPr>
            <w:tcW w:w="1604"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 xml:space="preserve">      5.非本机关掌握</w:t>
            </w:r>
          </w:p>
        </w:tc>
        <w:tc>
          <w:tcPr>
            <w:tcW w:w="1604"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C0326" w:rsidTr="00BC0326">
        <w:tc>
          <w:tcPr>
            <w:tcW w:w="4077"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 xml:space="preserve">      6.申请内容不明确</w:t>
            </w:r>
          </w:p>
        </w:tc>
        <w:tc>
          <w:tcPr>
            <w:tcW w:w="1604"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条</w:t>
            </w:r>
          </w:p>
        </w:tc>
        <w:tc>
          <w:tcPr>
            <w:tcW w:w="2841" w:type="dxa"/>
          </w:tcPr>
          <w:p w:rsidR="00BC0326" w:rsidRDefault="00BC0326" w:rsidP="0067530B">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bl>
    <w:p w:rsidR="00BC0326" w:rsidRPr="00BC0326" w:rsidRDefault="00BC0326" w:rsidP="00BC0326">
      <w:pPr>
        <w:widowControl/>
        <w:spacing w:line="560" w:lineRule="exact"/>
        <w:jc w:val="center"/>
        <w:rPr>
          <w:rFonts w:ascii="仿宋" w:eastAsia="仿宋" w:hAnsi="仿宋" w:cs="Arial"/>
          <w:kern w:val="0"/>
          <w:sz w:val="28"/>
          <w:szCs w:val="28"/>
        </w:rPr>
      </w:pPr>
      <w:r w:rsidRPr="00BC0326">
        <w:rPr>
          <w:rFonts w:ascii="仿宋" w:eastAsia="仿宋" w:hAnsi="仿宋" w:cs="Arial" w:hint="eastAsia"/>
          <w:kern w:val="0"/>
          <w:sz w:val="28"/>
          <w:szCs w:val="28"/>
        </w:rPr>
        <w:t>附表三：咨询情况统计</w:t>
      </w:r>
    </w:p>
    <w:tbl>
      <w:tblPr>
        <w:tblStyle w:val="a8"/>
        <w:tblW w:w="0" w:type="auto"/>
        <w:tblLook w:val="04A0" w:firstRow="1" w:lastRow="0" w:firstColumn="1" w:lastColumn="0" w:noHBand="0" w:noVBand="1"/>
      </w:tblPr>
      <w:tblGrid>
        <w:gridCol w:w="4077"/>
        <w:gridCol w:w="1604"/>
        <w:gridCol w:w="2841"/>
      </w:tblGrid>
      <w:tr w:rsidR="00BA041D" w:rsidTr="00BA041D">
        <w:tc>
          <w:tcPr>
            <w:tcW w:w="4077" w:type="dxa"/>
          </w:tcPr>
          <w:p w:rsidR="00BA041D" w:rsidRDefault="00BA041D"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指标</w:t>
            </w:r>
          </w:p>
        </w:tc>
        <w:tc>
          <w:tcPr>
            <w:tcW w:w="1604" w:type="dxa"/>
          </w:tcPr>
          <w:p w:rsidR="00BA041D" w:rsidRDefault="00BA041D"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单位</w:t>
            </w:r>
          </w:p>
        </w:tc>
        <w:tc>
          <w:tcPr>
            <w:tcW w:w="2841" w:type="dxa"/>
          </w:tcPr>
          <w:p w:rsidR="00BA041D" w:rsidRDefault="00BA041D" w:rsidP="00BA041D">
            <w:pPr>
              <w:widowControl/>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数量</w:t>
            </w:r>
          </w:p>
        </w:tc>
      </w:tr>
      <w:tr w:rsidR="00BA041D" w:rsidTr="00BA041D">
        <w:tc>
          <w:tcPr>
            <w:tcW w:w="4077"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现场咨询数</w:t>
            </w:r>
          </w:p>
        </w:tc>
        <w:tc>
          <w:tcPr>
            <w:tcW w:w="1604"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次</w:t>
            </w:r>
          </w:p>
        </w:tc>
        <w:tc>
          <w:tcPr>
            <w:tcW w:w="2841"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1</w:t>
            </w:r>
          </w:p>
        </w:tc>
      </w:tr>
      <w:tr w:rsidR="00BA041D" w:rsidTr="00BA041D">
        <w:tc>
          <w:tcPr>
            <w:tcW w:w="4077"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电话咨询数</w:t>
            </w:r>
          </w:p>
        </w:tc>
        <w:tc>
          <w:tcPr>
            <w:tcW w:w="1604"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次</w:t>
            </w:r>
          </w:p>
        </w:tc>
        <w:tc>
          <w:tcPr>
            <w:tcW w:w="2841"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r w:rsidR="00BA041D" w:rsidTr="00BA041D">
        <w:tc>
          <w:tcPr>
            <w:tcW w:w="4077"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网上咨询数</w:t>
            </w:r>
          </w:p>
        </w:tc>
        <w:tc>
          <w:tcPr>
            <w:tcW w:w="1604"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次</w:t>
            </w:r>
          </w:p>
        </w:tc>
        <w:tc>
          <w:tcPr>
            <w:tcW w:w="2841" w:type="dxa"/>
          </w:tcPr>
          <w:p w:rsidR="00BA041D" w:rsidRDefault="00BA041D" w:rsidP="00BC0326">
            <w:pPr>
              <w:widowControl/>
              <w:spacing w:line="560" w:lineRule="exact"/>
              <w:rPr>
                <w:rFonts w:ascii="仿宋" w:eastAsia="仿宋" w:hAnsi="仿宋" w:cs="Arial"/>
                <w:kern w:val="0"/>
                <w:sz w:val="28"/>
                <w:szCs w:val="28"/>
              </w:rPr>
            </w:pPr>
            <w:r>
              <w:rPr>
                <w:rFonts w:ascii="仿宋" w:eastAsia="仿宋" w:hAnsi="仿宋" w:cs="Arial" w:hint="eastAsia"/>
                <w:kern w:val="0"/>
                <w:sz w:val="28"/>
                <w:szCs w:val="28"/>
              </w:rPr>
              <w:t>0</w:t>
            </w:r>
          </w:p>
        </w:tc>
      </w:tr>
    </w:tbl>
    <w:p w:rsidR="00BC0326" w:rsidRPr="00BC0326" w:rsidRDefault="00BC0326" w:rsidP="00BC0326">
      <w:pPr>
        <w:widowControl/>
        <w:spacing w:line="560" w:lineRule="exact"/>
        <w:jc w:val="center"/>
        <w:rPr>
          <w:rFonts w:ascii="仿宋" w:eastAsia="仿宋" w:hAnsi="仿宋" w:cs="Arial"/>
          <w:kern w:val="0"/>
          <w:sz w:val="28"/>
          <w:szCs w:val="28"/>
        </w:rPr>
      </w:pPr>
      <w:r w:rsidRPr="00BC0326">
        <w:rPr>
          <w:rFonts w:ascii="仿宋" w:eastAsia="仿宋" w:hAnsi="仿宋" w:cs="Arial" w:hint="eastAsia"/>
          <w:kern w:val="0"/>
          <w:sz w:val="28"/>
          <w:szCs w:val="28"/>
        </w:rPr>
        <w:t>附表四：复议、诉讼、申请情况统计表</w:t>
      </w:r>
    </w:p>
    <w:tbl>
      <w:tblPr>
        <w:tblStyle w:val="a8"/>
        <w:tblW w:w="0" w:type="auto"/>
        <w:tblLook w:val="04A0" w:firstRow="1" w:lastRow="0" w:firstColumn="1" w:lastColumn="0" w:noHBand="0" w:noVBand="1"/>
      </w:tblPr>
      <w:tblGrid>
        <w:gridCol w:w="4077"/>
        <w:gridCol w:w="1604"/>
        <w:gridCol w:w="2841"/>
      </w:tblGrid>
      <w:tr w:rsidR="00BA041D" w:rsidTr="00BA041D">
        <w:tc>
          <w:tcPr>
            <w:tcW w:w="4077" w:type="dxa"/>
          </w:tcPr>
          <w:p w:rsidR="00BA041D" w:rsidRDefault="00BA041D" w:rsidP="00BA041D">
            <w:pPr>
              <w:spacing w:line="560" w:lineRule="exact"/>
              <w:jc w:val="center"/>
              <w:rPr>
                <w:rFonts w:ascii="仿宋" w:eastAsia="仿宋" w:hAnsi="仿宋"/>
                <w:sz w:val="32"/>
                <w:szCs w:val="32"/>
              </w:rPr>
            </w:pPr>
            <w:r>
              <w:rPr>
                <w:rFonts w:ascii="仿宋" w:eastAsia="仿宋" w:hAnsi="仿宋" w:hint="eastAsia"/>
                <w:sz w:val="32"/>
                <w:szCs w:val="32"/>
              </w:rPr>
              <w:t>指标</w:t>
            </w:r>
          </w:p>
        </w:tc>
        <w:tc>
          <w:tcPr>
            <w:tcW w:w="1604" w:type="dxa"/>
          </w:tcPr>
          <w:p w:rsidR="00BA041D" w:rsidRDefault="00BA041D" w:rsidP="00BA041D">
            <w:pPr>
              <w:spacing w:line="560" w:lineRule="exact"/>
              <w:jc w:val="center"/>
              <w:rPr>
                <w:rFonts w:ascii="仿宋" w:eastAsia="仿宋" w:hAnsi="仿宋"/>
                <w:sz w:val="32"/>
                <w:szCs w:val="32"/>
              </w:rPr>
            </w:pPr>
            <w:r>
              <w:rPr>
                <w:rFonts w:ascii="仿宋" w:eastAsia="仿宋" w:hAnsi="仿宋" w:hint="eastAsia"/>
                <w:sz w:val="32"/>
                <w:szCs w:val="32"/>
              </w:rPr>
              <w:t>单位</w:t>
            </w:r>
          </w:p>
        </w:tc>
        <w:tc>
          <w:tcPr>
            <w:tcW w:w="2841" w:type="dxa"/>
          </w:tcPr>
          <w:p w:rsidR="00BA041D" w:rsidRDefault="00BA041D" w:rsidP="00BA041D">
            <w:pPr>
              <w:spacing w:line="560" w:lineRule="exact"/>
              <w:jc w:val="center"/>
              <w:rPr>
                <w:rFonts w:ascii="仿宋" w:eastAsia="仿宋" w:hAnsi="仿宋"/>
                <w:sz w:val="32"/>
                <w:szCs w:val="32"/>
              </w:rPr>
            </w:pPr>
            <w:r>
              <w:rPr>
                <w:rFonts w:ascii="仿宋" w:eastAsia="仿宋" w:hAnsi="仿宋" w:hint="eastAsia"/>
                <w:sz w:val="32"/>
                <w:szCs w:val="32"/>
              </w:rPr>
              <w:t>数量</w:t>
            </w:r>
          </w:p>
        </w:tc>
      </w:tr>
      <w:tr w:rsidR="00BA041D" w:rsidTr="00BA041D">
        <w:tc>
          <w:tcPr>
            <w:tcW w:w="4077"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行政复议数</w:t>
            </w:r>
          </w:p>
        </w:tc>
        <w:tc>
          <w:tcPr>
            <w:tcW w:w="1604"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件</w:t>
            </w:r>
          </w:p>
        </w:tc>
        <w:tc>
          <w:tcPr>
            <w:tcW w:w="2841"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0</w:t>
            </w:r>
          </w:p>
        </w:tc>
      </w:tr>
      <w:tr w:rsidR="00BA041D" w:rsidTr="00BA041D">
        <w:tc>
          <w:tcPr>
            <w:tcW w:w="4077"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行政诉讼数</w:t>
            </w:r>
          </w:p>
        </w:tc>
        <w:tc>
          <w:tcPr>
            <w:tcW w:w="1604"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件</w:t>
            </w:r>
          </w:p>
        </w:tc>
        <w:tc>
          <w:tcPr>
            <w:tcW w:w="2841"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1</w:t>
            </w:r>
          </w:p>
        </w:tc>
      </w:tr>
      <w:tr w:rsidR="00BA041D" w:rsidTr="00BA041D">
        <w:tc>
          <w:tcPr>
            <w:tcW w:w="4077"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行政申诉数</w:t>
            </w:r>
          </w:p>
        </w:tc>
        <w:tc>
          <w:tcPr>
            <w:tcW w:w="1604"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件</w:t>
            </w:r>
          </w:p>
        </w:tc>
        <w:tc>
          <w:tcPr>
            <w:tcW w:w="2841" w:type="dxa"/>
          </w:tcPr>
          <w:p w:rsidR="00BA041D" w:rsidRDefault="00BA041D" w:rsidP="00756BB7">
            <w:pPr>
              <w:spacing w:line="560" w:lineRule="exact"/>
              <w:rPr>
                <w:rFonts w:ascii="仿宋" w:eastAsia="仿宋" w:hAnsi="仿宋"/>
                <w:sz w:val="32"/>
                <w:szCs w:val="32"/>
              </w:rPr>
            </w:pPr>
            <w:r>
              <w:rPr>
                <w:rFonts w:ascii="仿宋" w:eastAsia="仿宋" w:hAnsi="仿宋" w:hint="eastAsia"/>
                <w:sz w:val="32"/>
                <w:szCs w:val="32"/>
              </w:rPr>
              <w:t>0</w:t>
            </w:r>
          </w:p>
        </w:tc>
      </w:tr>
    </w:tbl>
    <w:p w:rsidR="00E33D9F" w:rsidRPr="00756BB7" w:rsidRDefault="00E33D9F" w:rsidP="00756BB7">
      <w:pPr>
        <w:spacing w:line="560" w:lineRule="exact"/>
        <w:rPr>
          <w:rFonts w:ascii="仿宋" w:eastAsia="仿宋" w:hAnsi="仿宋"/>
          <w:sz w:val="32"/>
          <w:szCs w:val="32"/>
        </w:rPr>
      </w:pPr>
    </w:p>
    <w:sectPr w:rsidR="00E33D9F" w:rsidRPr="00756BB7" w:rsidSect="00E33D9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42" w:rsidRDefault="007D1D42" w:rsidP="00AD056D">
      <w:r>
        <w:separator/>
      </w:r>
    </w:p>
  </w:endnote>
  <w:endnote w:type="continuationSeparator" w:id="0">
    <w:p w:rsidR="007D1D42" w:rsidRDefault="007D1D42" w:rsidP="00AD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0289"/>
      <w:docPartObj>
        <w:docPartGallery w:val="Page Numbers (Bottom of Page)"/>
        <w:docPartUnique/>
      </w:docPartObj>
    </w:sdtPr>
    <w:sdtEndPr/>
    <w:sdtContent>
      <w:p w:rsidR="00616A11" w:rsidRDefault="007D1D42">
        <w:pPr>
          <w:pStyle w:val="a5"/>
          <w:jc w:val="center"/>
        </w:pPr>
        <w:r>
          <w:fldChar w:fldCharType="begin"/>
        </w:r>
        <w:r>
          <w:instrText xml:space="preserve"> PAGE   \* MERGEFORMAT </w:instrText>
        </w:r>
        <w:r>
          <w:fldChar w:fldCharType="separate"/>
        </w:r>
        <w:r w:rsidR="00FE17E2" w:rsidRPr="00FE17E2">
          <w:rPr>
            <w:noProof/>
            <w:lang w:val="zh-CN"/>
          </w:rPr>
          <w:t>1</w:t>
        </w:r>
        <w:r>
          <w:rPr>
            <w:noProof/>
            <w:lang w:val="zh-CN"/>
          </w:rPr>
          <w:fldChar w:fldCharType="end"/>
        </w:r>
      </w:p>
    </w:sdtContent>
  </w:sdt>
  <w:p w:rsidR="00616A11" w:rsidRDefault="00616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42" w:rsidRDefault="007D1D42" w:rsidP="00AD056D">
      <w:r>
        <w:separator/>
      </w:r>
    </w:p>
  </w:footnote>
  <w:footnote w:type="continuationSeparator" w:id="0">
    <w:p w:rsidR="007D1D42" w:rsidRDefault="007D1D42" w:rsidP="00AD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53EE"/>
    <w:rsid w:val="00125D19"/>
    <w:rsid w:val="002653EE"/>
    <w:rsid w:val="0033424F"/>
    <w:rsid w:val="00616A11"/>
    <w:rsid w:val="006D5F93"/>
    <w:rsid w:val="00756BB7"/>
    <w:rsid w:val="007D1D42"/>
    <w:rsid w:val="009D2D4E"/>
    <w:rsid w:val="00AD056D"/>
    <w:rsid w:val="00B30F5D"/>
    <w:rsid w:val="00B34592"/>
    <w:rsid w:val="00BA041D"/>
    <w:rsid w:val="00BC0326"/>
    <w:rsid w:val="00C154E1"/>
    <w:rsid w:val="00E1721C"/>
    <w:rsid w:val="00E33D9F"/>
    <w:rsid w:val="00EA061C"/>
    <w:rsid w:val="00ED4B69"/>
    <w:rsid w:val="00F93EB5"/>
    <w:rsid w:val="00FC207A"/>
    <w:rsid w:val="00FD68DE"/>
    <w:rsid w:val="00FE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6A39F-8672-401B-BD5E-7F2FD5EA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53EE"/>
    <w:rPr>
      <w:b/>
      <w:bCs/>
    </w:rPr>
  </w:style>
  <w:style w:type="paragraph" w:styleId="a4">
    <w:name w:val="header"/>
    <w:basedOn w:val="a"/>
    <w:link w:val="Char"/>
    <w:uiPriority w:val="99"/>
    <w:semiHidden/>
    <w:unhideWhenUsed/>
    <w:rsid w:val="00AD0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056D"/>
    <w:rPr>
      <w:sz w:val="18"/>
      <w:szCs w:val="18"/>
    </w:rPr>
  </w:style>
  <w:style w:type="paragraph" w:styleId="a5">
    <w:name w:val="footer"/>
    <w:basedOn w:val="a"/>
    <w:link w:val="Char0"/>
    <w:uiPriority w:val="99"/>
    <w:unhideWhenUsed/>
    <w:rsid w:val="00AD056D"/>
    <w:pPr>
      <w:tabs>
        <w:tab w:val="center" w:pos="4153"/>
        <w:tab w:val="right" w:pos="8306"/>
      </w:tabs>
      <w:snapToGrid w:val="0"/>
      <w:jc w:val="left"/>
    </w:pPr>
    <w:rPr>
      <w:sz w:val="18"/>
      <w:szCs w:val="18"/>
    </w:rPr>
  </w:style>
  <w:style w:type="character" w:customStyle="1" w:styleId="Char0">
    <w:name w:val="页脚 Char"/>
    <w:basedOn w:val="a0"/>
    <w:link w:val="a5"/>
    <w:uiPriority w:val="99"/>
    <w:rsid w:val="00AD056D"/>
    <w:rPr>
      <w:sz w:val="18"/>
      <w:szCs w:val="18"/>
    </w:rPr>
  </w:style>
  <w:style w:type="character" w:styleId="a6">
    <w:name w:val="Hyperlink"/>
    <w:basedOn w:val="a0"/>
    <w:uiPriority w:val="99"/>
    <w:unhideWhenUsed/>
    <w:rsid w:val="009D2D4E"/>
    <w:rPr>
      <w:color w:val="0000FF" w:themeColor="hyperlink"/>
      <w:u w:val="single"/>
    </w:rPr>
  </w:style>
  <w:style w:type="paragraph" w:styleId="a7">
    <w:name w:val="List Paragraph"/>
    <w:basedOn w:val="a"/>
    <w:uiPriority w:val="34"/>
    <w:qFormat/>
    <w:rsid w:val="009D2D4E"/>
    <w:pPr>
      <w:ind w:firstLineChars="200" w:firstLine="420"/>
    </w:pPr>
  </w:style>
  <w:style w:type="table" w:styleId="a8">
    <w:name w:val="Table Grid"/>
    <w:basedOn w:val="a1"/>
    <w:uiPriority w:val="59"/>
    <w:rsid w:val="00BC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04127">
      <w:bodyDiv w:val="1"/>
      <w:marLeft w:val="0"/>
      <w:marRight w:val="0"/>
      <w:marTop w:val="0"/>
      <w:marBottom w:val="0"/>
      <w:divBdr>
        <w:top w:val="none" w:sz="0" w:space="0" w:color="auto"/>
        <w:left w:val="none" w:sz="0" w:space="0" w:color="auto"/>
        <w:bottom w:val="none" w:sz="0" w:space="0" w:color="auto"/>
        <w:right w:val="none" w:sz="0" w:space="0" w:color="auto"/>
      </w:divBdr>
      <w:divsChild>
        <w:div w:id="1844736842">
          <w:marLeft w:val="0"/>
          <w:marRight w:val="0"/>
          <w:marTop w:val="312"/>
          <w:marBottom w:val="312"/>
          <w:divBdr>
            <w:top w:val="none" w:sz="0" w:space="0" w:color="auto"/>
            <w:left w:val="none" w:sz="0" w:space="0" w:color="auto"/>
            <w:bottom w:val="none" w:sz="0" w:space="0" w:color="auto"/>
            <w:right w:val="none" w:sz="0" w:space="0" w:color="auto"/>
          </w:divBdr>
        </w:div>
        <w:div w:id="2072801025">
          <w:marLeft w:val="0"/>
          <w:marRight w:val="0"/>
          <w:marTop w:val="312"/>
          <w:marBottom w:val="312"/>
          <w:divBdr>
            <w:top w:val="none" w:sz="0" w:space="0" w:color="auto"/>
            <w:left w:val="none" w:sz="0" w:space="0" w:color="auto"/>
            <w:bottom w:val="none" w:sz="0" w:space="0" w:color="auto"/>
            <w:right w:val="none" w:sz="0" w:space="0" w:color="auto"/>
          </w:divBdr>
        </w:div>
        <w:div w:id="682584841">
          <w:marLeft w:val="0"/>
          <w:marRight w:val="0"/>
          <w:marTop w:val="0"/>
          <w:marBottom w:val="0"/>
          <w:divBdr>
            <w:top w:val="none" w:sz="0" w:space="0" w:color="auto"/>
            <w:left w:val="none" w:sz="0" w:space="0" w:color="auto"/>
            <w:bottom w:val="none" w:sz="0" w:space="0" w:color="auto"/>
            <w:right w:val="none" w:sz="0" w:space="0" w:color="auto"/>
          </w:divBdr>
        </w:div>
        <w:div w:id="1574925100">
          <w:marLeft w:val="0"/>
          <w:marRight w:val="0"/>
          <w:marTop w:val="0"/>
          <w:marBottom w:val="0"/>
          <w:divBdr>
            <w:top w:val="none" w:sz="0" w:space="0" w:color="auto"/>
            <w:left w:val="none" w:sz="0" w:space="0" w:color="auto"/>
            <w:bottom w:val="none" w:sz="0" w:space="0" w:color="auto"/>
            <w:right w:val="none" w:sz="0" w:space="0" w:color="auto"/>
          </w:divBdr>
        </w:div>
        <w:div w:id="350690249">
          <w:marLeft w:val="0"/>
          <w:marRight w:val="0"/>
          <w:marTop w:val="0"/>
          <w:marBottom w:val="0"/>
          <w:divBdr>
            <w:top w:val="none" w:sz="0" w:space="0" w:color="auto"/>
            <w:left w:val="none" w:sz="0" w:space="0" w:color="auto"/>
            <w:bottom w:val="none" w:sz="0" w:space="0" w:color="auto"/>
            <w:right w:val="none" w:sz="0" w:space="0" w:color="auto"/>
          </w:divBdr>
        </w:div>
        <w:div w:id="124005971">
          <w:marLeft w:val="0"/>
          <w:marRight w:val="0"/>
          <w:marTop w:val="0"/>
          <w:marBottom w:val="0"/>
          <w:divBdr>
            <w:top w:val="none" w:sz="0" w:space="0" w:color="auto"/>
            <w:left w:val="none" w:sz="0" w:space="0" w:color="auto"/>
            <w:bottom w:val="none" w:sz="0" w:space="0" w:color="auto"/>
            <w:right w:val="none" w:sz="0" w:space="0" w:color="auto"/>
          </w:divBdr>
        </w:div>
        <w:div w:id="1015687055">
          <w:marLeft w:val="0"/>
          <w:marRight w:val="0"/>
          <w:marTop w:val="0"/>
          <w:marBottom w:val="0"/>
          <w:divBdr>
            <w:top w:val="none" w:sz="0" w:space="0" w:color="auto"/>
            <w:left w:val="none" w:sz="0" w:space="0" w:color="auto"/>
            <w:bottom w:val="none" w:sz="0" w:space="0" w:color="auto"/>
            <w:right w:val="none" w:sz="0" w:space="0" w:color="auto"/>
          </w:divBdr>
        </w:div>
        <w:div w:id="872113871">
          <w:marLeft w:val="0"/>
          <w:marRight w:val="0"/>
          <w:marTop w:val="0"/>
          <w:marBottom w:val="0"/>
          <w:divBdr>
            <w:top w:val="none" w:sz="0" w:space="0" w:color="auto"/>
            <w:left w:val="none" w:sz="0" w:space="0" w:color="auto"/>
            <w:bottom w:val="none" w:sz="0" w:space="0" w:color="auto"/>
            <w:right w:val="none" w:sz="0" w:space="0" w:color="auto"/>
          </w:divBdr>
        </w:div>
        <w:div w:id="1153908653">
          <w:marLeft w:val="0"/>
          <w:marRight w:val="0"/>
          <w:marTop w:val="0"/>
          <w:marBottom w:val="0"/>
          <w:divBdr>
            <w:top w:val="none" w:sz="0" w:space="0" w:color="auto"/>
            <w:left w:val="none" w:sz="0" w:space="0" w:color="auto"/>
            <w:bottom w:val="none" w:sz="0" w:space="0" w:color="auto"/>
            <w:right w:val="none" w:sz="0" w:space="0" w:color="auto"/>
          </w:divBdr>
        </w:div>
        <w:div w:id="1991714764">
          <w:marLeft w:val="0"/>
          <w:marRight w:val="0"/>
          <w:marTop w:val="0"/>
          <w:marBottom w:val="0"/>
          <w:divBdr>
            <w:top w:val="none" w:sz="0" w:space="0" w:color="auto"/>
            <w:left w:val="none" w:sz="0" w:space="0" w:color="auto"/>
            <w:bottom w:val="none" w:sz="0" w:space="0" w:color="auto"/>
            <w:right w:val="none" w:sz="0" w:space="0" w:color="auto"/>
          </w:divBdr>
        </w:div>
        <w:div w:id="1556699812">
          <w:marLeft w:val="0"/>
          <w:marRight w:val="0"/>
          <w:marTop w:val="0"/>
          <w:marBottom w:val="0"/>
          <w:divBdr>
            <w:top w:val="none" w:sz="0" w:space="0" w:color="auto"/>
            <w:left w:val="none" w:sz="0" w:space="0" w:color="auto"/>
            <w:bottom w:val="none" w:sz="0" w:space="0" w:color="auto"/>
            <w:right w:val="none" w:sz="0" w:space="0" w:color="auto"/>
          </w:divBdr>
        </w:div>
        <w:div w:id="1569148019">
          <w:marLeft w:val="0"/>
          <w:marRight w:val="0"/>
          <w:marTop w:val="0"/>
          <w:marBottom w:val="0"/>
          <w:divBdr>
            <w:top w:val="none" w:sz="0" w:space="0" w:color="auto"/>
            <w:left w:val="none" w:sz="0" w:space="0" w:color="auto"/>
            <w:bottom w:val="none" w:sz="0" w:space="0" w:color="auto"/>
            <w:right w:val="none" w:sz="0" w:space="0" w:color="auto"/>
          </w:divBdr>
        </w:div>
        <w:div w:id="1934512899">
          <w:marLeft w:val="0"/>
          <w:marRight w:val="0"/>
          <w:marTop w:val="0"/>
          <w:marBottom w:val="0"/>
          <w:divBdr>
            <w:top w:val="none" w:sz="0" w:space="0" w:color="auto"/>
            <w:left w:val="none" w:sz="0" w:space="0" w:color="auto"/>
            <w:bottom w:val="none" w:sz="0" w:space="0" w:color="auto"/>
            <w:right w:val="none" w:sz="0" w:space="0" w:color="auto"/>
          </w:divBdr>
        </w:div>
        <w:div w:id="816805716">
          <w:marLeft w:val="0"/>
          <w:marRight w:val="0"/>
          <w:marTop w:val="0"/>
          <w:marBottom w:val="0"/>
          <w:divBdr>
            <w:top w:val="none" w:sz="0" w:space="0" w:color="auto"/>
            <w:left w:val="none" w:sz="0" w:space="0" w:color="auto"/>
            <w:bottom w:val="none" w:sz="0" w:space="0" w:color="auto"/>
            <w:right w:val="none" w:sz="0" w:space="0" w:color="auto"/>
          </w:divBdr>
        </w:div>
        <w:div w:id="1945183605">
          <w:marLeft w:val="0"/>
          <w:marRight w:val="0"/>
          <w:marTop w:val="0"/>
          <w:marBottom w:val="0"/>
          <w:divBdr>
            <w:top w:val="none" w:sz="0" w:space="0" w:color="auto"/>
            <w:left w:val="none" w:sz="0" w:space="0" w:color="auto"/>
            <w:bottom w:val="none" w:sz="0" w:space="0" w:color="auto"/>
            <w:right w:val="none" w:sz="0" w:space="0" w:color="auto"/>
          </w:divBdr>
        </w:div>
        <w:div w:id="10766111">
          <w:marLeft w:val="0"/>
          <w:marRight w:val="0"/>
          <w:marTop w:val="0"/>
          <w:marBottom w:val="0"/>
          <w:divBdr>
            <w:top w:val="none" w:sz="0" w:space="0" w:color="auto"/>
            <w:left w:val="none" w:sz="0" w:space="0" w:color="auto"/>
            <w:bottom w:val="none" w:sz="0" w:space="0" w:color="auto"/>
            <w:right w:val="none" w:sz="0" w:space="0" w:color="auto"/>
          </w:divBdr>
        </w:div>
        <w:div w:id="115802536">
          <w:marLeft w:val="0"/>
          <w:marRight w:val="0"/>
          <w:marTop w:val="0"/>
          <w:marBottom w:val="0"/>
          <w:divBdr>
            <w:top w:val="none" w:sz="0" w:space="0" w:color="auto"/>
            <w:left w:val="none" w:sz="0" w:space="0" w:color="auto"/>
            <w:bottom w:val="none" w:sz="0" w:space="0" w:color="auto"/>
            <w:right w:val="none" w:sz="0" w:space="0" w:color="auto"/>
          </w:divBdr>
        </w:div>
        <w:div w:id="46612612">
          <w:marLeft w:val="0"/>
          <w:marRight w:val="0"/>
          <w:marTop w:val="0"/>
          <w:marBottom w:val="0"/>
          <w:divBdr>
            <w:top w:val="none" w:sz="0" w:space="0" w:color="auto"/>
            <w:left w:val="none" w:sz="0" w:space="0" w:color="auto"/>
            <w:bottom w:val="none" w:sz="0" w:space="0" w:color="auto"/>
            <w:right w:val="none" w:sz="0" w:space="0" w:color="auto"/>
          </w:divBdr>
        </w:div>
        <w:div w:id="777874015">
          <w:marLeft w:val="0"/>
          <w:marRight w:val="0"/>
          <w:marTop w:val="0"/>
          <w:marBottom w:val="0"/>
          <w:divBdr>
            <w:top w:val="none" w:sz="0" w:space="0" w:color="auto"/>
            <w:left w:val="none" w:sz="0" w:space="0" w:color="auto"/>
            <w:bottom w:val="none" w:sz="0" w:space="0" w:color="auto"/>
            <w:right w:val="none" w:sz="0" w:space="0" w:color="auto"/>
          </w:divBdr>
        </w:div>
        <w:div w:id="1919250222">
          <w:marLeft w:val="0"/>
          <w:marRight w:val="0"/>
          <w:marTop w:val="0"/>
          <w:marBottom w:val="0"/>
          <w:divBdr>
            <w:top w:val="none" w:sz="0" w:space="0" w:color="auto"/>
            <w:left w:val="none" w:sz="0" w:space="0" w:color="auto"/>
            <w:bottom w:val="none" w:sz="0" w:space="0" w:color="auto"/>
            <w:right w:val="none" w:sz="0" w:space="0" w:color="auto"/>
          </w:divBdr>
        </w:div>
        <w:div w:id="1547176573">
          <w:marLeft w:val="0"/>
          <w:marRight w:val="0"/>
          <w:marTop w:val="0"/>
          <w:marBottom w:val="0"/>
          <w:divBdr>
            <w:top w:val="none" w:sz="0" w:space="0" w:color="auto"/>
            <w:left w:val="none" w:sz="0" w:space="0" w:color="auto"/>
            <w:bottom w:val="none" w:sz="0" w:space="0" w:color="auto"/>
            <w:right w:val="none" w:sz="0" w:space="0" w:color="auto"/>
          </w:divBdr>
        </w:div>
        <w:div w:id="207211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10</cp:revision>
  <dcterms:created xsi:type="dcterms:W3CDTF">2014-11-17T05:56:00Z</dcterms:created>
  <dcterms:modified xsi:type="dcterms:W3CDTF">2019-07-18T08:55:00Z</dcterms:modified>
</cp:coreProperties>
</file>