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宛平街道办事处</w:t>
      </w:r>
      <w:r>
        <w:rPr>
          <w:rFonts w:hint="eastAsia" w:ascii="方正小标宋简体" w:hAnsi="方正小标宋简体" w:eastAsia="方正小标宋简体" w:cs="方正小标宋简体"/>
          <w:sz w:val="44"/>
          <w:szCs w:val="44"/>
          <w:lang w:bidi="ar"/>
        </w:rPr>
        <w:t>2023年政府信息公开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caps w:val="0"/>
          <w:color w:val="404040"/>
          <w:spacing w:val="0"/>
          <w:sz w:val="32"/>
          <w:szCs w:val="32"/>
          <w:u w:val="none"/>
        </w:rPr>
      </w:pPr>
      <w:r>
        <w:rPr>
          <w:rFonts w:ascii="楷体" w:hAnsi="楷体" w:eastAsia="楷体" w:cs="楷体"/>
          <w:i w:val="0"/>
          <w:caps w:val="0"/>
          <w:color w:val="404040"/>
          <w:spacing w:val="0"/>
          <w:sz w:val="32"/>
          <w:szCs w:val="32"/>
          <w:u w:val="none"/>
          <w:shd w:val="clear" w:color="auto" w:fill="FFFFFF"/>
        </w:rPr>
        <w:t>（一）主动公开情况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2" w:right="0" w:firstLine="707"/>
        <w:jc w:val="left"/>
        <w:rPr>
          <w:rFonts w:hint="eastAsia" w:ascii="仿宋_GB2312" w:hAnsi="仿宋_GB2312" w:eastAsia="仿宋_GB2312" w:cs="仿宋_GB2312"/>
          <w:color w:val="404040"/>
          <w:kern w:val="0"/>
          <w:sz w:val="32"/>
          <w:szCs w:val="32"/>
          <w:lang w:val="en-US" w:eastAsia="zh-CN" w:bidi="ar-SA"/>
        </w:rPr>
      </w:pPr>
      <w:r>
        <w:rPr>
          <w:rFonts w:hint="eastAsia" w:ascii="仿宋_GB2312" w:hAnsi="仿宋_GB2312" w:eastAsia="仿宋_GB2312" w:cs="仿宋_GB2312"/>
          <w:color w:val="404040"/>
          <w:kern w:val="0"/>
          <w:sz w:val="32"/>
          <w:szCs w:val="32"/>
          <w:lang w:val="en-US" w:eastAsia="zh-CN" w:bidi="ar-SA"/>
        </w:rPr>
        <w:t>宛平街道办事处进一步完善政府网站信息内容更新保障机制，制作信息公开全清单。2023年共主动公开政府信息79条；</w:t>
      </w:r>
      <w:r>
        <w:rPr>
          <w:rFonts w:hint="eastAsia" w:ascii="仿宋_GB2312" w:hAnsi="仿宋_GB2312" w:eastAsia="仿宋_GB2312" w:cs="仿宋_GB2312"/>
          <w:color w:val="404040"/>
          <w:kern w:val="0"/>
          <w:sz w:val="32"/>
          <w:szCs w:val="32"/>
          <w:highlight w:val="none"/>
          <w:lang w:val="en-US" w:eastAsia="zh-CN" w:bidi="ar-SA"/>
        </w:rPr>
        <w:t>政务微博公开政府信息305条，政务微信公开政府信息569条</w:t>
      </w:r>
      <w:r>
        <w:rPr>
          <w:rFonts w:hint="eastAsia" w:ascii="仿宋_GB2312" w:hAnsi="仿宋_GB2312" w:eastAsia="仿宋_GB2312" w:cs="仿宋_GB2312"/>
          <w:color w:val="404040"/>
          <w:kern w:val="0"/>
          <w:sz w:val="32"/>
          <w:szCs w:val="32"/>
          <w:lang w:val="en-US" w:eastAsia="zh-CN" w:bidi="ar-SA"/>
        </w:rPr>
        <w:t>，按时主动公开办事处2022年度财政决算、2023年度预算及2023年度政府购买服务指导性目录。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楷体" w:hAnsi="楷体" w:eastAsia="楷体" w:cs="楷体"/>
          <w:i w:val="0"/>
          <w:caps w:val="0"/>
          <w:color w:val="404040"/>
          <w:spacing w:val="0"/>
          <w:sz w:val="32"/>
          <w:szCs w:val="32"/>
          <w:u w:val="none"/>
          <w:shd w:val="clear" w:color="auto" w:fill="FFFFFF"/>
        </w:rPr>
      </w:pPr>
      <w:r>
        <w:rPr>
          <w:rFonts w:hint="eastAsia" w:ascii="楷体" w:hAnsi="楷体" w:eastAsia="楷体" w:cs="楷体"/>
          <w:i w:val="0"/>
          <w:caps w:val="0"/>
          <w:color w:val="404040"/>
          <w:spacing w:val="0"/>
          <w:sz w:val="32"/>
          <w:szCs w:val="32"/>
          <w:u w:val="none"/>
          <w:shd w:val="clear" w:color="auto" w:fill="FFFFFF"/>
        </w:rPr>
        <w:t>（二）依申请公开情况</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shd w:val="clear" w:color="auto" w:fill="FFFFFF"/>
        </w:rPr>
        <w:t>20</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23</w:t>
      </w:r>
      <w:r>
        <w:rPr>
          <w:rFonts w:hint="eastAsia" w:ascii="仿宋_GB2312" w:hAnsi="仿宋_GB2312" w:eastAsia="仿宋_GB2312" w:cs="仿宋_GB2312"/>
          <w:i w:val="0"/>
          <w:caps w:val="0"/>
          <w:color w:val="404040"/>
          <w:spacing w:val="0"/>
          <w:sz w:val="32"/>
          <w:szCs w:val="32"/>
          <w:u w:val="none"/>
          <w:shd w:val="clear" w:color="auto" w:fill="FFFFFF"/>
        </w:rPr>
        <w:t>年度，我</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办事处</w:t>
      </w:r>
      <w:r>
        <w:rPr>
          <w:rFonts w:hint="eastAsia" w:ascii="仿宋_GB2312" w:hAnsi="仿宋_GB2312" w:eastAsia="仿宋_GB2312" w:cs="仿宋_GB2312"/>
          <w:i w:val="0"/>
          <w:caps w:val="0"/>
          <w:color w:val="404040"/>
          <w:spacing w:val="0"/>
          <w:sz w:val="32"/>
          <w:szCs w:val="32"/>
          <w:u w:val="none"/>
          <w:shd w:val="clear" w:color="auto" w:fill="FFFFFF"/>
        </w:rPr>
        <w:t>收到政府信息</w:t>
      </w:r>
      <w:r>
        <w:rPr>
          <w:rFonts w:hint="eastAsia" w:ascii="仿宋_GB2312" w:hAnsi="仿宋_GB2312" w:eastAsia="仿宋_GB2312" w:cs="仿宋_GB2312"/>
          <w:i w:val="0"/>
          <w:caps w:val="0"/>
          <w:color w:val="404040"/>
          <w:spacing w:val="0"/>
          <w:sz w:val="32"/>
          <w:szCs w:val="32"/>
          <w:highlight w:val="none"/>
          <w:u w:val="none"/>
          <w:shd w:val="clear" w:color="auto" w:fill="FFFFFF"/>
        </w:rPr>
        <w:t>公开申请</w:t>
      </w:r>
      <w:r>
        <w:rPr>
          <w:rFonts w:hint="eastAsia" w:ascii="仿宋_GB2312" w:hAnsi="仿宋_GB2312" w:eastAsia="仿宋_GB2312" w:cs="仿宋_GB2312"/>
          <w:i w:val="0"/>
          <w:caps w:val="0"/>
          <w:color w:val="404040"/>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404040"/>
          <w:spacing w:val="0"/>
          <w:sz w:val="32"/>
          <w:szCs w:val="32"/>
          <w:highlight w:val="none"/>
          <w:u w:val="none"/>
          <w:shd w:val="clear" w:color="auto" w:fill="FFFFFF"/>
        </w:rPr>
        <w:t>件</w:t>
      </w:r>
      <w:r>
        <w:rPr>
          <w:rFonts w:hint="eastAsia" w:ascii="仿宋_GB2312" w:hAnsi="仿宋_GB2312" w:eastAsia="仿宋_GB2312" w:cs="仿宋_GB2312"/>
          <w:i w:val="0"/>
          <w:caps w:val="0"/>
          <w:color w:val="404040"/>
          <w:spacing w:val="0"/>
          <w:sz w:val="32"/>
          <w:szCs w:val="32"/>
          <w:u w:val="none"/>
          <w:shd w:val="clear" w:color="auto" w:fill="FFFFFF"/>
        </w:rPr>
        <w:t>，均已办结</w:t>
      </w:r>
      <w:r>
        <w:rPr>
          <w:rFonts w:hint="eastAsia" w:ascii="仿宋_GB2312" w:hAnsi="仿宋_GB2312" w:eastAsia="仿宋_GB2312" w:cs="仿宋_GB2312"/>
          <w:i w:val="0"/>
          <w:caps w:val="0"/>
          <w:color w:val="404040"/>
          <w:spacing w:val="0"/>
          <w:sz w:val="32"/>
          <w:szCs w:val="32"/>
          <w:u w:val="none"/>
          <w:shd w:val="clear" w:color="auto" w:fill="FFFFFF"/>
          <w:lang w:eastAsia="zh-CN"/>
        </w:rPr>
        <w:t>，</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在</w:t>
      </w:r>
      <w:r>
        <w:rPr>
          <w:rFonts w:hint="eastAsia" w:ascii="仿宋_GB2312" w:hAnsi="仿宋_GB2312" w:eastAsia="仿宋_GB2312" w:cs="仿宋_GB2312"/>
          <w:i w:val="0"/>
          <w:caps w:val="0"/>
          <w:color w:val="404040"/>
          <w:spacing w:val="0"/>
          <w:sz w:val="32"/>
          <w:szCs w:val="32"/>
          <w:u w:val="none"/>
          <w:shd w:val="clear" w:color="auto" w:fill="FFFFFF"/>
        </w:rPr>
        <w:t>信息公开工作</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中未</w:t>
      </w:r>
      <w:r>
        <w:rPr>
          <w:rFonts w:hint="eastAsia" w:ascii="仿宋_GB2312" w:hAnsi="仿宋_GB2312" w:eastAsia="仿宋_GB2312" w:cs="仿宋_GB2312"/>
          <w:i w:val="0"/>
          <w:caps w:val="0"/>
          <w:color w:val="404040"/>
          <w:spacing w:val="0"/>
          <w:sz w:val="32"/>
          <w:szCs w:val="32"/>
          <w:u w:val="none"/>
          <w:shd w:val="clear" w:color="auto" w:fill="FFFFFF"/>
        </w:rPr>
        <w:t>出现任何泄密事件。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楷体" w:hAnsi="楷体" w:eastAsia="楷体" w:cs="楷体"/>
          <w:i w:val="0"/>
          <w:caps w:val="0"/>
          <w:color w:val="404040"/>
          <w:spacing w:val="0"/>
          <w:sz w:val="32"/>
          <w:szCs w:val="32"/>
          <w:u w:val="none"/>
          <w:shd w:val="clear" w:color="auto" w:fill="FFFFFF"/>
        </w:rPr>
      </w:pPr>
      <w:r>
        <w:rPr>
          <w:rFonts w:hint="eastAsia" w:ascii="楷体" w:hAnsi="楷体" w:eastAsia="楷体" w:cs="楷体"/>
          <w:i w:val="0"/>
          <w:caps w:val="0"/>
          <w:color w:val="404040"/>
          <w:spacing w:val="0"/>
          <w:sz w:val="32"/>
          <w:szCs w:val="32"/>
          <w:u w:val="none"/>
          <w:shd w:val="clear" w:color="auto" w:fill="FFFFFF"/>
        </w:rPr>
        <w:t>（三）政府信息资源的规范化、标准化管理情况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仿宋_GB2312" w:eastAsia="仿宋_GB2312" w:cs="仿宋_GB2312"/>
          <w:i w:val="0"/>
          <w:caps w:val="0"/>
          <w:color w:val="404040"/>
          <w:spacing w:val="0"/>
          <w:sz w:val="32"/>
          <w:szCs w:val="32"/>
          <w:u w:val="none"/>
          <w:shd w:val="clear" w:color="auto" w:fill="FFFFFF"/>
        </w:rPr>
      </w:pPr>
      <w:r>
        <w:rPr>
          <w:rFonts w:hint="eastAsia" w:ascii="仿宋_GB2312" w:hAnsi="仿宋_GB2312" w:eastAsia="仿宋_GB2312" w:cs="仿宋_GB2312"/>
          <w:i w:val="0"/>
          <w:caps w:val="0"/>
          <w:color w:val="404040"/>
          <w:spacing w:val="0"/>
          <w:sz w:val="32"/>
          <w:szCs w:val="32"/>
          <w:u w:val="none"/>
          <w:shd w:val="clear" w:color="auto" w:fill="FFFFFF"/>
        </w:rPr>
        <w:t>一是强化组织</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架构</w:t>
      </w:r>
      <w:r>
        <w:rPr>
          <w:rFonts w:hint="eastAsia" w:ascii="仿宋_GB2312" w:hAnsi="仿宋_GB2312" w:eastAsia="仿宋_GB2312" w:cs="仿宋_GB2312"/>
          <w:i w:val="0"/>
          <w:caps w:val="0"/>
          <w:color w:val="404040"/>
          <w:spacing w:val="0"/>
          <w:sz w:val="32"/>
          <w:szCs w:val="32"/>
          <w:u w:val="none"/>
          <w:shd w:val="clear" w:color="auto" w:fill="FFFFFF"/>
        </w:rPr>
        <w:t>。确立综合办公室为政府信息公开工作主管部门，负责推进、指导、协调、监督街道政府信息公开工作。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i w:val="0"/>
          <w:caps w:val="0"/>
          <w:color w:val="404040"/>
          <w:spacing w:val="0"/>
          <w:sz w:val="32"/>
          <w:szCs w:val="32"/>
          <w:u w:val="none"/>
          <w:shd w:val="clear" w:color="auto" w:fill="FFFFFF"/>
        </w:rPr>
      </w:pPr>
      <w:r>
        <w:rPr>
          <w:rFonts w:hint="eastAsia" w:ascii="仿宋_GB2312" w:hAnsi="仿宋_GB2312" w:eastAsia="仿宋_GB2312" w:cs="仿宋_GB2312"/>
          <w:i w:val="0"/>
          <w:caps w:val="0"/>
          <w:color w:val="404040"/>
          <w:spacing w:val="0"/>
          <w:sz w:val="32"/>
          <w:szCs w:val="32"/>
          <w:u w:val="none"/>
          <w:shd w:val="clear" w:color="auto" w:fill="FFFFFF"/>
        </w:rPr>
        <w:t>二是</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执行保密审查</w:t>
      </w:r>
      <w:r>
        <w:rPr>
          <w:rFonts w:hint="eastAsia" w:ascii="仿宋_GB2312" w:hAnsi="仿宋_GB2312" w:eastAsia="仿宋_GB2312" w:cs="仿宋_GB2312"/>
          <w:i w:val="0"/>
          <w:caps w:val="0"/>
          <w:color w:val="404040"/>
          <w:spacing w:val="0"/>
          <w:sz w:val="32"/>
          <w:szCs w:val="32"/>
          <w:u w:val="none"/>
          <w:shd w:val="clear" w:color="auto" w:fill="FFFFFF"/>
        </w:rPr>
        <w:t>。办事处制定了保密审查、政府信息公开目录规范等相关制度规定，对信息公开遵循的原则、内容形式等做出具体规定</w:t>
      </w:r>
      <w:r>
        <w:rPr>
          <w:rFonts w:hint="eastAsia" w:ascii="仿宋_GB2312" w:hAnsi="仿宋_GB2312" w:eastAsia="仿宋_GB2312" w:cs="仿宋_GB2312"/>
          <w:i w:val="0"/>
          <w:caps w:val="0"/>
          <w:color w:val="404040"/>
          <w:spacing w:val="0"/>
          <w:sz w:val="32"/>
          <w:szCs w:val="32"/>
          <w:u w:val="none"/>
          <w:shd w:val="clear" w:color="auto" w:fill="FFFFFF"/>
          <w:lang w:eastAsia="zh-CN"/>
        </w:rPr>
        <w:t>，</w:t>
      </w:r>
      <w:r>
        <w:rPr>
          <w:rFonts w:hint="eastAsia" w:ascii="仿宋_GB2312" w:hAnsi="仿宋_GB2312" w:eastAsia="仿宋_GB2312" w:cs="仿宋_GB2312"/>
          <w:i w:val="0"/>
          <w:caps w:val="0"/>
          <w:color w:val="404040"/>
          <w:spacing w:val="0"/>
          <w:sz w:val="32"/>
          <w:szCs w:val="32"/>
          <w:u w:val="none"/>
          <w:shd w:val="clear" w:color="auto" w:fill="FFFFFF"/>
        </w:rPr>
        <w:t>严格按照</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信息</w:t>
      </w:r>
      <w:r>
        <w:rPr>
          <w:rFonts w:hint="eastAsia" w:ascii="仿宋_GB2312" w:hAnsi="仿宋_GB2312" w:eastAsia="仿宋_GB2312" w:cs="仿宋_GB2312"/>
          <w:i w:val="0"/>
          <w:caps w:val="0"/>
          <w:color w:val="404040"/>
          <w:spacing w:val="0"/>
          <w:sz w:val="32"/>
          <w:szCs w:val="32"/>
          <w:u w:val="none"/>
          <w:shd w:val="clear" w:color="auto" w:fill="FFFFFF"/>
        </w:rPr>
        <w:t>采集、</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内容</w:t>
      </w:r>
      <w:r>
        <w:rPr>
          <w:rFonts w:hint="eastAsia" w:ascii="仿宋_GB2312" w:hAnsi="仿宋_GB2312" w:eastAsia="仿宋_GB2312" w:cs="仿宋_GB2312"/>
          <w:i w:val="0"/>
          <w:caps w:val="0"/>
          <w:color w:val="404040"/>
          <w:spacing w:val="0"/>
          <w:sz w:val="32"/>
          <w:szCs w:val="32"/>
          <w:u w:val="none"/>
          <w:shd w:val="clear" w:color="auto" w:fill="FFFFFF"/>
        </w:rPr>
        <w:t>审核、</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上传</w:t>
      </w:r>
      <w:r>
        <w:rPr>
          <w:rFonts w:hint="eastAsia" w:ascii="仿宋_GB2312" w:hAnsi="仿宋_GB2312" w:eastAsia="仿宋_GB2312" w:cs="仿宋_GB2312"/>
          <w:i w:val="0"/>
          <w:caps w:val="0"/>
          <w:color w:val="404040"/>
          <w:spacing w:val="0"/>
          <w:sz w:val="32"/>
          <w:szCs w:val="32"/>
          <w:u w:val="none"/>
          <w:shd w:val="clear" w:color="auto" w:fill="FFFFFF"/>
        </w:rPr>
        <w:t>报送等环节</w:t>
      </w:r>
      <w:r>
        <w:rPr>
          <w:rFonts w:hint="eastAsia" w:ascii="仿宋_GB2312" w:hAnsi="仿宋_GB2312" w:eastAsia="仿宋_GB2312" w:cs="仿宋_GB2312"/>
          <w:i w:val="0"/>
          <w:caps w:val="0"/>
          <w:color w:val="404040"/>
          <w:spacing w:val="0"/>
          <w:sz w:val="32"/>
          <w:szCs w:val="32"/>
          <w:u w:val="none"/>
          <w:shd w:val="clear" w:color="auto" w:fill="FFFFFF"/>
          <w:lang w:eastAsia="zh-CN"/>
        </w:rPr>
        <w:t>，</w:t>
      </w:r>
      <w:r>
        <w:rPr>
          <w:rFonts w:hint="eastAsia" w:ascii="仿宋_GB2312" w:hAnsi="仿宋_GB2312" w:eastAsia="仿宋_GB2312" w:cs="仿宋_GB2312"/>
          <w:i w:val="0"/>
          <w:caps w:val="0"/>
          <w:color w:val="404040"/>
          <w:spacing w:val="0"/>
          <w:sz w:val="32"/>
          <w:szCs w:val="32"/>
          <w:u w:val="none"/>
          <w:shd w:val="clear" w:color="auto" w:fill="FFFFFF"/>
        </w:rPr>
        <w:t>明确</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职责分工</w:t>
      </w:r>
      <w:r>
        <w:rPr>
          <w:rFonts w:hint="eastAsia" w:ascii="仿宋_GB2312" w:hAnsi="仿宋_GB2312" w:eastAsia="仿宋_GB2312" w:cs="仿宋_GB2312"/>
          <w:i w:val="0"/>
          <w:caps w:val="0"/>
          <w:color w:val="404040"/>
          <w:spacing w:val="0"/>
          <w:sz w:val="32"/>
          <w:szCs w:val="32"/>
          <w:u w:val="none"/>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楷体" w:hAnsi="楷体" w:eastAsia="楷体" w:cs="楷体"/>
          <w:i w:val="0"/>
          <w:caps w:val="0"/>
          <w:color w:val="404040"/>
          <w:spacing w:val="0"/>
          <w:sz w:val="32"/>
          <w:szCs w:val="32"/>
          <w:u w:val="none"/>
          <w:shd w:val="clear" w:color="auto" w:fill="FFFFFF"/>
        </w:rPr>
      </w:pPr>
      <w:r>
        <w:rPr>
          <w:rFonts w:hint="eastAsia" w:ascii="楷体" w:hAnsi="楷体" w:eastAsia="楷体" w:cs="楷体"/>
          <w:i w:val="0"/>
          <w:caps w:val="0"/>
          <w:color w:val="404040"/>
          <w:spacing w:val="0"/>
          <w:sz w:val="32"/>
          <w:szCs w:val="32"/>
          <w:u w:val="none"/>
          <w:shd w:val="clear" w:color="auto" w:fill="FFFFFF"/>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仿宋_GB2312" w:eastAsia="仿宋_GB2312" w:cs="仿宋_GB2312"/>
          <w:i w:val="0"/>
          <w:caps w:val="0"/>
          <w:color w:val="404040"/>
          <w:spacing w:val="0"/>
          <w:sz w:val="32"/>
          <w:szCs w:val="32"/>
          <w:u w:val="none"/>
        </w:rPr>
      </w:pPr>
      <w:r>
        <w:rPr>
          <w:rFonts w:hint="eastAsia" w:ascii="仿宋_GB2312" w:hAnsi="仿宋_GB2312" w:eastAsia="仿宋_GB2312" w:cs="仿宋_GB2312"/>
          <w:i w:val="0"/>
          <w:caps w:val="0"/>
          <w:color w:val="404040"/>
          <w:spacing w:val="0"/>
          <w:sz w:val="32"/>
          <w:szCs w:val="32"/>
          <w:u w:val="none"/>
          <w:shd w:val="clear" w:color="auto" w:fill="FFFFFF"/>
        </w:rPr>
        <w:t>一是信息公开栏的维护。</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办事处</w:t>
      </w:r>
      <w:r>
        <w:rPr>
          <w:rFonts w:hint="eastAsia" w:ascii="仿宋_GB2312" w:hAnsi="仿宋_GB2312" w:eastAsia="仿宋_GB2312" w:cs="仿宋_GB2312"/>
          <w:i w:val="0"/>
          <w:caps w:val="0"/>
          <w:color w:val="404040"/>
          <w:spacing w:val="0"/>
          <w:sz w:val="32"/>
          <w:szCs w:val="32"/>
          <w:u w:val="none"/>
          <w:shd w:val="clear" w:color="auto" w:fill="FFFFFF"/>
        </w:rPr>
        <w:t>指定专人</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对信息公开专栏进行维护、更新</w:t>
      </w:r>
      <w:r>
        <w:rPr>
          <w:rFonts w:hint="eastAsia" w:ascii="仿宋_GB2312" w:hAnsi="仿宋_GB2312" w:eastAsia="仿宋_GB2312" w:cs="仿宋_GB2312"/>
          <w:i w:val="0"/>
          <w:caps w:val="0"/>
          <w:color w:val="404040"/>
          <w:spacing w:val="0"/>
          <w:sz w:val="32"/>
          <w:szCs w:val="32"/>
          <w:u w:val="none"/>
          <w:shd w:val="clear" w:color="auto" w:fill="FFFFFF"/>
        </w:rPr>
        <w:t>，</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规范领导简介栏目，保障信息及时、准确。同时维护依申请公开申请渠道，如</w:t>
      </w:r>
      <w:r>
        <w:rPr>
          <w:rFonts w:hint="eastAsia" w:ascii="仿宋_GB2312" w:hAnsi="仿宋_GB2312" w:eastAsia="仿宋_GB2312" w:cs="仿宋_GB2312"/>
          <w:i w:val="0"/>
          <w:caps w:val="0"/>
          <w:color w:val="404040"/>
          <w:spacing w:val="0"/>
          <w:sz w:val="32"/>
          <w:szCs w:val="32"/>
          <w:u w:val="none"/>
          <w:shd w:val="clear" w:color="auto" w:fill="FFFFFF"/>
        </w:rPr>
        <w:t>电子邮箱、电话、</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邮件</w:t>
      </w:r>
      <w:r>
        <w:rPr>
          <w:rFonts w:hint="eastAsia" w:ascii="仿宋_GB2312" w:hAnsi="仿宋_GB2312" w:eastAsia="仿宋_GB2312" w:cs="仿宋_GB2312"/>
          <w:i w:val="0"/>
          <w:caps w:val="0"/>
          <w:color w:val="404040"/>
          <w:spacing w:val="0"/>
          <w:sz w:val="32"/>
          <w:szCs w:val="32"/>
          <w:u w:val="none"/>
          <w:shd w:val="clear" w:color="auto" w:fill="FFFFFF"/>
        </w:rPr>
        <w:t>等</w:t>
      </w:r>
      <w:r>
        <w:rPr>
          <w:rFonts w:hint="eastAsia" w:ascii="仿宋_GB2312" w:hAnsi="仿宋_GB2312" w:eastAsia="仿宋_GB2312" w:cs="仿宋_GB2312"/>
          <w:i w:val="0"/>
          <w:caps w:val="0"/>
          <w:color w:val="404040"/>
          <w:spacing w:val="0"/>
          <w:sz w:val="32"/>
          <w:szCs w:val="32"/>
          <w:u w:val="none"/>
          <w:shd w:val="clear" w:color="auto" w:fill="FFFFFF"/>
          <w:lang w:eastAsia="zh-CN"/>
        </w:rPr>
        <w:t>，</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由工作人员第一时间对政府信息公开</w:t>
      </w:r>
      <w:r>
        <w:rPr>
          <w:rFonts w:hint="eastAsia" w:ascii="仿宋_GB2312" w:hAnsi="仿宋_GB2312" w:eastAsia="仿宋_GB2312" w:cs="仿宋_GB2312"/>
          <w:i w:val="0"/>
          <w:caps w:val="0"/>
          <w:color w:val="404040"/>
          <w:spacing w:val="0"/>
          <w:sz w:val="32"/>
          <w:szCs w:val="32"/>
          <w:u w:val="none"/>
          <w:shd w:val="clear" w:color="auto" w:fill="FFFFFF"/>
        </w:rPr>
        <w:t>申请</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进行</w:t>
      </w:r>
      <w:r>
        <w:rPr>
          <w:rFonts w:hint="eastAsia" w:ascii="仿宋_GB2312" w:hAnsi="仿宋_GB2312" w:eastAsia="仿宋_GB2312" w:cs="仿宋_GB2312"/>
          <w:i w:val="0"/>
          <w:caps w:val="0"/>
          <w:color w:val="404040"/>
          <w:spacing w:val="0"/>
          <w:sz w:val="32"/>
          <w:szCs w:val="32"/>
          <w:u w:val="none"/>
          <w:shd w:val="clear" w:color="auto" w:fill="FFFFFF"/>
        </w:rPr>
        <w:t>登记、受理、审核和公开等工作。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楷体" w:hAnsi="楷体" w:eastAsia="楷体" w:cs="楷体"/>
          <w:i w:val="0"/>
          <w:caps w:val="0"/>
          <w:color w:val="404040"/>
          <w:spacing w:val="0"/>
          <w:sz w:val="32"/>
          <w:szCs w:val="32"/>
          <w:u w:val="none"/>
          <w:shd w:val="clear" w:color="auto" w:fill="FFFFFF"/>
        </w:rPr>
      </w:pPr>
      <w:r>
        <w:rPr>
          <w:rFonts w:hint="eastAsia" w:ascii="楷体" w:hAnsi="楷体" w:eastAsia="楷体" w:cs="楷体"/>
          <w:i w:val="0"/>
          <w:caps w:val="0"/>
          <w:color w:val="404040"/>
          <w:spacing w:val="0"/>
          <w:sz w:val="32"/>
          <w:szCs w:val="32"/>
          <w:u w:val="none"/>
          <w:shd w:val="clear" w:color="auto" w:fill="FFFFFF"/>
        </w:rPr>
        <w:t>（五）政府信息公开监督保障及教育培训情况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Calibri" w:hAnsi="Calibri" w:cs="Calibri"/>
          <w:i w:val="0"/>
          <w:caps w:val="0"/>
          <w:color w:val="404040"/>
          <w:spacing w:val="0"/>
          <w:sz w:val="21"/>
          <w:szCs w:val="21"/>
          <w:u w:val="none"/>
        </w:rPr>
      </w:pPr>
      <w:r>
        <w:rPr>
          <w:rFonts w:hint="eastAsia" w:ascii="仿宋_GB2312" w:hAnsi="仿宋_GB2312" w:eastAsia="仿宋_GB2312" w:cs="仿宋_GB2312"/>
          <w:i w:val="0"/>
          <w:caps w:val="0"/>
          <w:color w:val="404040"/>
          <w:spacing w:val="0"/>
          <w:sz w:val="32"/>
          <w:szCs w:val="32"/>
          <w:u w:val="none"/>
          <w:shd w:val="clear" w:color="auto" w:fill="FFFFFF"/>
          <w:lang w:val="en-US" w:eastAsia="zh-CN"/>
        </w:rPr>
        <w:t>办事处主管领导</w:t>
      </w:r>
      <w:r>
        <w:rPr>
          <w:rFonts w:hint="eastAsia" w:ascii="仿宋_GB2312" w:hAnsi="仿宋_GB2312" w:eastAsia="仿宋_GB2312" w:cs="仿宋_GB2312"/>
          <w:i w:val="0"/>
          <w:caps w:val="0"/>
          <w:color w:val="404040"/>
          <w:spacing w:val="0"/>
          <w:sz w:val="32"/>
          <w:szCs w:val="32"/>
          <w:u w:val="none"/>
          <w:shd w:val="clear" w:color="auto" w:fill="FFFFFF"/>
        </w:rPr>
        <w:t>及</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部室负责人、</w:t>
      </w:r>
      <w:r>
        <w:rPr>
          <w:rFonts w:hint="eastAsia" w:ascii="仿宋_GB2312" w:hAnsi="仿宋_GB2312" w:eastAsia="仿宋_GB2312" w:cs="仿宋_GB2312"/>
          <w:i w:val="0"/>
          <w:caps w:val="0"/>
          <w:color w:val="404040"/>
          <w:spacing w:val="0"/>
          <w:sz w:val="32"/>
          <w:szCs w:val="32"/>
          <w:u w:val="none"/>
          <w:shd w:val="clear" w:color="auto" w:fill="FFFFFF"/>
        </w:rPr>
        <w:t>具体工作人员积极参加</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各类</w:t>
      </w:r>
      <w:r>
        <w:rPr>
          <w:rFonts w:hint="eastAsia" w:ascii="仿宋_GB2312" w:hAnsi="仿宋_GB2312" w:eastAsia="仿宋_GB2312" w:cs="仿宋_GB2312"/>
          <w:i w:val="0"/>
          <w:caps w:val="0"/>
          <w:color w:val="404040"/>
          <w:spacing w:val="0"/>
          <w:sz w:val="32"/>
          <w:szCs w:val="32"/>
          <w:u w:val="none"/>
          <w:shd w:val="clear" w:color="auto" w:fill="FFFFFF"/>
        </w:rPr>
        <w:t>政府信息公开工作培训，结合</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依法行政工作</w:t>
      </w:r>
      <w:r>
        <w:rPr>
          <w:rFonts w:hint="eastAsia" w:ascii="仿宋_GB2312" w:hAnsi="仿宋_GB2312" w:eastAsia="仿宋_GB2312" w:cs="仿宋_GB2312"/>
          <w:i w:val="0"/>
          <w:caps w:val="0"/>
          <w:color w:val="404040"/>
          <w:spacing w:val="0"/>
          <w:sz w:val="32"/>
          <w:szCs w:val="32"/>
          <w:u w:val="none"/>
          <w:shd w:val="clear" w:color="auto" w:fill="FFFFFF"/>
        </w:rPr>
        <w:t>，</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运用机制</w:t>
      </w:r>
      <w:r>
        <w:rPr>
          <w:rFonts w:hint="eastAsia" w:ascii="仿宋_GB2312" w:hAnsi="仿宋_GB2312" w:eastAsia="仿宋_GB2312" w:cs="仿宋_GB2312"/>
          <w:i w:val="0"/>
          <w:caps w:val="0"/>
          <w:color w:val="404040"/>
          <w:spacing w:val="0"/>
          <w:sz w:val="32"/>
          <w:szCs w:val="32"/>
          <w:u w:val="none"/>
          <w:shd w:val="clear" w:color="auto" w:fill="FFFFFF"/>
        </w:rPr>
        <w:t>进一步推进信息</w:t>
      </w:r>
      <w:r>
        <w:rPr>
          <w:rFonts w:hint="eastAsia" w:ascii="仿宋_GB2312" w:hAnsi="仿宋_GB2312" w:eastAsia="仿宋_GB2312" w:cs="仿宋_GB2312"/>
          <w:i w:val="0"/>
          <w:caps w:val="0"/>
          <w:color w:val="404040"/>
          <w:spacing w:val="0"/>
          <w:sz w:val="32"/>
          <w:szCs w:val="32"/>
          <w:u w:val="none"/>
          <w:shd w:val="clear" w:color="auto" w:fill="FFFFFF"/>
          <w:lang w:val="en-US" w:eastAsia="zh-CN"/>
        </w:rPr>
        <w:t>的</w:t>
      </w:r>
      <w:r>
        <w:rPr>
          <w:rFonts w:hint="eastAsia" w:ascii="仿宋_GB2312" w:hAnsi="仿宋_GB2312" w:eastAsia="仿宋_GB2312" w:cs="仿宋_GB2312"/>
          <w:i w:val="0"/>
          <w:caps w:val="0"/>
          <w:color w:val="404040"/>
          <w:spacing w:val="0"/>
          <w:sz w:val="32"/>
          <w:szCs w:val="32"/>
          <w:u w:val="none"/>
          <w:shd w:val="clear" w:color="auto" w:fill="FFFFFF"/>
        </w:rPr>
        <w:t>及时发布。</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lang w:val="en-US" w:eastAsia="zh-CN"/>
              </w:rPr>
              <w:t>250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lang w:val="en-US" w:eastAsia="zh-CN"/>
              </w:rPr>
              <w:t>0</w:t>
            </w:r>
          </w:p>
        </w:tc>
      </w:tr>
    </w:tbl>
    <w:p>
      <w:pPr>
        <w:pStyle w:val="3"/>
      </w:pPr>
    </w:p>
    <w:p/>
    <w:p>
      <w:pPr>
        <w:pStyle w:val="2"/>
      </w:pPr>
    </w:p>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sz w:val="24"/>
              </w:rPr>
            </w:pPr>
          </w:p>
        </w:tc>
      </w:tr>
    </w:tbl>
    <w:p>
      <w:pPr>
        <w:pStyle w:val="2"/>
        <w:widowControl/>
        <w:ind w:left="420" w:leftChars="200"/>
      </w:pPr>
    </w:p>
    <w:p>
      <w:pPr>
        <w:pStyle w:val="2"/>
        <w:widowControl/>
        <w:ind w:left="420" w:leftChars="200"/>
      </w:pPr>
    </w:p>
    <w:p/>
    <w:p>
      <w:pPr>
        <w:pStyle w:val="3"/>
      </w:pPr>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1</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仿宋_GB2312" w:eastAsia="仿宋_GB2312" w:cs="仿宋_GB2312"/>
          <w:b w:val="0"/>
          <w:bCs w:val="0"/>
          <w:i w:val="0"/>
          <w:caps w:val="0"/>
          <w:color w:val="404040"/>
          <w:spacing w:val="0"/>
          <w:sz w:val="32"/>
          <w:szCs w:val="32"/>
          <w:u w:val="none"/>
          <w:lang w:val="en-US"/>
        </w:rPr>
      </w:pPr>
      <w:r>
        <w:rPr>
          <w:rFonts w:hint="eastAsia" w:ascii="仿宋_GB2312" w:hAnsi="仿宋_GB2312" w:eastAsia="仿宋_GB2312" w:cs="仿宋_GB2312"/>
          <w:b w:val="0"/>
          <w:bCs w:val="0"/>
          <w:i w:val="0"/>
          <w:caps w:val="0"/>
          <w:color w:val="404040"/>
          <w:spacing w:val="0"/>
          <w:sz w:val="32"/>
          <w:szCs w:val="32"/>
          <w:u w:val="none"/>
          <w:shd w:val="clear" w:color="auto" w:fill="FFFFFF"/>
        </w:rPr>
        <w:t>一是</w:t>
      </w: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政府信息公开认识应持续加强</w:t>
      </w:r>
      <w:r>
        <w:rPr>
          <w:rFonts w:hint="eastAsia" w:ascii="仿宋_GB2312" w:hAnsi="仿宋_GB2312" w:eastAsia="仿宋_GB2312" w:cs="仿宋_GB2312"/>
          <w:b w:val="0"/>
          <w:bCs w:val="0"/>
          <w:i w:val="0"/>
          <w:caps w:val="0"/>
          <w:color w:val="404040"/>
          <w:spacing w:val="0"/>
          <w:sz w:val="32"/>
          <w:szCs w:val="32"/>
          <w:u w:val="none"/>
          <w:shd w:val="clear" w:color="auto" w:fill="FFFFFF"/>
        </w:rPr>
        <w:t>。</w:t>
      </w: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应继续加强对《中华人民共和国政府信息公开条例》的学习，自上而下培养政府信息公开意识，深度挖掘公众对政府信息公开的需求，经常性的开展调研工作，建立、创新与群众沟通的新机制。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404040"/>
          <w:spacing w:val="0"/>
          <w:sz w:val="32"/>
          <w:szCs w:val="32"/>
          <w:u w:val="none"/>
          <w:shd w:val="clear" w:color="auto" w:fill="FFFFFF"/>
        </w:rPr>
        <w:t>二是</w:t>
      </w: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政府信息公开答复应规范严谨</w:t>
      </w:r>
      <w:r>
        <w:rPr>
          <w:rFonts w:hint="eastAsia" w:ascii="仿宋_GB2312" w:hAnsi="仿宋_GB2312" w:eastAsia="仿宋_GB2312" w:cs="仿宋_GB2312"/>
          <w:b w:val="0"/>
          <w:bCs w:val="0"/>
          <w:i w:val="0"/>
          <w:caps w:val="0"/>
          <w:color w:val="404040"/>
          <w:spacing w:val="0"/>
          <w:sz w:val="32"/>
          <w:szCs w:val="32"/>
          <w:u w:val="none"/>
          <w:shd w:val="clear" w:color="auto" w:fill="FFFFFF"/>
        </w:rPr>
        <w:t>。</w:t>
      </w:r>
      <w:r>
        <w:rPr>
          <w:rFonts w:hint="eastAsia" w:ascii="仿宋_GB2312" w:hAnsi="仿宋_GB2312" w:eastAsia="仿宋_GB2312" w:cs="仿宋_GB2312"/>
          <w:b w:val="0"/>
          <w:bCs w:val="0"/>
          <w:i w:val="0"/>
          <w:caps w:val="0"/>
          <w:color w:val="404040"/>
          <w:spacing w:val="0"/>
          <w:sz w:val="32"/>
          <w:szCs w:val="32"/>
          <w:u w:val="none"/>
          <w:shd w:val="clear" w:color="auto" w:fill="FFFFFF"/>
          <w:lang w:val="en-US" w:eastAsia="zh-CN"/>
        </w:rPr>
        <w:t>应在登记时间、受理时间、答复时间上严格把握，做好政府信息公开流程管理，及时保障申请人的合法权益。</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ind w:firstLine="640" w:firstLineChars="200"/>
      </w:pPr>
      <w:r>
        <w:rPr>
          <w:rFonts w:hint="eastAsia" w:ascii="仿宋_GB2312" w:hAnsi="仿宋_GB2312" w:eastAsia="仿宋_GB2312" w:cs="仿宋_GB2312"/>
          <w:b w:val="0"/>
          <w:bCs w:val="0"/>
          <w:i w:val="0"/>
          <w:caps w:val="0"/>
          <w:color w:val="404040"/>
          <w:spacing w:val="0"/>
          <w:kern w:val="0"/>
          <w:sz w:val="32"/>
          <w:szCs w:val="32"/>
          <w:u w:val="none"/>
          <w:shd w:val="clear" w:color="auto" w:fill="FFFFFF"/>
          <w:lang w:val="en-US" w:eastAsia="zh-CN" w:bidi="ar"/>
        </w:rPr>
        <w:t>本报告中所列数据的统计期限自2023年1月1日起，至2023年12月31日止。本报告的电子版可在北京市人民政府门户网站丰台区政府信息公开专栏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B5B6E2A"/>
    <w:rsid w:val="0FCE31E3"/>
    <w:rsid w:val="21D00E93"/>
    <w:rsid w:val="45A42C07"/>
    <w:rsid w:val="7810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toc 3"/>
    <w:basedOn w:val="1"/>
    <w:next w:val="1"/>
    <w:unhideWhenUsed/>
    <w:qFormat/>
    <w:uiPriority w:val="39"/>
    <w:pPr>
      <w:ind w:left="840" w:leftChars="4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wp_bg</cp:lastModifiedBy>
  <cp:lastPrinted>2024-01-24T01:30:22Z</cp:lastPrinted>
  <dcterms:modified xsi:type="dcterms:W3CDTF">2024-01-24T01:38:37Z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63B851ED56344088A968163727BA9B19</vt:lpwstr>
  </property>
</Properties>
</file>