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04040"/>
          <w:spacing w:val="0"/>
          <w:sz w:val="24"/>
          <w:szCs w:val="24"/>
          <w:u w:val="none"/>
          <w:bdr w:val="none" w:color="auto" w:sz="0" w:space="0"/>
          <w:shd w:val="clear" w:fill="FFFFFF"/>
          <w:lang w:val="en-US" w:eastAsia="zh-CN"/>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lang w:val="en-US" w:eastAsia="zh-CN"/>
        </w:rPr>
        <w:t>北京市丰台区人民政府办公室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404040"/>
          <w:spacing w:val="0"/>
          <w:sz w:val="24"/>
          <w:szCs w:val="24"/>
          <w:u w:val="none"/>
          <w:bdr w:val="none" w:color="auto" w:sz="0" w:space="0"/>
          <w:shd w:val="clear" w:fill="FFFFFF"/>
          <w:lang w:val="en-US" w:eastAsia="zh-CN"/>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lang w:val="en-US" w:eastAsia="zh-CN"/>
        </w:rPr>
        <w:t>2018年决算情况说明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微软雅黑" w:hAnsi="微软雅黑" w:eastAsia="微软雅黑" w:cs="微软雅黑"/>
          <w:i w:val="0"/>
          <w:iCs w:val="0"/>
          <w:caps w:val="0"/>
          <w:color w:val="404040"/>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center"/>
        <w:rPr>
          <w:rFonts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第一部分 2018年度部门决算说明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404040"/>
          <w:spacing w:val="0"/>
          <w:sz w:val="24"/>
          <w:szCs w:val="24"/>
          <w:u w:val="none"/>
          <w:bdr w:val="none" w:color="auto" w:sz="0" w:space="0"/>
          <w:shd w:val="clear" w:fill="FFFFFF"/>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一、部门基本情况 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（一）部门机构设置、职责 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北京市丰台区人民政府办公室职责主要为：1.协助区政府领导同志组织起草、审核以区政府或区政府办公室名义发布的公文。2.研究区政府各部门、各街道（地区）乡镇以及其他机构请示（商洽）区政府的事项，提出审核意见，报请区政府领导同志审批；承办市政府、市政府办公厅文件。3.负责区政府会议的会务组织工作。4.负责督促检查市政府文件的执行落实情况；负责区政府重大决策、重要部署、区政府重要会议确定议定事项、区政府领导同志批示和交办事项的督促检查、反馈和协调工作。5.负责区政府值班工作；协助安排区政府领导同志参加重要政务活动；负责区政府的公务接待工作。6.协助区政府领导同志组织处理需由区政府直接处理的突发事件和重大事故，承担北京市丰台区突发公共事件应急委员会的具体工作；负责组织、协调、指导、检查本区突发事件应对工作及应急管理工作。7.负责推进、指导、协调、监督本区政府信息公开工作。8.负责中央市属在区单位的综合协调服务工作。9.负责区政府信息工作。10.负责组织协调区政府有关部门办理人大议案和代表建议、批评、意见，办理政协建议案、委员提案；协助做好市、区人大、政协的视察、调研接待工作。11.根据区政府领导同志的指示，组织专题调查研究，及时反映情况，提出建议。12.办理区政府领导同志交办的其他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shd w:val="clear" w:fill="FFFFFF"/>
          <w:lang w:val="en-US" w:eastAsia="zh-CN"/>
        </w:rPr>
        <w:t>内设区政府督查室、区应急办、秘书一科、秘书二科、秘书三科、信息科、联络科、会议科、对外联络服务办公室、信息公开办公室、综合科。</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下设事业单位 1个，名称为：丰台区气象灾害防御中心。 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（二）人员构成情况 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本部门行政编制65人，实有人数56人；事业编制3人，实有人数3人。 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二、收入支出决算总体情况说明 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2018年度收、支总计2686.99万元，比上年增加473.24万元，增长21.38%。</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（一）收入决算说明 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度本年收入合计2577.20万元，比上年增加398.68万元，增长18.30%，其中：财政拨款收入2572.53万元，占收入合计的99.82%；上级补助收入0万元，占收入合计的0；事业收入0万元，占收入合计的0；经营收入0万元，占收入合计的0；附属单位上缴收入0万元，占收入合计的0；其他收入4.68万元，占收入合计的0.18%。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（二）支出决算说明 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度本年支出合计2653.07万元，比上年增加480.84万元，增长22.14%，其中：基本支出1950.91万元，占支出合计的73.53%；项目支出702.16万元，占支出合计的26.47%;上缴上级支出0万元，占支出合计的0；经营支出0万元，占支出合计的0；对附属单位补助支出0万元，占支出合计的0。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三、财政拨款收入支出决算总体情况说明 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2018年度财政拨款收、支总计2652.79万元，比上年增加468.56万元，增长21.45%。主要原因：工作内容增加，基本养老保险变动及职业年金“虚账户做实补缴”工作等。 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四、一般公共预算财政拨款支出决算情况说明 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（一）一般公共预算财政拨款支出决算总体情况 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度一般公共预算财政拨款支出2652.79万元，主要用于以下方面（按大类）：一般公共服务支出2076.34万元，占本年财政拨款支出78.27%；教育支出2.84万元，占本年财政拨款支出0.11%；社会保障和就业支出281.73万元，占本年财政拨款支出10.62%；住房保障支出291.89万元，占本年财政拨款支出11%。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（二）一般公共预算财政拨款支出决算具体情况 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 1、“一般公共服务支出”（类）2018年度决算2076.34万元，比2018年年初预算减少10.37万元，减少0.5%。主要原因：实有人数减少。 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“政府办公室及相关机构事务”2018年度决算2075.31万元，比2018年年初预算减少9.18万元，减少0.44%。主要原因：实有人数减少。 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“组织事务”2018年度决算1.02万元，比2018年年初预算减少1.2万元，减少54.05 %。主要原因：实有人数减少。 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2、“教育支出”2018年度决算2.84万元，比2018年年初预算减少0.26万元，减少8.39 %。主要原因：实有人数减少。 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3、“社会保障和就业支出”（类）2018年度决算281.73万元，比2018年年初预算增加86.87万元，增加44.58%。主要原因：基本养老保险变动及职业年金“虚账户做实补缴”工作。 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4、“住房保障支出”（类）2018年度决算291.89万元，比2018年年初预算减少2.27万元，减少0.78%。主要原因：实有人数减少。 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五、政府性基金预算财政拨款支出决算情况说明 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本年度无此项支出。 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六、财政拨款基本支出决算情况说明 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本部门使用一般公共预算财政拨款安排基本支出1,950.91万元，使用政府性基金财政拨款安排基本支出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第二部分2018年度其他重要事项的情况说明 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一、“三公”经费财政拨款决算情况 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“三公”经费包括本部门所属1个行政单位、1个财政补助事业单位。2018年“三公”经费财政拨款决算数0万元， 2018年“三公”经费财政拨款年初预算0万元。 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1.因公出国（境）费用。2018年决算数0万元。 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2.公务接待费。2018年决算数0万元。 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3.公务用车购置及运行维护费。2018年决算数0万元，公务用车保有量0辆，车辆运行维护费0万元。此项支出由机关事务管理处统一核算，并由其公开。 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二、机关运行经费支出情况 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2018年本部门行政单位（含参照公务员法管理事业单位）使用一般公共预算财政拨款安排的基本支出中的日常公用经费支出，合计118.39万元，比上年增加6.67万元，增加原因：工作内容增加。 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三、政府采购支出情况 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北京市丰台区人民政府办公室政府采购支出总额81.72万元，其中：政府采购货物支出13.89万元，政府采购工程支出0万元，政府采购服务支出67.83万元。授予中小企业合同金额74.51万元，占政府采购支出总额的91.18%，其中：授予小微企业合同金额47.61万元，占政府采购支出总额的58.26%。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四、国有资产占用情况 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我单位在政府办公区办公，国有资产在机关事务管理处统一核算。 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lang w:eastAsia="zh-CN"/>
        </w:rPr>
        <w:t>五</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、国有资本经营预算财政拨款收支情况 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我单位无国有资本经营预算财政拨款收支情况。 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lang w:eastAsia="zh-CN"/>
        </w:rPr>
        <w:t>六</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、政府购买服务支出说明 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2018年本部门政府购买服务决算67.83万元。 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lang w:eastAsia="zh-CN"/>
        </w:rPr>
        <w:t>七</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、专业名词解释 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3.政府采购：指各级国家机关、事业单位和团体组织，使用财政性资金采购依法制定的集中目录以内的或者采购限额标准以上的货物、工程和服务的行为 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4.政府购买服务：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5. 调整预算数：指填列经调整后的全年预算数，包括年初预算数和预算调整调减数。 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第三部分  2018年度部门绩效评价情况 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80" w:firstLineChars="200"/>
        <w:jc w:val="both"/>
        <w:rPr>
          <w:rFonts w:hint="eastAsia" w:ascii="微软雅黑" w:hAnsi="微软雅黑" w:eastAsia="微软雅黑" w:cs="微软雅黑"/>
          <w:i w:val="0"/>
          <w:iCs w:val="0"/>
          <w:caps w:val="0"/>
          <w:color w:val="404040"/>
          <w:spacing w:val="0"/>
          <w:sz w:val="24"/>
          <w:szCs w:val="24"/>
          <w:u w:val="none"/>
          <w:bdr w:val="none" w:color="auto" w:sz="0" w:space="0"/>
          <w:shd w:val="clear" w:fill="FFFFFF"/>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绩效评价工作开展情况。 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北京市丰台区人民政府办公室对2018年度部门项目支出实施绩效评价，评价项目1个，占部门项目总金额的38.46%，涉及金额280万元。评价结果良好。 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lang w:eastAsia="zh-CN"/>
        </w:rPr>
        <w:t>二、</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“丰台区公共管理综合保险”项目绩效评价报告 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（一）评价对象概况 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1、项目实施主体：北京市丰台区人民政府办公室应急办 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2、项目主要内容：支付丰台区公共管理综合保险费 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3、立项依据及背景：“保险”被誉为社会稳定器，在社会经济发展过程中，能起到较好的事故预防和灾后赔偿的积极作用。以习近平同志为核心的新一届中央政府也多次提出要重视政府管理职能创新工作，强调可以通过购买外部服务来解决社会治理问题。依据《北京市丰台区人民政府区长办公会议纪要》2015年第48期第4页第四条“会议原则同意开展购买公共管理保险服务相关工作。由区政府办公室负责，严格按照招投标相关要求实施”。2018年北京市丰台区人民政府办公室为此项目向丰台区财政局申请280万元资金。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（二）评价结论 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丰台区公共管理综合保险项目绩效考评级别为良好。 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（三）存在问题 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项目缺少对受益人群的满意度调查及相关分析报告。 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（四）建议 </w:t>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404040"/>
          <w:spacing w:val="0"/>
          <w:sz w:val="24"/>
          <w:szCs w:val="24"/>
          <w:u w:val="none"/>
          <w:bdr w:val="none" w:color="auto" w:sz="0" w:space="0"/>
          <w:shd w:val="clear" w:fill="FFFFFF"/>
        </w:rPr>
        <w:t>　　重视项目效益资料和数据归集和提供，注重项目满意度调查全面性，建议引入第三方专业调查，更加客观反映项目成果。 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both"/>
        <w:rPr>
          <w:rFonts w:hint="eastAsia" w:ascii="微软雅黑" w:hAnsi="微软雅黑" w:eastAsia="微软雅黑" w:cs="微软雅黑"/>
          <w:i w:val="0"/>
          <w:iCs w:val="0"/>
          <w:caps w:val="0"/>
          <w:color w:val="404040"/>
          <w:spacing w:val="0"/>
          <w:sz w:val="24"/>
          <w:szCs w:val="24"/>
          <w:u w:val="none"/>
          <w:bdr w:val="none" w:color="auto" w:sz="0" w:space="0"/>
          <w:shd w:val="clear" w:fill="FFFFFF"/>
          <w:lang w:eastAsia="zh-CN"/>
        </w:rPr>
      </w:pPr>
      <w:r>
        <w:rPr>
          <w:rFonts w:hint="eastAsia" w:ascii="微软雅黑" w:hAnsi="微软雅黑" w:eastAsia="微软雅黑" w:cs="微软雅黑"/>
          <w:i w:val="0"/>
          <w:iCs w:val="0"/>
          <w:caps w:val="0"/>
          <w:color w:val="404040"/>
          <w:spacing w:val="0"/>
          <w:sz w:val="24"/>
          <w:szCs w:val="24"/>
          <w:u w:val="none"/>
          <w:bdr w:val="none" w:color="auto" w:sz="0" w:space="0"/>
          <w:shd w:val="clear" w:fill="FFFFFF"/>
          <w:lang w:eastAsia="zh-CN"/>
        </w:rPr>
        <w:t>三、</w:t>
      </w:r>
      <w:r>
        <w:rPr>
          <w:rFonts w:hint="eastAsia" w:ascii="宋体" w:hAnsi="宋体" w:eastAsia="宋体" w:cs="宋体"/>
          <w:sz w:val="28"/>
          <w:szCs w:val="28"/>
        </w:rPr>
        <w:t>项目支出绩效自评表</w:t>
      </w:r>
      <w:bookmarkStart w:id="1" w:name="_GoBack"/>
      <w:bookmarkEnd w:id="1"/>
    </w:p>
    <w:tbl>
      <w:tblPr>
        <w:tblStyle w:val="3"/>
        <w:tblpPr w:leftFromText="180" w:rightFromText="180" w:vertAnchor="text" w:horzAnchor="page" w:tblpX="1256" w:tblpY="1028"/>
        <w:tblOverlap w:val="never"/>
        <w:tblW w:w="9900" w:type="dxa"/>
        <w:tblInd w:w="0" w:type="dxa"/>
        <w:tblLayout w:type="fixed"/>
        <w:tblCellMar>
          <w:top w:w="0" w:type="dxa"/>
          <w:left w:w="108" w:type="dxa"/>
          <w:bottom w:w="0" w:type="dxa"/>
          <w:right w:w="108" w:type="dxa"/>
        </w:tblCellMar>
      </w:tblPr>
      <w:tblGrid>
        <w:gridCol w:w="540"/>
        <w:gridCol w:w="330"/>
        <w:gridCol w:w="1065"/>
        <w:gridCol w:w="1980"/>
        <w:gridCol w:w="333"/>
        <w:gridCol w:w="162"/>
        <w:gridCol w:w="645"/>
        <w:gridCol w:w="572"/>
        <w:gridCol w:w="240"/>
        <w:gridCol w:w="952"/>
        <w:gridCol w:w="936"/>
        <w:gridCol w:w="960"/>
        <w:gridCol w:w="420"/>
        <w:gridCol w:w="765"/>
      </w:tblGrid>
      <w:tr>
        <w:tblPrEx>
          <w:tblCellMar>
            <w:top w:w="0" w:type="dxa"/>
            <w:left w:w="108" w:type="dxa"/>
            <w:bottom w:w="0" w:type="dxa"/>
            <w:right w:w="108" w:type="dxa"/>
          </w:tblCellMar>
        </w:tblPrEx>
        <w:trPr>
          <w:trHeight w:val="465" w:hRule="atLeast"/>
        </w:trPr>
        <w:tc>
          <w:tcPr>
            <w:tcW w:w="9900" w:type="dxa"/>
            <w:gridSpan w:val="14"/>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项目支出绩效自评表</w:t>
            </w:r>
            <w:r>
              <w:rPr>
                <w:rFonts w:hint="eastAsia"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233" w:hRule="atLeast"/>
        </w:trPr>
        <w:tc>
          <w:tcPr>
            <w:tcW w:w="9900" w:type="dxa"/>
            <w:gridSpan w:val="14"/>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（2018年度）</w:t>
            </w:r>
          </w:p>
        </w:tc>
      </w:tr>
      <w:tr>
        <w:tblPrEx>
          <w:tblCellMar>
            <w:top w:w="0" w:type="dxa"/>
            <w:left w:w="108" w:type="dxa"/>
            <w:bottom w:w="0" w:type="dxa"/>
            <w:right w:w="108" w:type="dxa"/>
          </w:tblCellMar>
        </w:tblPrEx>
        <w:trPr>
          <w:trHeight w:val="233" w:hRule="atLeast"/>
        </w:trPr>
        <w:tc>
          <w:tcPr>
            <w:tcW w:w="54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5"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13"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07"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4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5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96"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40" w:hRule="atLeast"/>
        </w:trPr>
        <w:tc>
          <w:tcPr>
            <w:tcW w:w="193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6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44"/>
                <w:sz w:val="18"/>
                <w:szCs w:val="18"/>
              </w:rPr>
            </w:pPr>
            <w:r>
              <w:rPr>
                <w:rFonts w:hint="eastAsia" w:ascii="宋体" w:hAnsi="宋体" w:cs="宋体"/>
                <w:color w:val="000000"/>
                <w:kern w:val="0"/>
                <w:sz w:val="18"/>
                <w:szCs w:val="18"/>
              </w:rPr>
              <w:t>　</w:t>
            </w:r>
            <w:bookmarkStart w:id="0" w:name="_Toc318476443"/>
            <w:r>
              <w:rPr>
                <w:rFonts w:hint="eastAsia" w:ascii="宋体" w:hAnsi="宋体" w:cs="宋体"/>
                <w:color w:val="000000"/>
                <w:kern w:val="0"/>
                <w:sz w:val="18"/>
                <w:szCs w:val="18"/>
              </w:rPr>
              <w:t>丰台区公共管理综合保险</w:t>
            </w:r>
            <w:bookmarkEnd w:id="0"/>
            <w:r>
              <w:rPr>
                <w:rFonts w:hint="eastAsia" w:ascii="宋体" w:hAnsi="宋体" w:cs="宋体"/>
                <w:color w:val="000000"/>
                <w:kern w:val="0"/>
                <w:sz w:val="18"/>
                <w:szCs w:val="18"/>
              </w:rPr>
              <w:t>费</w:t>
            </w:r>
          </w:p>
        </w:tc>
      </w:tr>
      <w:tr>
        <w:tblPrEx>
          <w:tblCellMar>
            <w:top w:w="0" w:type="dxa"/>
            <w:left w:w="108" w:type="dxa"/>
            <w:bottom w:w="0" w:type="dxa"/>
            <w:right w:w="108" w:type="dxa"/>
          </w:tblCellMar>
        </w:tblPrEx>
        <w:trPr>
          <w:trHeight w:val="472" w:hRule="atLeast"/>
        </w:trPr>
        <w:tc>
          <w:tcPr>
            <w:tcW w:w="193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31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101012 丰台区人民政府办公室</w:t>
            </w:r>
          </w:p>
        </w:tc>
        <w:tc>
          <w:tcPr>
            <w:tcW w:w="4845"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实施单位：丰台区人民政府办公室</w:t>
            </w:r>
          </w:p>
        </w:tc>
      </w:tr>
      <w:tr>
        <w:tblPrEx>
          <w:tblCellMar>
            <w:top w:w="0" w:type="dxa"/>
            <w:left w:w="108" w:type="dxa"/>
            <w:bottom w:w="0" w:type="dxa"/>
            <w:right w:w="108" w:type="dxa"/>
          </w:tblCellMar>
        </w:tblPrEx>
        <w:trPr>
          <w:trHeight w:val="704" w:hRule="atLeast"/>
        </w:trPr>
        <w:tc>
          <w:tcPr>
            <w:tcW w:w="193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项目资金（万元）</w:t>
            </w:r>
          </w:p>
        </w:tc>
        <w:tc>
          <w:tcPr>
            <w:tcW w:w="198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81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分值</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1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得分计算方法</w:t>
            </w:r>
          </w:p>
        </w:tc>
      </w:tr>
      <w:tr>
        <w:tblPrEx>
          <w:tblCellMar>
            <w:top w:w="0" w:type="dxa"/>
            <w:left w:w="108" w:type="dxa"/>
            <w:bottom w:w="0" w:type="dxa"/>
            <w:right w:w="108" w:type="dxa"/>
          </w:tblCellMar>
        </w:tblPrEx>
        <w:trPr>
          <w:trHeight w:val="472" w:hRule="atLeast"/>
        </w:trPr>
        <w:tc>
          <w:tcPr>
            <w:tcW w:w="193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98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　</w:t>
            </w:r>
          </w:p>
        </w:tc>
        <w:tc>
          <w:tcPr>
            <w:tcW w:w="960"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11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执行率不超该指标分值，最高不得超过分值上限。</w:t>
            </w:r>
          </w:p>
        </w:tc>
      </w:tr>
      <w:tr>
        <w:tblPrEx>
          <w:tblCellMar>
            <w:top w:w="0" w:type="dxa"/>
            <w:left w:w="108" w:type="dxa"/>
            <w:bottom w:w="0" w:type="dxa"/>
            <w:right w:w="108" w:type="dxa"/>
          </w:tblCellMar>
        </w:tblPrEx>
        <w:trPr>
          <w:trHeight w:val="472" w:hRule="atLeast"/>
        </w:trPr>
        <w:tc>
          <w:tcPr>
            <w:tcW w:w="193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98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p>
        </w:tc>
        <w:tc>
          <w:tcPr>
            <w:tcW w:w="960"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11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72" w:hRule="atLeast"/>
        </w:trPr>
        <w:tc>
          <w:tcPr>
            <w:tcW w:w="193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98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11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90" w:hRule="atLeast"/>
        </w:trPr>
        <w:tc>
          <w:tcPr>
            <w:tcW w:w="540"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515" w:type="dxa"/>
            <w:gridSpan w:val="6"/>
            <w:tcBorders>
              <w:top w:val="single" w:color="auto" w:sz="4" w:space="0"/>
              <w:left w:val="nil"/>
              <w:bottom w:val="single" w:color="auto" w:sz="4" w:space="0"/>
              <w:right w:val="single" w:color="000000" w:sz="4" w:space="0"/>
            </w:tcBorders>
            <w:shd w:val="clear" w:color="auto" w:fill="auto"/>
            <w:vAlign w:val="center"/>
          </w:tcPr>
          <w:p>
            <w:pPr>
              <w:ind w:firstLine="560"/>
              <w:rPr>
                <w:rFonts w:ascii="宋体" w:hAnsi="宋体" w:cs="仿宋_GB2312"/>
                <w:kern w:val="44"/>
                <w:sz w:val="18"/>
                <w:szCs w:val="18"/>
              </w:rPr>
            </w:pPr>
            <w:r>
              <w:rPr>
                <w:rFonts w:hint="eastAsia" w:ascii="宋体" w:hAnsi="宋体" w:cs="宋体"/>
                <w:color w:val="000000"/>
                <w:kern w:val="0"/>
                <w:sz w:val="18"/>
                <w:szCs w:val="18"/>
              </w:rPr>
              <w:t>年初设定目标：</w:t>
            </w:r>
            <w:r>
              <w:rPr>
                <w:rFonts w:hint="eastAsia" w:ascii="宋体" w:hAnsi="宋体" w:cs="仿宋_GB2312"/>
                <w:kern w:val="44"/>
                <w:sz w:val="18"/>
                <w:szCs w:val="18"/>
              </w:rPr>
              <w:t>妥善解决因管理疏忽或过失导致的民事赔偿责任。</w:t>
            </w:r>
          </w:p>
          <w:p>
            <w:pPr>
              <w:widowControl/>
              <w:jc w:val="center"/>
              <w:rPr>
                <w:rFonts w:ascii="宋体" w:hAnsi="宋体" w:cs="宋体"/>
                <w:color w:val="000000"/>
                <w:kern w:val="0"/>
                <w:sz w:val="18"/>
                <w:szCs w:val="18"/>
              </w:rPr>
            </w:pPr>
          </w:p>
        </w:tc>
        <w:tc>
          <w:tcPr>
            <w:tcW w:w="4845"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年度总体目标完成情况综述：</w:t>
            </w:r>
            <w:r>
              <w:rPr>
                <w:rFonts w:hint="eastAsia" w:ascii="宋体" w:hAnsi="宋体" w:cs="仿宋_GB2312"/>
                <w:kern w:val="44"/>
                <w:sz w:val="18"/>
                <w:szCs w:val="18"/>
              </w:rPr>
              <w:t>妥善解决因管理疏忽或过失导致的民事赔偿责任。</w:t>
            </w:r>
          </w:p>
        </w:tc>
      </w:tr>
      <w:tr>
        <w:tblPrEx>
          <w:tblCellMar>
            <w:top w:w="0" w:type="dxa"/>
            <w:left w:w="108" w:type="dxa"/>
            <w:bottom w:w="0" w:type="dxa"/>
            <w:right w:w="108" w:type="dxa"/>
          </w:tblCellMar>
        </w:tblPrEx>
        <w:trPr>
          <w:trHeight w:val="936" w:hRule="atLeast"/>
        </w:trPr>
        <w:tc>
          <w:tcPr>
            <w:tcW w:w="54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3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81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284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得分计算方法</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7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0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保险涵盖范围：14类</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14</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14</w:t>
            </w:r>
          </w:p>
        </w:tc>
        <w:tc>
          <w:tcPr>
            <w:tcW w:w="28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完成值达到指标值，记满分；未达到指标值，按B/A或A/B*该指标分值记分。</w:t>
            </w:r>
          </w:p>
        </w:tc>
        <w:tc>
          <w:tcPr>
            <w:tcW w:w="42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8</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出险到赔付平均天数为30天</w:t>
            </w:r>
          </w:p>
        </w:tc>
        <w:tc>
          <w:tcPr>
            <w:tcW w:w="495" w:type="dxa"/>
            <w:gridSpan w:val="2"/>
            <w:tcBorders>
              <w:top w:val="nil"/>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30</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76　</w:t>
            </w:r>
          </w:p>
        </w:tc>
        <w:tc>
          <w:tcPr>
            <w:tcW w:w="2848" w:type="dxa"/>
            <w:gridSpan w:val="3"/>
            <w:vMerge w:val="continue"/>
            <w:tcBorders>
              <w:top w:val="nil"/>
              <w:left w:val="nil"/>
              <w:bottom w:val="single" w:color="auto" w:sz="4" w:space="0"/>
              <w:right w:val="single" w:color="auto" w:sz="4" w:space="0"/>
            </w:tcBorders>
            <w:vAlign w:val="center"/>
          </w:tcPr>
          <w:p>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0</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平均76天　</w:t>
            </w:r>
          </w:p>
        </w:tc>
      </w:tr>
      <w:tr>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保险公司高品质服务</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xml:space="preserve">高品质 </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一般</w:t>
            </w:r>
          </w:p>
        </w:tc>
        <w:tc>
          <w:tcPr>
            <w:tcW w:w="2848"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sz w:val="18"/>
                <w:szCs w:val="18"/>
              </w:rPr>
            </w:pPr>
            <w:r>
              <w:rPr>
                <w:rFonts w:hint="eastAsia"/>
                <w:sz w:val="18"/>
                <w:szCs w:val="18"/>
              </w:rPr>
              <w:t>1.若为定性指标，则根据“四档”原则分别按照指标分值的100-90%(含90%)、90-75%(含75%)、75-60%(含60%)、60-0%来记分。</w:t>
            </w:r>
            <w:r>
              <w:rPr>
                <w:rFonts w:hint="eastAsia"/>
                <w:sz w:val="18"/>
                <w:szCs w:val="18"/>
              </w:rPr>
              <w:br w:type="page"/>
            </w:r>
            <w:r>
              <w:rPr>
                <w:rFonts w:hint="eastAsia"/>
                <w:sz w:val="18"/>
                <w:szCs w:val="18"/>
              </w:rPr>
              <w:t>2.若为定量指标，完成值达到指标值，记满分；未达到指标值，按B/A或A/B*该指标分值记分。</w:t>
            </w:r>
          </w:p>
        </w:tc>
        <w:tc>
          <w:tcPr>
            <w:tcW w:w="42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6</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结案时间长</w:t>
            </w:r>
          </w:p>
        </w:tc>
      </w:tr>
      <w:tr>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结案率</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xml:space="preserve">　100% </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100%　</w:t>
            </w:r>
          </w:p>
        </w:tc>
        <w:tc>
          <w:tcPr>
            <w:tcW w:w="2848" w:type="dxa"/>
            <w:gridSpan w:val="3"/>
            <w:vMerge w:val="continue"/>
            <w:tcBorders>
              <w:top w:val="nil"/>
              <w:left w:val="nil"/>
              <w:bottom w:val="single" w:color="auto" w:sz="4" w:space="0"/>
              <w:right w:val="single" w:color="auto" w:sz="4" w:space="0"/>
            </w:tcBorders>
            <w:vAlign w:val="center"/>
          </w:tcPr>
          <w:p>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8</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70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完成时间：2018年12月31日</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12月31日</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2019年3月21日</w:t>
            </w:r>
          </w:p>
        </w:tc>
        <w:tc>
          <w:tcPr>
            <w:tcW w:w="2848" w:type="dxa"/>
            <w:gridSpan w:val="3"/>
            <w:vMerge w:val="continue"/>
            <w:tcBorders>
              <w:top w:val="nil"/>
              <w:left w:val="nil"/>
              <w:bottom w:val="single" w:color="auto" w:sz="4" w:space="0"/>
              <w:right w:val="single" w:color="auto" w:sz="4" w:space="0"/>
            </w:tcBorders>
            <w:vAlign w:val="center"/>
          </w:tcPr>
          <w:p>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0　</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结案日期晚于2018-12-31</w:t>
            </w:r>
          </w:p>
        </w:tc>
      </w:tr>
      <w:tr>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项目支出总额280万</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10</w:t>
            </w:r>
          </w:p>
        </w:tc>
        <w:tc>
          <w:tcPr>
            <w:tcW w:w="645" w:type="dxa"/>
            <w:tcBorders>
              <w:top w:val="nil"/>
              <w:left w:val="nil"/>
              <w:bottom w:val="single" w:color="auto" w:sz="4" w:space="0"/>
              <w:right w:val="single" w:color="auto" w:sz="4" w:space="0"/>
            </w:tcBorders>
            <w:shd w:val="clear" w:color="auto" w:fill="auto"/>
            <w:noWrap/>
            <w:vAlign w:val="center"/>
          </w:tcPr>
          <w:p>
            <w:pPr>
              <w:widowControl/>
              <w:jc w:val="both"/>
              <w:rPr>
                <w:sz w:val="18"/>
                <w:szCs w:val="18"/>
              </w:rPr>
            </w:pPr>
            <w:r>
              <w:rPr>
                <w:rFonts w:hint="eastAsia"/>
                <w:sz w:val="18"/>
                <w:szCs w:val="18"/>
              </w:rPr>
              <w:t>280万</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280万　</w:t>
            </w:r>
          </w:p>
        </w:tc>
        <w:tc>
          <w:tcPr>
            <w:tcW w:w="2848" w:type="dxa"/>
            <w:gridSpan w:val="3"/>
            <w:vMerge w:val="continue"/>
            <w:tcBorders>
              <w:top w:val="nil"/>
              <w:left w:val="nil"/>
              <w:bottom w:val="single" w:color="auto" w:sz="4" w:space="0"/>
              <w:right w:val="single" w:color="auto" w:sz="4" w:space="0"/>
            </w:tcBorders>
            <w:vAlign w:val="center"/>
          </w:tcPr>
          <w:p>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10</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70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06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经济效益：解决因管理疏忽或过失导致的民事赔偿责任</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是</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是</w:t>
            </w:r>
          </w:p>
        </w:tc>
        <w:tc>
          <w:tcPr>
            <w:tcW w:w="2848" w:type="dxa"/>
            <w:gridSpan w:val="3"/>
            <w:vMerge w:val="restart"/>
            <w:tcBorders>
              <w:top w:val="single" w:color="auto" w:sz="4" w:space="0"/>
              <w:left w:val="single" w:color="auto" w:sz="4" w:space="0"/>
              <w:right w:val="nil"/>
            </w:tcBorders>
            <w:shd w:val="clear" w:color="auto" w:fill="auto"/>
            <w:vAlign w:val="center"/>
          </w:tcPr>
          <w:p>
            <w:pPr>
              <w:widowControl/>
              <w:jc w:val="left"/>
              <w:rPr>
                <w:sz w:val="18"/>
                <w:szCs w:val="18"/>
              </w:rPr>
            </w:pPr>
            <w:r>
              <w:rPr>
                <w:rFonts w:hint="eastAsia"/>
                <w:sz w:val="18"/>
                <w:szCs w:val="18"/>
              </w:rPr>
              <w:t>1.若为定性指标，则根据“四档”原则分别按照指标分值的100-90%(含90%)、90-75%(含75%)、75-60%（含60%）、60-0%来记分。</w:t>
            </w:r>
            <w:r>
              <w:rPr>
                <w:rFonts w:hint="eastAsia"/>
                <w:sz w:val="18"/>
                <w:szCs w:val="18"/>
              </w:rPr>
              <w:br w:type="textWrapping"/>
            </w:r>
            <w:r>
              <w:rPr>
                <w:rFonts w:hint="eastAsia"/>
                <w:sz w:val="18"/>
                <w:szCs w:val="18"/>
              </w:rPr>
              <w:t>2.若为定量指标，完成值达到指标值，记满分；未达到指标值，按B/A或A/B*该指标分值记分。</w:t>
            </w:r>
          </w:p>
        </w:tc>
        <w:tc>
          <w:tcPr>
            <w:tcW w:w="4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8</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140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65" w:type="dxa"/>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社会效益：提高政府应对突发事件处置能力和公共管理风险防控水平，切实承担突发公共事件行政救助责任</w:t>
            </w:r>
          </w:p>
        </w:tc>
        <w:tc>
          <w:tcPr>
            <w:tcW w:w="495" w:type="dxa"/>
            <w:gridSpan w:val="2"/>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pPr>
              <w:widowControl/>
              <w:ind w:firstLine="180" w:firstLineChars="100"/>
              <w:jc w:val="left"/>
              <w:rPr>
                <w:sz w:val="18"/>
                <w:szCs w:val="18"/>
              </w:rPr>
            </w:pPr>
            <w:r>
              <w:rPr>
                <w:rFonts w:hint="eastAsia"/>
                <w:sz w:val="18"/>
                <w:szCs w:val="18"/>
              </w:rPr>
              <w:t>是</w:t>
            </w:r>
          </w:p>
        </w:tc>
        <w:tc>
          <w:tcPr>
            <w:tcW w:w="812" w:type="dxa"/>
            <w:gridSpan w:val="2"/>
            <w:tcBorders>
              <w:top w:val="nil"/>
              <w:left w:val="nil"/>
              <w:bottom w:val="single" w:color="auto" w:sz="4" w:space="0"/>
              <w:right w:val="single" w:color="auto" w:sz="4" w:space="0"/>
            </w:tcBorders>
            <w:shd w:val="clear" w:color="auto" w:fill="auto"/>
            <w:noWrap/>
            <w:vAlign w:val="center"/>
          </w:tcPr>
          <w:p>
            <w:pPr>
              <w:widowControl/>
              <w:ind w:firstLine="180" w:firstLineChars="100"/>
              <w:jc w:val="left"/>
              <w:rPr>
                <w:sz w:val="18"/>
                <w:szCs w:val="18"/>
              </w:rPr>
            </w:pPr>
            <w:r>
              <w:rPr>
                <w:rFonts w:hint="eastAsia"/>
                <w:sz w:val="18"/>
                <w:szCs w:val="18"/>
              </w:rPr>
              <w:t>是</w:t>
            </w:r>
          </w:p>
        </w:tc>
        <w:tc>
          <w:tcPr>
            <w:tcW w:w="2848" w:type="dxa"/>
            <w:gridSpan w:val="3"/>
            <w:vMerge w:val="continue"/>
            <w:tcBorders>
              <w:left w:val="single" w:color="auto" w:sz="4" w:space="0"/>
              <w:right w:val="single" w:color="auto" w:sz="4" w:space="0"/>
            </w:tcBorders>
            <w:vAlign w:val="center"/>
          </w:tcPr>
          <w:p>
            <w:pPr>
              <w:widowControl/>
              <w:jc w:val="left"/>
              <w:rPr>
                <w:sz w:val="18"/>
                <w:szCs w:val="18"/>
              </w:rPr>
            </w:pPr>
          </w:p>
        </w:tc>
        <w:tc>
          <w:tcPr>
            <w:tcW w:w="4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8</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65" w:type="dxa"/>
            <w:vMerge w:val="continue"/>
            <w:tcBorders>
              <w:left w:val="single" w:color="auto" w:sz="4" w:space="0"/>
              <w:bottom w:val="nil"/>
              <w:right w:val="single" w:color="auto" w:sz="4" w:space="0"/>
            </w:tcBorders>
            <w:vAlign w:val="center"/>
          </w:tcPr>
          <w:p>
            <w:pPr>
              <w:widowControl/>
              <w:jc w:val="left"/>
              <w:rPr>
                <w:rFonts w:ascii="宋体" w:hAnsi="宋体" w:cs="宋体"/>
                <w:kern w:val="0"/>
                <w:sz w:val="18"/>
                <w:szCs w:val="18"/>
              </w:rPr>
            </w:pPr>
          </w:p>
        </w:tc>
        <w:tc>
          <w:tcPr>
            <w:tcW w:w="19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环境效益：提高政府社会公众形象</w:t>
            </w:r>
          </w:p>
        </w:tc>
        <w:tc>
          <w:tcPr>
            <w:tcW w:w="495"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sz w:val="18"/>
                <w:szCs w:val="18"/>
              </w:rPr>
            </w:pPr>
            <w:r>
              <w:rPr>
                <w:rFonts w:hint="eastAsia"/>
                <w:sz w:val="18"/>
                <w:szCs w:val="18"/>
              </w:rPr>
              <w:t>　8</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jc w:val="left"/>
              <w:rPr>
                <w:sz w:val="18"/>
                <w:szCs w:val="18"/>
              </w:rPr>
            </w:pPr>
            <w:r>
              <w:rPr>
                <w:rFonts w:hint="eastAsia"/>
                <w:sz w:val="18"/>
                <w:szCs w:val="18"/>
              </w:rPr>
              <w:t>　是</w:t>
            </w:r>
          </w:p>
        </w:tc>
        <w:tc>
          <w:tcPr>
            <w:tcW w:w="812"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sz w:val="18"/>
                <w:szCs w:val="18"/>
              </w:rPr>
            </w:pPr>
            <w:r>
              <w:rPr>
                <w:rFonts w:hint="eastAsia"/>
                <w:sz w:val="18"/>
                <w:szCs w:val="18"/>
              </w:rPr>
              <w:t>　是</w:t>
            </w:r>
          </w:p>
        </w:tc>
        <w:tc>
          <w:tcPr>
            <w:tcW w:w="2848" w:type="dxa"/>
            <w:gridSpan w:val="3"/>
            <w:vMerge w:val="continue"/>
            <w:tcBorders>
              <w:left w:val="single" w:color="auto" w:sz="4" w:space="0"/>
              <w:bottom w:val="nil"/>
              <w:right w:val="single" w:color="auto" w:sz="4" w:space="0"/>
            </w:tcBorders>
            <w:vAlign w:val="center"/>
          </w:tcPr>
          <w:p>
            <w:pPr>
              <w:widowControl/>
              <w:jc w:val="left"/>
              <w:rPr>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116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可持续影响：起到较好的风险转嫁效果，避免政府与公众形成对立面，维护政府形象</w:t>
            </w:r>
          </w:p>
        </w:tc>
        <w:tc>
          <w:tcPr>
            <w:tcW w:w="495"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sz w:val="18"/>
                <w:szCs w:val="18"/>
              </w:rPr>
            </w:pPr>
            <w:r>
              <w:rPr>
                <w:rFonts w:hint="eastAsia"/>
                <w:sz w:val="18"/>
                <w:szCs w:val="18"/>
              </w:rPr>
              <w:t>8</w:t>
            </w:r>
          </w:p>
        </w:tc>
        <w:tc>
          <w:tcPr>
            <w:tcW w:w="645" w:type="dxa"/>
            <w:tcBorders>
              <w:top w:val="single" w:color="auto" w:sz="4" w:space="0"/>
              <w:left w:val="nil"/>
              <w:bottom w:val="single" w:color="auto" w:sz="4" w:space="0"/>
              <w:right w:val="single" w:color="auto" w:sz="4" w:space="0"/>
            </w:tcBorders>
            <w:shd w:val="clear" w:color="auto" w:fill="auto"/>
            <w:vAlign w:val="center"/>
          </w:tcPr>
          <w:p>
            <w:pPr>
              <w:ind w:firstLine="180" w:firstLineChars="100"/>
              <w:jc w:val="left"/>
              <w:rPr>
                <w:sz w:val="18"/>
                <w:szCs w:val="18"/>
              </w:rPr>
            </w:pPr>
            <w:r>
              <w:rPr>
                <w:rFonts w:hint="eastAsia"/>
                <w:sz w:val="18"/>
                <w:szCs w:val="18"/>
              </w:rPr>
              <w:t>是</w:t>
            </w:r>
          </w:p>
        </w:tc>
        <w:tc>
          <w:tcPr>
            <w:tcW w:w="81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80" w:firstLineChars="100"/>
              <w:jc w:val="left"/>
              <w:rPr>
                <w:sz w:val="18"/>
                <w:szCs w:val="18"/>
              </w:rPr>
            </w:pPr>
            <w:r>
              <w:rPr>
                <w:rFonts w:hint="eastAsia"/>
                <w:sz w:val="18"/>
                <w:szCs w:val="18"/>
              </w:rPr>
              <w:t>是</w:t>
            </w:r>
          </w:p>
        </w:tc>
        <w:tc>
          <w:tcPr>
            <w:tcW w:w="2848" w:type="dxa"/>
            <w:gridSpan w:val="3"/>
            <w:vMerge w:val="continue"/>
            <w:tcBorders>
              <w:left w:val="single" w:color="auto" w:sz="4" w:space="0"/>
              <w:bottom w:val="single" w:color="auto" w:sz="4" w:space="0"/>
              <w:right w:val="single" w:color="auto" w:sz="4" w:space="0"/>
            </w:tcBorders>
            <w:vAlign w:val="center"/>
          </w:tcPr>
          <w:p>
            <w:pPr>
              <w:widowControl/>
              <w:jc w:val="left"/>
              <w:rPr>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90" w:firstLineChars="50"/>
              <w:rPr>
                <w:sz w:val="18"/>
                <w:szCs w:val="18"/>
              </w:rPr>
            </w:pPr>
            <w:r>
              <w:rPr>
                <w:rFonts w:hint="eastAsia"/>
                <w:sz w:val="18"/>
                <w:szCs w:val="18"/>
              </w:rPr>
              <w:t>8</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p>
        </w:tc>
      </w:tr>
      <w:tr>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980" w:type="dxa"/>
            <w:vMerge w:val="restart"/>
            <w:tcBorders>
              <w:top w:val="single" w:color="auto" w:sz="4" w:space="0"/>
              <w:left w:val="nil"/>
              <w:right w:val="single" w:color="auto" w:sz="4" w:space="0"/>
            </w:tcBorders>
            <w:shd w:val="clear" w:color="auto" w:fill="auto"/>
            <w:noWrap/>
            <w:vAlign w:val="center"/>
          </w:tcPr>
          <w:p>
            <w:pPr>
              <w:widowControl/>
              <w:jc w:val="left"/>
              <w:rPr>
                <w:sz w:val="18"/>
                <w:szCs w:val="18"/>
              </w:rPr>
            </w:pPr>
            <w:r>
              <w:rPr>
                <w:rFonts w:hint="eastAsia"/>
                <w:sz w:val="18"/>
                <w:szCs w:val="18"/>
              </w:rPr>
              <w:t>参保单位满意度大于80%</w:t>
            </w:r>
          </w:p>
        </w:tc>
        <w:tc>
          <w:tcPr>
            <w:tcW w:w="495" w:type="dxa"/>
            <w:gridSpan w:val="2"/>
            <w:vMerge w:val="restart"/>
            <w:tcBorders>
              <w:top w:val="single" w:color="auto" w:sz="4" w:space="0"/>
              <w:left w:val="nil"/>
              <w:right w:val="single" w:color="auto" w:sz="4" w:space="0"/>
            </w:tcBorders>
            <w:shd w:val="clear" w:color="auto" w:fill="auto"/>
            <w:noWrap/>
            <w:vAlign w:val="center"/>
          </w:tcPr>
          <w:p>
            <w:pPr>
              <w:widowControl/>
              <w:jc w:val="left"/>
              <w:rPr>
                <w:sz w:val="18"/>
                <w:szCs w:val="18"/>
              </w:rPr>
            </w:pPr>
            <w:r>
              <w:rPr>
                <w:rFonts w:hint="eastAsia"/>
                <w:sz w:val="18"/>
                <w:szCs w:val="18"/>
              </w:rPr>
              <w:t>　8</w:t>
            </w:r>
          </w:p>
        </w:tc>
        <w:tc>
          <w:tcPr>
            <w:tcW w:w="645" w:type="dxa"/>
            <w:vMerge w:val="restart"/>
            <w:tcBorders>
              <w:top w:val="single" w:color="auto" w:sz="4" w:space="0"/>
              <w:left w:val="nil"/>
              <w:right w:val="single" w:color="auto" w:sz="4" w:space="0"/>
            </w:tcBorders>
            <w:shd w:val="clear" w:color="auto" w:fill="auto"/>
            <w:noWrap/>
            <w:vAlign w:val="center"/>
          </w:tcPr>
          <w:p>
            <w:pPr>
              <w:widowControl/>
              <w:jc w:val="left"/>
              <w:rPr>
                <w:sz w:val="18"/>
                <w:szCs w:val="18"/>
              </w:rPr>
            </w:pPr>
            <w:r>
              <w:rPr>
                <w:rFonts w:hint="eastAsia"/>
                <w:sz w:val="18"/>
                <w:szCs w:val="18"/>
              </w:rPr>
              <w:t>　是</w:t>
            </w:r>
          </w:p>
        </w:tc>
        <w:tc>
          <w:tcPr>
            <w:tcW w:w="812" w:type="dxa"/>
            <w:gridSpan w:val="2"/>
            <w:vMerge w:val="restart"/>
            <w:tcBorders>
              <w:top w:val="single" w:color="auto" w:sz="4" w:space="0"/>
              <w:left w:val="nil"/>
              <w:right w:val="single" w:color="auto" w:sz="4" w:space="0"/>
            </w:tcBorders>
            <w:shd w:val="clear" w:color="auto" w:fill="auto"/>
            <w:noWrap/>
            <w:vAlign w:val="center"/>
          </w:tcPr>
          <w:p>
            <w:pPr>
              <w:widowControl/>
              <w:jc w:val="left"/>
              <w:rPr>
                <w:sz w:val="18"/>
                <w:szCs w:val="18"/>
              </w:rPr>
            </w:pPr>
            <w:r>
              <w:rPr>
                <w:rFonts w:hint="eastAsia"/>
                <w:sz w:val="18"/>
                <w:szCs w:val="18"/>
              </w:rPr>
              <w:t>　是</w:t>
            </w:r>
          </w:p>
        </w:tc>
        <w:tc>
          <w:tcPr>
            <w:tcW w:w="2848" w:type="dxa"/>
            <w:gridSpan w:val="3"/>
            <w:vMerge w:val="restart"/>
            <w:tcBorders>
              <w:top w:val="single" w:color="auto" w:sz="4" w:space="0"/>
              <w:left w:val="single" w:color="auto" w:sz="4" w:space="0"/>
              <w:bottom w:val="nil"/>
              <w:right w:val="nil"/>
            </w:tcBorders>
            <w:shd w:val="clear" w:color="auto" w:fill="auto"/>
            <w:vAlign w:val="center"/>
          </w:tcPr>
          <w:p>
            <w:pPr>
              <w:widowControl/>
              <w:jc w:val="left"/>
              <w:rPr>
                <w:sz w:val="18"/>
                <w:szCs w:val="18"/>
              </w:rPr>
            </w:pPr>
            <w:r>
              <w:rPr>
                <w:rFonts w:hint="eastAsia"/>
                <w:sz w:val="18"/>
                <w:szCs w:val="18"/>
              </w:rPr>
              <w:t>同效益指标得分计算方式。</w:t>
            </w:r>
          </w:p>
        </w:tc>
        <w:tc>
          <w:tcPr>
            <w:tcW w:w="420" w:type="dxa"/>
            <w:tcBorders>
              <w:top w:val="nil"/>
              <w:left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w:t>
            </w:r>
          </w:p>
          <w:p>
            <w:pPr>
              <w:widowControl/>
              <w:ind w:firstLine="90" w:firstLineChars="50"/>
              <w:jc w:val="left"/>
              <w:rPr>
                <w:sz w:val="18"/>
                <w:szCs w:val="18"/>
              </w:rPr>
            </w:pPr>
            <w:r>
              <w:rPr>
                <w:rFonts w:hint="eastAsia"/>
                <w:sz w:val="18"/>
                <w:szCs w:val="18"/>
              </w:rPr>
              <w:t>8</w:t>
            </w:r>
          </w:p>
        </w:tc>
        <w:tc>
          <w:tcPr>
            <w:tcW w:w="765" w:type="dxa"/>
            <w:tcBorders>
              <w:top w:val="nil"/>
              <w:left w:val="nil"/>
              <w:right w:val="single" w:color="auto" w:sz="4" w:space="0"/>
            </w:tcBorders>
            <w:shd w:val="clear" w:color="auto" w:fill="auto"/>
            <w:noWrap/>
            <w:vAlign w:val="center"/>
          </w:tcPr>
          <w:p>
            <w:pPr>
              <w:widowControl/>
              <w:jc w:val="left"/>
              <w:rPr>
                <w:sz w:val="18"/>
                <w:szCs w:val="18"/>
              </w:rPr>
            </w:pPr>
            <w:r>
              <w:rPr>
                <w:rFonts w:hint="eastAsia"/>
                <w:sz w:val="18"/>
                <w:szCs w:val="18"/>
              </w:rPr>
              <w:t>　</w:t>
            </w:r>
          </w:p>
        </w:tc>
      </w:tr>
      <w:tr>
        <w:tblPrEx>
          <w:tblCellMar>
            <w:top w:w="0" w:type="dxa"/>
            <w:left w:w="108" w:type="dxa"/>
            <w:bottom w:w="0" w:type="dxa"/>
            <w:right w:w="108" w:type="dxa"/>
          </w:tblCellMar>
        </w:tblPrEx>
        <w:trPr>
          <w:trHeight w:val="65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0" w:type="dxa"/>
            <w:vMerge w:val="continue"/>
            <w:tcBorders>
              <w:left w:val="nil"/>
              <w:bottom w:val="single" w:color="auto" w:sz="4" w:space="0"/>
              <w:right w:val="single" w:color="auto" w:sz="4" w:space="0"/>
            </w:tcBorders>
            <w:shd w:val="clear" w:color="auto" w:fill="auto"/>
            <w:noWrap/>
            <w:vAlign w:val="center"/>
          </w:tcPr>
          <w:p>
            <w:pPr>
              <w:widowControl/>
              <w:jc w:val="left"/>
              <w:rPr>
                <w:sz w:val="18"/>
                <w:szCs w:val="18"/>
              </w:rPr>
            </w:pPr>
          </w:p>
        </w:tc>
        <w:tc>
          <w:tcPr>
            <w:tcW w:w="495" w:type="dxa"/>
            <w:gridSpan w:val="2"/>
            <w:vMerge w:val="continue"/>
            <w:tcBorders>
              <w:left w:val="nil"/>
              <w:bottom w:val="single" w:color="auto" w:sz="4" w:space="0"/>
              <w:right w:val="single" w:color="auto" w:sz="4" w:space="0"/>
            </w:tcBorders>
            <w:shd w:val="clear" w:color="auto" w:fill="auto"/>
            <w:noWrap/>
            <w:vAlign w:val="center"/>
          </w:tcPr>
          <w:p>
            <w:pPr>
              <w:widowControl/>
              <w:jc w:val="left"/>
              <w:rPr>
                <w:sz w:val="18"/>
                <w:szCs w:val="18"/>
              </w:rPr>
            </w:pPr>
          </w:p>
        </w:tc>
        <w:tc>
          <w:tcPr>
            <w:tcW w:w="645" w:type="dxa"/>
            <w:vMerge w:val="continue"/>
            <w:tcBorders>
              <w:left w:val="nil"/>
              <w:bottom w:val="single" w:color="auto" w:sz="4" w:space="0"/>
              <w:right w:val="single" w:color="auto" w:sz="4" w:space="0"/>
            </w:tcBorders>
            <w:shd w:val="clear" w:color="auto" w:fill="auto"/>
            <w:noWrap/>
            <w:vAlign w:val="center"/>
          </w:tcPr>
          <w:p>
            <w:pPr>
              <w:widowControl/>
              <w:jc w:val="left"/>
              <w:rPr>
                <w:sz w:val="18"/>
                <w:szCs w:val="18"/>
              </w:rPr>
            </w:pPr>
          </w:p>
        </w:tc>
        <w:tc>
          <w:tcPr>
            <w:tcW w:w="812" w:type="dxa"/>
            <w:gridSpan w:val="2"/>
            <w:vMerge w:val="continue"/>
            <w:tcBorders>
              <w:left w:val="nil"/>
              <w:bottom w:val="single" w:color="auto" w:sz="4" w:space="0"/>
              <w:right w:val="single" w:color="auto" w:sz="4" w:space="0"/>
            </w:tcBorders>
            <w:shd w:val="clear" w:color="auto" w:fill="auto"/>
            <w:noWrap/>
            <w:vAlign w:val="center"/>
          </w:tcPr>
          <w:p>
            <w:pPr>
              <w:widowControl/>
              <w:jc w:val="left"/>
              <w:rPr>
                <w:sz w:val="18"/>
                <w:szCs w:val="18"/>
              </w:rPr>
            </w:pPr>
          </w:p>
        </w:tc>
        <w:tc>
          <w:tcPr>
            <w:tcW w:w="2848" w:type="dxa"/>
            <w:gridSpan w:val="3"/>
            <w:vMerge w:val="continue"/>
            <w:tcBorders>
              <w:top w:val="nil"/>
              <w:left w:val="nil"/>
              <w:bottom w:val="single" w:color="auto" w:sz="4" w:space="0"/>
              <w:right w:val="single" w:color="auto" w:sz="4" w:space="0"/>
            </w:tcBorders>
            <w:vAlign w:val="center"/>
          </w:tcPr>
          <w:p>
            <w:pPr>
              <w:widowControl/>
              <w:jc w:val="left"/>
              <w:rPr>
                <w:sz w:val="18"/>
                <w:szCs w:val="18"/>
              </w:rPr>
            </w:pPr>
          </w:p>
        </w:tc>
        <w:tc>
          <w:tcPr>
            <w:tcW w:w="4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　</w:t>
            </w:r>
          </w:p>
        </w:tc>
      </w:tr>
      <w:tr>
        <w:tblPrEx>
          <w:tblCellMar>
            <w:top w:w="0" w:type="dxa"/>
            <w:left w:w="108" w:type="dxa"/>
            <w:bottom w:w="0" w:type="dxa"/>
            <w:right w:w="108" w:type="dxa"/>
          </w:tblCellMar>
        </w:tblPrEx>
        <w:trPr>
          <w:trHeight w:val="320" w:hRule="atLeast"/>
        </w:trPr>
        <w:tc>
          <w:tcPr>
            <w:tcW w:w="9135"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总分</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sz w:val="18"/>
                <w:szCs w:val="18"/>
              </w:rPr>
            </w:pPr>
            <w:r>
              <w:rPr>
                <w:rFonts w:hint="eastAsia"/>
                <w:sz w:val="18"/>
                <w:szCs w:val="18"/>
              </w:rPr>
              <w:t>82</w:t>
            </w:r>
          </w:p>
        </w:tc>
      </w:tr>
    </w:tbl>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宋体" w:hAnsi="宋体" w:eastAsia="宋体" w:cs="宋体"/>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2188E"/>
    <w:multiLevelType w:val="singleLevel"/>
    <w:tmpl w:val="CD7218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80410"/>
    <w:rsid w:val="5658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2021-06-16T11:02:00Z</dcterms:created>
  <dc:creator>琦</dc:creator>
  <cp:lastModifiedBy>琦</cp:lastModifiedBy>
  <dcterms:modified xsi:type="dcterms:W3CDTF">2021-06-16T11:31:31Z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D2AF50EF76274F69818B4D63CEAF5EC6</vt:lpwstr>
  </property>
</Properties>
</file>