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bCs/>
          <w:color w:val="000000"/>
          <w:spacing w:val="15"/>
          <w:kern w:val="0"/>
          <w:sz w:val="36"/>
          <w:szCs w:val="36"/>
          <w:lang w:val="en-US"/>
        </w:rPr>
      </w:pPr>
      <w:bookmarkStart w:id="0" w:name="_GoBack"/>
      <w:r>
        <w:rPr>
          <w:rFonts w:hint="eastAsia" w:ascii="方正小标宋简体" w:hAnsi="方正小标宋简体" w:eastAsia="方正小标宋简体" w:cs="方正小标宋简体"/>
          <w:bCs/>
          <w:color w:val="000000"/>
          <w:spacing w:val="15"/>
          <w:kern w:val="0"/>
          <w:sz w:val="36"/>
          <w:szCs w:val="36"/>
          <w:lang w:val="en-US" w:eastAsia="zh-CN" w:bidi="ar"/>
        </w:rPr>
        <w:t>北京市丰台区人民政府外事侨务办公室</w:t>
      </w:r>
    </w:p>
    <w:p>
      <w:pPr>
        <w:keepNext w:val="0"/>
        <w:keepLines w:val="0"/>
        <w:widowControl/>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bCs/>
          <w:color w:val="000000"/>
          <w:spacing w:val="15"/>
          <w:kern w:val="0"/>
          <w:sz w:val="36"/>
          <w:szCs w:val="36"/>
          <w:lang w:val="en-US"/>
        </w:rPr>
      </w:pPr>
      <w:r>
        <w:rPr>
          <w:rFonts w:hint="eastAsia" w:ascii="方正小标宋简体" w:hAnsi="方正小标宋简体" w:eastAsia="方正小标宋简体" w:cs="方正小标宋简体"/>
          <w:bCs/>
          <w:color w:val="000000"/>
          <w:spacing w:val="15"/>
          <w:kern w:val="0"/>
          <w:sz w:val="36"/>
          <w:szCs w:val="36"/>
          <w:lang w:val="en-US" w:eastAsia="zh-CN" w:bidi="ar"/>
        </w:rPr>
        <w:t>2019年部门预算情况说明</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bCs/>
          <w:i w:val="0"/>
          <w:caps w:val="0"/>
          <w:color w:val="404040"/>
          <w:spacing w:val="0"/>
          <w:sz w:val="24"/>
          <w:szCs w:val="24"/>
          <w:u w:val="none"/>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b/>
          <w:i w:val="0"/>
          <w:caps w:val="0"/>
          <w:color w:val="404040"/>
          <w:spacing w:val="0"/>
          <w:sz w:val="32"/>
          <w:szCs w:val="32"/>
          <w:u w:val="none"/>
          <w:bdr w:val="none" w:color="auto" w:sz="0" w:space="0"/>
          <w:shd w:val="clear" w:fill="FFFFFF"/>
        </w:rPr>
        <w:t>第一部分 2019年部门预算编制说明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一、部门基本情况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二、2019年收入及支出总体情况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三、主要支出内容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四、政府采购情况说明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五、机关运行经费财政拨款预算安排说明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六、行政事业性收费重点项目信息说明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七、固定资产占用使用情况说明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八、部门"三公"经费财政拨款预算说明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九、预算绩效管理情况说明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十、其他事项说明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十一、专业名词解释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i w:val="0"/>
          <w:caps w:val="0"/>
          <w:color w:val="404040"/>
          <w:spacing w:val="0"/>
          <w:sz w:val="32"/>
          <w:szCs w:val="32"/>
          <w:u w:val="none"/>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b/>
          <w:i w:val="0"/>
          <w:caps w:val="0"/>
          <w:color w:val="404040"/>
          <w:spacing w:val="0"/>
          <w:sz w:val="32"/>
          <w:szCs w:val="32"/>
          <w:u w:val="none"/>
          <w:bdr w:val="none" w:color="auto" w:sz="0" w:space="0"/>
          <w:shd w:val="clear" w:fill="FFFFFF"/>
        </w:rPr>
        <w:t>第二部分 2019年部门预算表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一、部门预算编制说明    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二、收支预算总表    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三、收入预算总表    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四、支出预算总表    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五、财政拨款收支预算总表    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六、财政拨款收入预算总表   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七、财政拨款支出总表   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八、一般公共预算支出情况表</w:t>
      </w:r>
      <w:r>
        <w:rPr>
          <w:rFonts w:hint="eastAsia" w:ascii="仿宋_GB2312" w:hAnsi="仿宋_GB2312" w:eastAsia="仿宋_GB2312" w:cs="仿宋_GB2312"/>
          <w:b/>
          <w:i w:val="0"/>
          <w:caps w:val="0"/>
          <w:color w:val="404040"/>
          <w:spacing w:val="0"/>
          <w:sz w:val="32"/>
          <w:szCs w:val="32"/>
          <w:u w:val="none"/>
          <w:bdr w:val="none" w:color="auto" w:sz="0" w:space="0"/>
          <w:shd w:val="clear" w:fill="FFFFFF"/>
        </w:rPr>
        <w:t>   </w:t>
      </w:r>
      <w:r>
        <w:rPr>
          <w:rFonts w:hint="eastAsia" w:ascii="仿宋_GB2312" w:hAnsi="仿宋_GB2312" w:eastAsia="仿宋_GB2312" w:cs="仿宋_GB2312"/>
          <w:i w:val="0"/>
          <w:caps w:val="0"/>
          <w:color w:val="404040"/>
          <w:spacing w:val="0"/>
          <w:sz w:val="32"/>
          <w:szCs w:val="32"/>
          <w:u w:val="none"/>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九、政府性基金预算支出表   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十、一般公共预算基本支出计划情况表   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十一、2019年“三公经费”预算财政拨款情况表   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十二、项目支出预算表    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bdr w:val="none" w:color="auto" w:sz="0" w:space="0"/>
          <w:shd w:val="clear" w:fill="FFFFFF"/>
        </w:rPr>
        <w:t>十三、项目绩效目标表</w:t>
      </w:r>
    </w:p>
    <w:p>
      <w:pPr>
        <w:keepNext w:val="0"/>
        <w:keepLines w:val="0"/>
        <w:widowControl/>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bCs/>
          <w:color w:val="000000"/>
          <w:spacing w:val="15"/>
          <w:kern w:val="0"/>
          <w:sz w:val="36"/>
          <w:szCs w:val="36"/>
          <w:lang w:val="en-US" w:eastAsia="zh-CN" w:bidi="ar"/>
        </w:rPr>
      </w:pPr>
    </w:p>
    <w:p>
      <w:pPr>
        <w:keepNext w:val="0"/>
        <w:keepLines w:val="0"/>
        <w:widowControl/>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bCs/>
          <w:color w:val="000000"/>
          <w:spacing w:val="15"/>
          <w:kern w:val="0"/>
          <w:sz w:val="36"/>
          <w:szCs w:val="36"/>
          <w:lang w:val="en-US" w:eastAsia="zh-CN" w:bidi="ar"/>
        </w:rPr>
      </w:pPr>
    </w:p>
    <w:p>
      <w:pPr>
        <w:keepNext w:val="0"/>
        <w:keepLines w:val="0"/>
        <w:widowControl/>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bCs/>
          <w:color w:val="000000"/>
          <w:spacing w:val="15"/>
          <w:kern w:val="0"/>
          <w:sz w:val="36"/>
          <w:szCs w:val="36"/>
          <w:lang w:val="en-US" w:eastAsia="zh-CN" w:bidi="ar"/>
        </w:rPr>
      </w:pPr>
    </w:p>
    <w:p>
      <w:pPr>
        <w:keepNext w:val="0"/>
        <w:keepLines w:val="0"/>
        <w:widowControl/>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bCs/>
          <w:color w:val="000000"/>
          <w:spacing w:val="15"/>
          <w:kern w:val="0"/>
          <w:sz w:val="36"/>
          <w:szCs w:val="36"/>
          <w:lang w:val="en-US"/>
        </w:rPr>
      </w:pPr>
      <w:r>
        <w:rPr>
          <w:rFonts w:hint="eastAsia" w:ascii="方正小标宋简体" w:hAnsi="方正小标宋简体" w:eastAsia="方正小标宋简体" w:cs="方正小标宋简体"/>
          <w:bCs/>
          <w:color w:val="000000"/>
          <w:spacing w:val="15"/>
          <w:kern w:val="0"/>
          <w:sz w:val="36"/>
          <w:szCs w:val="36"/>
          <w:lang w:val="en-US" w:eastAsia="zh-CN" w:bidi="ar"/>
        </w:rPr>
        <w:t>第一部分2019年部门预算情况说明</w:t>
      </w:r>
    </w:p>
    <w:p>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b/>
          <w:bCs w:val="0"/>
          <w:color w:val="000000"/>
          <w:spacing w:val="15"/>
          <w:kern w:val="0"/>
          <w:sz w:val="32"/>
          <w:szCs w:val="32"/>
          <w:lang w:val="en-US"/>
        </w:rPr>
      </w:pPr>
    </w:p>
    <w:p>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b/>
          <w:bCs w:val="0"/>
          <w:color w:val="000000"/>
          <w:spacing w:val="15"/>
          <w:kern w:val="0"/>
          <w:sz w:val="32"/>
          <w:szCs w:val="32"/>
          <w:lang w:val="en-US"/>
        </w:rPr>
      </w:pP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color w:val="000000"/>
          <w:spacing w:val="15"/>
          <w:kern w:val="0"/>
          <w:sz w:val="32"/>
          <w:szCs w:val="32"/>
          <w:lang w:val="en-US"/>
        </w:rPr>
      </w:pPr>
      <w:r>
        <w:rPr>
          <w:rFonts w:hint="eastAsia" w:ascii="仿宋_GB2312" w:hAnsi="仿宋_GB2312" w:eastAsia="仿宋_GB2312" w:cs="仿宋_GB2312"/>
          <w:b w:val="0"/>
          <w:bCs/>
          <w:color w:val="000000"/>
          <w:spacing w:val="15"/>
          <w:kern w:val="0"/>
          <w:sz w:val="32"/>
          <w:szCs w:val="32"/>
          <w:lang w:val="en-US" w:eastAsia="zh-CN" w:bidi="ar"/>
        </w:rPr>
        <w:t xml:space="preserve">    一、部门基本情况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北京市丰台区人民政府外事侨务办公室是负责丰台区外事及侨务工作的区政府组成部门，属于行政单位（不含行政执法机构）。截至2018年底，共有行政编制9人，实际6人；临时工0人；离退休人员0人。</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主要职责：</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一）贯彻执行党和国家的对外方针、政策和涉外法规以及市委、市政府和区委、区政府关于外事工作的指示和决定，检查本区各部门、各单位贯彻执行的情况；负责拟定本区外事工作规划和制度，并组织实施；负责组织开展外事工作重大问题的调查研究，为区委、区政府的对外工作决策提供意见和建议。</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（二）贯彻执行中央对香港、澳门的政策规定，负责推动本区与香港、澳门在经济、科技、文化等领域的交流和合作。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（三）负责本区与外国地方政府间的交流，组织和管理与国际友好城市的交往活动；负责配合中央、市有关部门接待来本区访问的党和国家重要外宾；负责统筹安排区领导的外事活动和出访事宜。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（四）负责为因公出国（境）人员办理护照(通行证)，申办签证及办理其他有关证件；负责因公护照、通行证的收缴、保管工作。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（五）负责牵头协调在区外籍人员的管理和服务；负责组织、协调、指导、检查本区涉外(突发)事件的预防和应对工作；配合市有关部门协调区有关部门处置本区特别重大、重大、较大涉外（突发）事件。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六）负责管理境外非政府组织在区活动和本区民间组织参加国际非政府组织活动；负责初审区有关部门和单位申办和举办国际会议的工作；承担本区参与国际组织和国际多边活动的相关工作，负责组织协调以区政府名义举办的大型国际多边活动并承担安全监管职责；负责指导民间对外交往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（七）负责本市外国常驻新闻机构和外国记者、港澳记者在本区采访的有关事宜。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（八）组织协调推进本区国际语言环境建设工作。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（九）负责对本区外事干部和涉外人员进行对外政策和外事纪律的教育；会同有关部门检查外事纪律的执行情况，并对违反外事纪律问题提出处理意见和建议。</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（十）对以区外侨办名义举办的外事侨务活动的安全工作承担主体责任。</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（十一）贯彻执行国家关于侨务工作的方针、政策和法律、法规、规章，并对执行情况进行督促检查。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（十二）负责调查研究本区侨情和侨务工作情况，处理涉及侨务方面的突发事件。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（十三）负责统筹协调区有关部门和社会团体开展涉侨工作。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（十四）负责开展本区归侨侨眷工作，依法保护归侨侨眷和华侨华人合法权益。</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（十五）负责开展本区对华侨华人及其社团的联谊和服务工作，开展与香港、澳门特别行政区侨界的联谊工作，会同有关部门开展侨务对台工作。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（十六）负责协助、推动本区涉侨经济、科技合作与人才开发工作，协调涉侨经济投诉工作。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（十七）负责开展涉侨宣传、文化交流和华文教育工作，为日益扩大的国际交往服务。</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（十八）承办区政府交办的其他事项。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kern w:val="2"/>
          <w:sz w:val="32"/>
          <w:szCs w:val="32"/>
          <w:lang w:val="en-US" w:eastAsia="zh-CN" w:bidi="ar"/>
        </w:rPr>
        <w:t>根据上述职责，区政府外侨办设2个内设机构，分别为“外事工作管理科”和“侨务综合科”。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ascii="仿宋_GB2312" w:hAnsi="仿宋_GB2312" w:eastAsia="仿宋_GB2312" w:cs="仿宋_GB2312"/>
          <w:b/>
          <w:bCs w:val="0"/>
          <w:color w:val="000000"/>
          <w:spacing w:val="15"/>
          <w:kern w:val="0"/>
          <w:sz w:val="32"/>
          <w:szCs w:val="32"/>
          <w:lang w:val="en-US"/>
        </w:rPr>
      </w:pPr>
      <w:r>
        <w:rPr>
          <w:rFonts w:hint="eastAsia" w:ascii="仿宋_GB2312" w:hAnsi="仿宋_GB2312" w:eastAsia="仿宋_GB2312" w:cs="仿宋_GB2312"/>
          <w:b/>
          <w:bCs w:val="0"/>
          <w:color w:val="000000"/>
          <w:spacing w:val="15"/>
          <w:kern w:val="0"/>
          <w:sz w:val="32"/>
          <w:szCs w:val="32"/>
          <w:lang w:val="en-US" w:eastAsia="zh-CN" w:bidi="ar"/>
        </w:rPr>
        <w:t xml:space="preserve">    二、2019年收入及支出总体情况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2019年部门收入预算205.13万元，比2018年减少50.86万元，减少19.87%，其中：财政拨款205.13万元，无其他收入。收入减少原因为：减少项目经费、在职人员减少1人，人员经费预算减少。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2019年部门支出预算205.13万元，比2018年减少50.86万元，减少19.87。支出减少原因：减少项目经费支出、在职人员减少1人，人员经费预算减少。其中：基本支出预算182.45万元，项目支出预算22.68万元。按支出功能分类，一般公共服务支出162.38万元；教育支出0.3万元；社会保障和就业支出17.16万元；住房保障支出25.29万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ascii="仿宋_GB2312" w:hAnsi="仿宋_GB2312" w:eastAsia="仿宋_GB2312" w:cs="仿宋_GB2312"/>
          <w:b/>
          <w:bCs w:val="0"/>
          <w:color w:val="000000"/>
          <w:spacing w:val="15"/>
          <w:kern w:val="0"/>
          <w:sz w:val="32"/>
          <w:szCs w:val="32"/>
          <w:lang w:val="en-US"/>
        </w:rPr>
      </w:pPr>
      <w:r>
        <w:rPr>
          <w:rFonts w:hint="eastAsia" w:ascii="仿宋_GB2312" w:hAnsi="仿宋_GB2312" w:eastAsia="仿宋_GB2312" w:cs="仿宋_GB2312"/>
          <w:b/>
          <w:bCs w:val="0"/>
          <w:color w:val="000000"/>
          <w:spacing w:val="15"/>
          <w:kern w:val="0"/>
          <w:sz w:val="32"/>
          <w:szCs w:val="32"/>
          <w:lang w:val="en-US" w:eastAsia="zh-CN" w:bidi="ar"/>
        </w:rPr>
        <w:t xml:space="preserve">    三、主要支出内容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上述支出中，主要用于以下内容：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 xml:space="preserve"> 1、行政机关人员工资及日常运转经费；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 xml:space="preserve"> 2、教育培训经费；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 xml:space="preserve"> 3、基层党组织工作和活动经费；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4、涉外活动经费；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5、外事接待经费；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6、外事翻译经费；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7、外事年册设计费；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8、困侨帮扶救助专项资金；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 xml:space="preserve"> 9、青少年国际交流经费；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10、因公出国（境）护照签证费；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875" w:firstLineChars="25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11、信息化建设经费；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ascii="仿宋_GB2312" w:hAnsi="仿宋_GB2312" w:eastAsia="仿宋_GB2312" w:cs="仿宋_GB2312"/>
          <w:b/>
          <w:color w:val="000000"/>
          <w:spacing w:val="15"/>
          <w:kern w:val="0"/>
          <w:sz w:val="32"/>
          <w:szCs w:val="32"/>
          <w:lang w:val="en-US"/>
        </w:rPr>
      </w:pPr>
      <w:r>
        <w:rPr>
          <w:rFonts w:hint="eastAsia" w:ascii="仿宋_GB2312" w:hAnsi="仿宋_GB2312" w:eastAsia="仿宋_GB2312" w:cs="仿宋_GB2312"/>
          <w:b/>
          <w:color w:val="000000"/>
          <w:spacing w:val="15"/>
          <w:kern w:val="0"/>
          <w:sz w:val="32"/>
          <w:szCs w:val="32"/>
          <w:lang w:val="en-US" w:eastAsia="zh-CN" w:bidi="ar"/>
        </w:rPr>
        <w:t xml:space="preserve">     四、政府采购情况说明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 xml:space="preserve"> 2019年本部门政府采购预算总额为0元。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b/>
          <w:color w:val="000000"/>
          <w:spacing w:val="15"/>
          <w:kern w:val="0"/>
          <w:sz w:val="32"/>
          <w:szCs w:val="32"/>
          <w:lang w:val="en-US"/>
        </w:rPr>
      </w:pPr>
      <w:r>
        <w:rPr>
          <w:rFonts w:hint="eastAsia" w:ascii="仿宋_GB2312" w:hAnsi="仿宋_GB2312" w:eastAsia="仿宋_GB2312" w:cs="仿宋_GB2312"/>
          <w:b/>
          <w:color w:val="000000"/>
          <w:spacing w:val="15"/>
          <w:kern w:val="0"/>
          <w:sz w:val="32"/>
          <w:szCs w:val="32"/>
          <w:lang w:val="en-US" w:eastAsia="zh-CN" w:bidi="ar"/>
        </w:rPr>
        <w:t xml:space="preserve"> 五、机关运行经费财政拨款预算安排说明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jc w:val="left"/>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 xml:space="preserve">   2019年本部门行政单位履行一般行政管理职能、维持机关运行，用财政拨款安排的基本支出中的日常公用经费合计12.42万元，主要用于日常办公费、印刷费、水费、电费、邮电费、取暖费、物业管理费、差旅费、维修费、会议费、培训费、工会经费、福利费、其他交通费及其他商品和服务支出等。</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60"/>
        <w:jc w:val="left"/>
        <w:textAlignment w:val="auto"/>
        <w:rPr>
          <w:rFonts w:hint="eastAsia" w:ascii="仿宋_GB2312" w:hAnsi="仿宋_GB2312" w:eastAsia="仿宋_GB2312" w:cs="仿宋_GB2312"/>
          <w:b/>
          <w:color w:val="000000"/>
          <w:spacing w:val="15"/>
          <w:kern w:val="0"/>
          <w:sz w:val="32"/>
          <w:szCs w:val="32"/>
          <w:lang w:val="en-US"/>
        </w:rPr>
      </w:pPr>
      <w:r>
        <w:rPr>
          <w:rFonts w:hint="eastAsia" w:ascii="仿宋_GB2312" w:hAnsi="仿宋_GB2312" w:eastAsia="仿宋_GB2312" w:cs="仿宋_GB2312"/>
          <w:b/>
          <w:color w:val="000000"/>
          <w:spacing w:val="15"/>
          <w:kern w:val="0"/>
          <w:sz w:val="32"/>
          <w:szCs w:val="32"/>
          <w:lang w:val="en-US" w:eastAsia="zh-CN" w:bidi="ar"/>
        </w:rPr>
        <w:t>六、行政事业性收费重点项目信息说明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2019年本部门无收费项目。</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无其他事项说明。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3" w:firstLineChars="200"/>
        <w:jc w:val="left"/>
        <w:textAlignment w:val="auto"/>
        <w:rPr>
          <w:rFonts w:hint="eastAsia" w:ascii="仿宋_GB2312" w:hAnsi="仿宋_GB2312" w:eastAsia="仿宋_GB2312" w:cs="仿宋_GB2312"/>
          <w:b/>
          <w:bCs/>
          <w:color w:val="000000"/>
          <w:spacing w:val="15"/>
          <w:kern w:val="0"/>
          <w:sz w:val="32"/>
          <w:szCs w:val="32"/>
          <w:lang w:val="en-US" w:eastAsia="zh-CN" w:bidi="ar"/>
        </w:rPr>
      </w:pPr>
      <w:r>
        <w:rPr>
          <w:rFonts w:hint="eastAsia" w:ascii="仿宋_GB2312" w:hAnsi="仿宋_GB2312" w:eastAsia="仿宋_GB2312" w:cs="仿宋_GB2312"/>
          <w:b/>
          <w:bCs/>
          <w:color w:val="000000"/>
          <w:spacing w:val="15"/>
          <w:kern w:val="0"/>
          <w:sz w:val="32"/>
          <w:szCs w:val="32"/>
          <w:lang w:val="en-US" w:eastAsia="zh-CN" w:bidi="ar"/>
        </w:rPr>
        <w:t>七、固定资产占用使用情况说明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截止2019年底，本部门不单独占用固定资产，所使用固定资产由区机关事务管理服务中心管理。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3" w:firstLineChars="200"/>
        <w:jc w:val="left"/>
        <w:textAlignment w:val="auto"/>
        <w:rPr>
          <w:rFonts w:hint="eastAsia" w:ascii="仿宋_GB2312" w:hAnsi="仿宋_GB2312" w:eastAsia="仿宋_GB2312" w:cs="仿宋_GB2312"/>
          <w:b/>
          <w:bCs/>
          <w:color w:val="000000"/>
          <w:spacing w:val="15"/>
          <w:kern w:val="0"/>
          <w:sz w:val="32"/>
          <w:szCs w:val="32"/>
          <w:lang w:val="en-US" w:eastAsia="zh-CN" w:bidi="ar"/>
        </w:rPr>
      </w:pPr>
      <w:r>
        <w:rPr>
          <w:rFonts w:hint="eastAsia" w:ascii="仿宋_GB2312" w:hAnsi="仿宋_GB2312" w:eastAsia="仿宋_GB2312" w:cs="仿宋_GB2312"/>
          <w:b/>
          <w:bCs/>
          <w:color w:val="000000"/>
          <w:spacing w:val="15"/>
          <w:kern w:val="0"/>
          <w:sz w:val="32"/>
          <w:szCs w:val="32"/>
          <w:lang w:val="en-US" w:eastAsia="zh-CN" w:bidi="ar"/>
        </w:rPr>
        <w:t>八、部门"三公"经费财政拨款预算说明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北京市丰台区人民政府外事侨务办公室部门因公出国（境）费用、公务接待费、公务用车购置和运行维护费仅包括本单位。</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2019年“三公”经费财政拨款预算0万元。其中：</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（一）因公出国（境）费用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2019年预算数0元，主要用于本部门因公出国（境）支出，与2018年预算数相同。</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（二）公务接待费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2019年预算0元，主要用于本部门公务接待活动支出，与2018年预算数相同。</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（三）公务用车购置和运行维护费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2019年预算数0元，与2018年预算数相同。其中：公务用车购置费2019年预算数0万元，公务用车运行维护费2019年预算数0万元。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3" w:firstLineChars="200"/>
        <w:jc w:val="left"/>
        <w:textAlignment w:val="auto"/>
        <w:rPr>
          <w:rFonts w:hint="eastAsia" w:ascii="仿宋_GB2312" w:hAnsi="仿宋_GB2312" w:eastAsia="仿宋_GB2312" w:cs="仿宋_GB2312"/>
          <w:b/>
          <w:bCs/>
          <w:color w:val="000000"/>
          <w:spacing w:val="15"/>
          <w:kern w:val="0"/>
          <w:sz w:val="32"/>
          <w:szCs w:val="32"/>
          <w:lang w:val="en-US" w:eastAsia="zh-CN" w:bidi="ar"/>
        </w:rPr>
      </w:pPr>
      <w:r>
        <w:rPr>
          <w:rFonts w:hint="eastAsia" w:ascii="仿宋_GB2312" w:hAnsi="仿宋_GB2312" w:eastAsia="仿宋_GB2312" w:cs="仿宋_GB2312"/>
          <w:b/>
          <w:bCs/>
          <w:color w:val="000000"/>
          <w:spacing w:val="15"/>
          <w:kern w:val="0"/>
          <w:sz w:val="32"/>
          <w:szCs w:val="32"/>
          <w:lang w:val="en-US" w:eastAsia="zh-CN" w:bidi="ar"/>
        </w:rPr>
        <w:t>九、预算绩效管理情况说明</w:t>
      </w:r>
    </w:p>
    <w:p>
      <w:pPr>
        <w:numPr>
          <w:numId w:val="0"/>
        </w:numPr>
        <w:ind w:firstLine="640" w:firstLineChars="200"/>
        <w:rPr>
          <w:rFonts w:hint="eastAsia" w:ascii="仿宋_GB2312" w:hAnsi="仿宋_GB2312" w:eastAsia="仿宋_GB2312" w:cs="仿宋_GB2312"/>
          <w:b/>
          <w:bCs/>
          <w:color w:val="000000"/>
          <w:spacing w:val="15"/>
          <w:kern w:val="0"/>
          <w:sz w:val="32"/>
          <w:szCs w:val="32"/>
          <w:lang w:val="en-US" w:eastAsia="zh-CN" w:bidi="ar"/>
        </w:rPr>
      </w:pPr>
      <w:r>
        <w:rPr>
          <w:rFonts w:ascii="仿宋_GB2312" w:eastAsia="仿宋_GB2312"/>
          <w:sz w:val="32"/>
          <w:szCs w:val="32"/>
        </w:rPr>
        <w:t>201</w:t>
      </w:r>
      <w:r>
        <w:rPr>
          <w:rFonts w:hint="eastAsia" w:ascii="仿宋_GB2312" w:eastAsia="仿宋_GB2312"/>
          <w:sz w:val="32"/>
          <w:szCs w:val="32"/>
        </w:rPr>
        <w:t>9年，区政府外</w:t>
      </w:r>
      <w:r>
        <w:rPr>
          <w:rFonts w:hint="eastAsia" w:ascii="仿宋_GB2312" w:eastAsia="仿宋_GB2312"/>
          <w:sz w:val="32"/>
          <w:szCs w:val="32"/>
          <w:lang w:val="en-US" w:eastAsia="zh-CN"/>
        </w:rPr>
        <w:t>侨</w:t>
      </w:r>
      <w:r>
        <w:rPr>
          <w:rFonts w:hint="eastAsia" w:ascii="仿宋_GB2312" w:eastAsia="仿宋_GB2312"/>
          <w:sz w:val="32"/>
          <w:szCs w:val="32"/>
        </w:rPr>
        <w:t>办对</w:t>
      </w:r>
      <w:r>
        <w:rPr>
          <w:rFonts w:hint="eastAsia" w:ascii="仿宋_GB2312" w:eastAsia="仿宋_GB2312"/>
          <w:sz w:val="32"/>
          <w:szCs w:val="32"/>
          <w:lang w:val="en-US" w:eastAsia="zh-CN"/>
        </w:rPr>
        <w:t>填报</w:t>
      </w:r>
      <w:r>
        <w:rPr>
          <w:rFonts w:hint="eastAsia" w:ascii="仿宋_GB2312" w:eastAsia="仿宋_GB2312"/>
          <w:sz w:val="32"/>
          <w:szCs w:val="32"/>
        </w:rPr>
        <w:t>项目支出实施绩效评价项目4个，占部门项目总数的36.36%，涉及金额19万元。</w:t>
      </w:r>
    </w:p>
    <w:p>
      <w:pPr>
        <w:keepNext w:val="0"/>
        <w:keepLines w:val="0"/>
        <w:pageBreakBefore w:val="0"/>
        <w:widowControl/>
        <w:numPr>
          <w:numId w:val="0"/>
        </w:numPr>
        <w:suppressLineNumbers w:val="0"/>
        <w:kinsoku/>
        <w:wordWrap/>
        <w:overflowPunct/>
        <w:topLinePunct w:val="0"/>
        <w:autoSpaceDE/>
        <w:autoSpaceDN/>
        <w:bidi w:val="0"/>
        <w:adjustRightInd w:val="0"/>
        <w:snapToGrid/>
        <w:spacing w:before="0" w:beforeAutospacing="0" w:after="0" w:afterAutospacing="0" w:line="560" w:lineRule="exact"/>
        <w:ind w:leftChars="400" w:right="0" w:rightChars="0"/>
        <w:jc w:val="left"/>
        <w:textAlignment w:val="auto"/>
        <w:rPr>
          <w:rFonts w:hint="eastAsia" w:ascii="仿宋_GB2312" w:hAnsi="仿宋_GB2312" w:eastAsia="仿宋_GB2312" w:cs="仿宋_GB2312"/>
          <w:b/>
          <w:bCs/>
          <w:color w:val="000000"/>
          <w:spacing w:val="15"/>
          <w:kern w:val="0"/>
          <w:sz w:val="32"/>
          <w:szCs w:val="32"/>
          <w:lang w:val="en-US" w:eastAsia="zh-CN" w:bidi="ar"/>
        </w:rPr>
      </w:pPr>
      <w:r>
        <w:rPr>
          <w:rFonts w:hint="eastAsia" w:ascii="仿宋_GB2312" w:hAnsi="仿宋_GB2312" w:eastAsia="仿宋_GB2312" w:cs="仿宋_GB2312"/>
          <w:b/>
          <w:bCs/>
          <w:color w:val="000000"/>
          <w:spacing w:val="15"/>
          <w:kern w:val="0"/>
          <w:sz w:val="32"/>
          <w:szCs w:val="32"/>
          <w:lang w:val="en-US" w:eastAsia="zh-CN" w:bidi="ar"/>
        </w:rPr>
        <w:t>十、其他事项说明</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00" w:firstLineChars="200"/>
        <w:jc w:val="left"/>
        <w:textAlignment w:val="auto"/>
        <w:rPr>
          <w:rFonts w:hint="eastAsia" w:ascii="仿宋_GB2312" w:hAnsi="仿宋_GB2312" w:eastAsia="仿宋_GB2312" w:cs="仿宋_GB2312"/>
          <w:color w:val="000000"/>
          <w:spacing w:val="15"/>
          <w:kern w:val="0"/>
          <w:sz w:val="32"/>
          <w:szCs w:val="32"/>
          <w:lang w:val="en-US" w:eastAsia="zh-CN" w:bidi="ar"/>
        </w:rPr>
      </w:pPr>
      <w:r>
        <w:rPr>
          <w:rFonts w:hint="eastAsia" w:ascii="仿宋_GB2312" w:hAnsi="仿宋_GB2312" w:eastAsia="仿宋_GB2312" w:cs="仿宋_GB2312"/>
          <w:color w:val="000000"/>
          <w:spacing w:val="15"/>
          <w:kern w:val="0"/>
          <w:sz w:val="32"/>
          <w:szCs w:val="32"/>
          <w:lang w:val="en-US" w:eastAsia="zh-CN" w:bidi="ar"/>
        </w:rPr>
        <w:t>无其他需要说明事项。</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b/>
          <w:color w:val="000000"/>
          <w:spacing w:val="15"/>
          <w:kern w:val="0"/>
          <w:sz w:val="32"/>
          <w:szCs w:val="32"/>
          <w:lang w:val="en-US"/>
        </w:rPr>
      </w:pPr>
      <w:r>
        <w:rPr>
          <w:rFonts w:hint="eastAsia" w:ascii="仿宋_GB2312" w:hAnsi="仿宋_GB2312" w:eastAsia="仿宋_GB2312" w:cs="仿宋_GB2312"/>
          <w:b/>
          <w:color w:val="000000"/>
          <w:spacing w:val="15"/>
          <w:kern w:val="0"/>
          <w:sz w:val="32"/>
          <w:szCs w:val="32"/>
          <w:lang w:val="en-US" w:eastAsia="zh-CN" w:bidi="ar"/>
        </w:rPr>
        <w:t>十一、专业名词解释</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预算：指遵循统筹兼顾、勤俭节约、量力而行、讲求绩效和收支平衡的原则编制，经法定程序审核批准的国家年度集中性财政收支计划。政府的全部收入和支出都应当纳入预算，地方各级预算一般不列赤字。</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一般公共预算：对以税收为主体的财政收入，安排用于保障和改善民生、推动经济社会发展、维护国家安全、维持国家机构正常运转等方面的收支预算。</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suppressLineNumbers w:val="0"/>
        <w:tabs>
          <w:tab w:val="left" w:pos="2043"/>
        </w:tabs>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keepNext w:val="0"/>
        <w:keepLines w:val="0"/>
        <w:pageBreakBefore w:val="0"/>
        <w:widowControl w:val="0"/>
        <w:suppressLineNumbers w:val="0"/>
        <w:tabs>
          <w:tab w:val="left" w:pos="2043"/>
        </w:tabs>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专项转移支付：指上级政府对承担委托事务、共同事务的下级政府，给予的用于办理特定事项的转移支付。</w:t>
      </w:r>
    </w:p>
    <w:p>
      <w:pPr>
        <w:keepNext w:val="0"/>
        <w:keepLines w:val="0"/>
        <w:pageBreakBefore w:val="0"/>
        <w:widowControl w:val="0"/>
        <w:suppressLineNumbers w:val="0"/>
        <w:tabs>
          <w:tab w:val="left" w:pos="2043"/>
        </w:tabs>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结余结转资金：指当年预算已执行但工作目标未完成，或者因故未执行，下一年度需要按原用途继续使用的资金。</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财政投资评审：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政府购买服务：指通过发挥市场机制作用，把政府直接向社会公众提供的公共服务等事项，按照一定的方式和程序，交由具备条件的社会力量承担，并由政府根据服务数量和质量向其支付费用。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部门整体支出绩效评价：是对包括部门整体基本支出和项目支出在内的整体预算支出的绩效评价，评价以项目支出为重点。一般以预算年度为周期，对跨年度的重点项目可根据项目支出完成情况实施阶段性评价。</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000000"/>
          <w:spacing w:val="15"/>
          <w:kern w:val="0"/>
          <w:sz w:val="32"/>
          <w:szCs w:val="32"/>
          <w:lang w:val="en-US"/>
        </w:rPr>
      </w:pPr>
      <w:r>
        <w:rPr>
          <w:rFonts w:hint="eastAsia" w:ascii="仿宋_GB2312" w:hAnsi="仿宋_GB2312" w:eastAsia="仿宋_GB2312" w:cs="仿宋_GB2312"/>
          <w:color w:val="000000"/>
          <w:spacing w:val="15"/>
          <w:kern w:val="0"/>
          <w:sz w:val="32"/>
          <w:szCs w:val="32"/>
          <w:lang w:val="en-US" w:eastAsia="zh-CN" w:bidi="ar"/>
        </w:rPr>
        <w:t>行政事业性收费: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420" w:leftChars="200" w:right="0" w:firstLine="760"/>
        <w:jc w:val="left"/>
        <w:textAlignment w:val="auto"/>
        <w:rPr>
          <w:rFonts w:hint="eastAsia" w:ascii="仿宋_GB2312" w:hAnsi="仿宋_GB2312" w:eastAsia="仿宋_GB2312" w:cs="仿宋_GB2312"/>
          <w:color w:val="000000"/>
          <w:spacing w:val="15"/>
          <w:kern w:val="0"/>
          <w:sz w:val="32"/>
          <w:szCs w:val="32"/>
          <w:lang w:val="en-US"/>
        </w:rPr>
      </w:pPr>
    </w:p>
    <w:p>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rPr>
      </w:pPr>
    </w:p>
    <w:sectPr>
      <w:pgSz w:w="11906" w:h="16838"/>
      <w:pgMar w:top="1157" w:right="1519" w:bottom="1157" w:left="1519"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4771"/>
    <w:rsid w:val="5484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页脚 Char"/>
    <w:basedOn w:val="5"/>
    <w:link w:val="2"/>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2021-06-23T08:23:00Z</dcterms:created>
  <dc:creator>SYSTEM</dc:creator>
  <cp:lastModifiedBy>SYSTEM</cp:lastModifiedBy>
  <dcterms:modified xsi:type="dcterms:W3CDTF">2021-06-23T09:01:29Z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