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北京市丰台区房屋管理局</w:t>
      </w: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2019年度部门预算编制说明</w:t>
      </w: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Cs w:val="21"/>
        </w:rPr>
      </w:pPr>
    </w:p>
    <w:p>
      <w:pPr>
        <w:tabs>
          <w:tab w:val="center" w:pos="6979"/>
        </w:tabs>
        <w:spacing w:before="156" w:beforeLines="50" w:after="156" w:afterLines="50" w:line="560" w:lineRule="exact"/>
        <w:jc w:val="left"/>
        <w:rPr>
          <w:rFonts w:ascii="宋体" w:hAnsi="宋体" w:cs="宋体"/>
          <w:spacing w:val="40"/>
          <w:kern w:val="0"/>
          <w:sz w:val="32"/>
          <w:szCs w:val="32"/>
        </w:rPr>
      </w:pPr>
    </w:p>
    <w:p>
      <w:pPr>
        <w:widowControl/>
        <w:spacing w:line="440" w:lineRule="exact"/>
        <w:ind w:firstLine="2740" w:firstLineChars="700"/>
        <w:jc w:val="both"/>
        <w:rPr>
          <w:rFonts w:ascii="宋体" w:hAnsi="宋体" w:cs="宋体"/>
          <w:b/>
          <w:color w:val="000000"/>
          <w:spacing w:val="15"/>
          <w:kern w:val="0"/>
          <w:sz w:val="36"/>
          <w:szCs w:val="36"/>
        </w:rPr>
      </w:pPr>
      <w:r>
        <w:rPr>
          <w:rFonts w:hint="eastAsia" w:cs="宋体"/>
          <w:b/>
          <w:color w:val="000000"/>
          <w:spacing w:val="15"/>
          <w:kern w:val="0"/>
          <w:sz w:val="36"/>
          <w:szCs w:val="36"/>
        </w:rPr>
        <w:t>北京市丰台区房屋管理局</w:t>
      </w:r>
      <w:r>
        <w:rPr>
          <w:rFonts w:hint="eastAsia" w:ascii="宋体" w:hAnsi="宋体" w:cs="宋体"/>
          <w:b/>
          <w:color w:val="000000"/>
          <w:spacing w:val="15"/>
          <w:kern w:val="0"/>
          <w:sz w:val="36"/>
          <w:szCs w:val="36"/>
        </w:rPr>
        <w:t>2019</w:t>
      </w:r>
      <w:r>
        <w:rPr>
          <w:rFonts w:hint="eastAsia" w:cs="宋体"/>
          <w:b/>
          <w:color w:val="000000"/>
          <w:spacing w:val="15"/>
          <w:kern w:val="0"/>
          <w:sz w:val="36"/>
          <w:szCs w:val="36"/>
        </w:rPr>
        <w:t>年部门预算情况说明</w:t>
      </w:r>
    </w:p>
    <w:p>
      <w:pPr>
        <w:widowControl/>
        <w:spacing w:line="440" w:lineRule="exact"/>
        <w:jc w:val="left"/>
        <w:rPr>
          <w:rFonts w:ascii="宋体" w:hAnsi="宋体" w:cs="宋体"/>
          <w:color w:val="000000"/>
          <w:spacing w:val="15"/>
          <w:kern w:val="0"/>
          <w:sz w:val="32"/>
          <w:szCs w:val="32"/>
        </w:rPr>
      </w:pP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24"/>
        </w:rPr>
        <w:t xml:space="preserve">  </w:t>
      </w:r>
      <w:r>
        <w:rPr>
          <w:rFonts w:hint="eastAsia" w:ascii="仿宋_GB2312" w:hAnsi="宋体" w:eastAsia="仿宋_GB2312" w:cs="宋体"/>
          <w:b/>
          <w:color w:val="000000"/>
          <w:spacing w:val="15"/>
          <w:kern w:val="0"/>
          <w:sz w:val="30"/>
          <w:szCs w:val="30"/>
        </w:rPr>
        <w:t xml:space="preserve"> </w:t>
      </w:r>
      <w:r>
        <w:rPr>
          <w:rFonts w:hint="eastAsia" w:ascii="仿宋_GB2312" w:hAnsi="宋体" w:eastAsia="仿宋_GB2312" w:cs="宋体"/>
          <w:b/>
          <w:color w:val="000000"/>
          <w:spacing w:val="15"/>
          <w:kern w:val="0"/>
          <w:sz w:val="32"/>
          <w:szCs w:val="32"/>
        </w:rPr>
        <w:t xml:space="preserve"> 一、北京市丰台区房屋管理局部门基本情况</w:t>
      </w:r>
    </w:p>
    <w:p>
      <w:pPr>
        <w:widowControl/>
        <w:adjustRightInd w:val="0"/>
        <w:spacing w:line="56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北京市丰台区房屋管理局是负责本区房屋行政管理、住房保障和住房制度改革工作的区政府组成部门。北京市丰台区房屋管理局部门职能主要为：1、贯彻执行国家及北京市有关房屋行政管理、住房保障、住房制度改革方面的法律、法规和政策。 2、负责本区房屋管理工作。负责本区出租房屋管理相关工作，组织开展违法出租房屋治理工作；负责本区城镇房屋使用安全、修缮的监督管理；协调、组织本区城镇房屋防汛工作；协调私房等房屋历史遗留问题的处理工作；组织开展老旧小区综合整治工作。3、负责本区房地产市场监督管理、规范市场秩序、促进房地产发展工作。负责房地产转让、房屋租赁和房地产经纪机构服务、房地产估价行业的监督管理；负责房地产市场分析、形势预测等相关工作。4、负责本区物业服务的监督管理。贯彻实施物业管理法律法规政策，指导和规范物业服务市场。5、负责保障本区城镇低收入家庭住房工作。落实住房保障管理制度；研究拟定本区住房保障年度计划并组织实施；负责指导本区保障性住房管理工作。6、负责推进本区住房制度改革工作。负责公有住房出售、住房分配货币化的管理工作；负责指导住房资金归集和使用。7、负责查处本区房屋管理中的违法违规行为；负责本区房屋执法检查监督。8、完成区委、区政府交办的其他任务。</w:t>
      </w:r>
      <w:r>
        <w:rPr>
          <w:rFonts w:hint="eastAsia" w:ascii="仿宋_GB2312" w:hAnsi="宋体" w:eastAsia="仿宋_GB2312" w:cs="宋体"/>
          <w:color w:val="000000"/>
          <w:spacing w:val="15"/>
          <w:kern w:val="0"/>
          <w:sz w:val="32"/>
          <w:szCs w:val="32"/>
          <w:highlight w:val="none"/>
          <w:lang w:eastAsia="zh-CN"/>
        </w:rPr>
        <w:t>内设办公室、财务审计科、法制科、物业管理科、房屋交易市场管理科、房屋租赁市场管理科、房屋登记市场管理科、房屋安全设备管理科、住房保障科</w:t>
      </w:r>
      <w:r>
        <w:rPr>
          <w:rFonts w:hint="eastAsia" w:ascii="仿宋_GB2312" w:hAnsi="宋体" w:eastAsia="仿宋_GB2312" w:cs="宋体"/>
          <w:color w:val="000000"/>
          <w:spacing w:val="15"/>
          <w:kern w:val="0"/>
          <w:sz w:val="32"/>
          <w:szCs w:val="32"/>
          <w:highlight w:val="none"/>
          <w:lang w:val="en-US" w:eastAsia="zh-CN"/>
        </w:rPr>
        <w:t>9个科室</w:t>
      </w:r>
      <w:r>
        <w:rPr>
          <w:rFonts w:hint="eastAsia" w:ascii="仿宋_GB2312" w:hAnsi="宋体" w:eastAsia="仿宋_GB2312" w:cs="宋体"/>
          <w:color w:val="000000"/>
          <w:spacing w:val="15"/>
          <w:kern w:val="0"/>
          <w:sz w:val="32"/>
          <w:szCs w:val="32"/>
          <w:highlight w:val="none"/>
          <w:lang w:eastAsia="zh-CN"/>
        </w:rPr>
        <w:t>。下</w:t>
      </w:r>
      <w:r>
        <w:rPr>
          <w:rFonts w:hint="eastAsia" w:ascii="仿宋_GB2312" w:hAnsi="宋体" w:eastAsia="仿宋_GB2312" w:cs="宋体"/>
          <w:color w:val="000000"/>
          <w:spacing w:val="15"/>
          <w:kern w:val="0"/>
          <w:sz w:val="32"/>
          <w:szCs w:val="32"/>
          <w:lang w:eastAsia="zh-CN"/>
        </w:rPr>
        <w:t>设事业单位</w:t>
      </w:r>
      <w:r>
        <w:rPr>
          <w:rFonts w:hint="eastAsia" w:ascii="仿宋_GB2312" w:hAnsi="宋体" w:eastAsia="仿宋_GB2312" w:cs="宋体"/>
          <w:color w:val="000000"/>
          <w:spacing w:val="15"/>
          <w:kern w:val="0"/>
          <w:sz w:val="32"/>
          <w:szCs w:val="32"/>
        </w:rPr>
        <w:t>事业单位3个（2个非独立核算）</w:t>
      </w:r>
      <w:r>
        <w:rPr>
          <w:rFonts w:hint="eastAsia" w:ascii="仿宋_GB2312" w:hAnsi="宋体" w:eastAsia="仿宋_GB2312" w:cs="宋体"/>
          <w:color w:val="000000"/>
          <w:spacing w:val="15"/>
          <w:kern w:val="0"/>
          <w:sz w:val="32"/>
          <w:szCs w:val="32"/>
          <w:lang w:eastAsia="zh-CN"/>
        </w:rPr>
        <w:t>，北京市丰台区住房保障事务中心、丰台区物业服务指导中心、丰台区房产交易管理中心</w:t>
      </w:r>
      <w:r>
        <w:rPr>
          <w:rFonts w:hint="eastAsia" w:ascii="仿宋_GB2312" w:hAnsi="宋体" w:eastAsia="仿宋_GB2312" w:cs="宋体"/>
          <w:color w:val="000000"/>
          <w:spacing w:val="15"/>
          <w:kern w:val="0"/>
          <w:sz w:val="32"/>
          <w:szCs w:val="32"/>
        </w:rPr>
        <w:t>。截至2018年底，共有行政编制47人，实际42人；事业编制94人，实际75人；离退休人员91人。</w:t>
      </w: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二、2019年收入及支出总体情况</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2019年部门收入预算6747.034142万元，同比2018年增加232.88947万元，增长3.45%，</w:t>
      </w:r>
      <w:r>
        <w:rPr>
          <w:rFonts w:hint="eastAsia" w:ascii="仿宋_GB2312" w:hAnsi="宋体" w:eastAsia="仿宋_GB2312" w:cs="宋体"/>
          <w:color w:val="000000"/>
          <w:spacing w:val="15"/>
          <w:kern w:val="0"/>
          <w:sz w:val="32"/>
          <w:szCs w:val="32"/>
          <w:lang w:eastAsia="zh-CN"/>
        </w:rPr>
        <w:t>原因是工作任务增加，人员增加。</w:t>
      </w:r>
      <w:r>
        <w:rPr>
          <w:rFonts w:hint="eastAsia" w:ascii="仿宋_GB2312" w:hAnsi="宋体" w:eastAsia="仿宋_GB2312" w:cs="宋体"/>
          <w:color w:val="000000"/>
          <w:spacing w:val="15"/>
          <w:kern w:val="0"/>
          <w:sz w:val="32"/>
          <w:szCs w:val="32"/>
        </w:rPr>
        <w:t>其中：财政拨款6747.034142万元，上级补助收入0万元，事业收入0万元，经营收入0万元，附属单位缴款0万元，其他收入0万元，用事业基金弥补收支差额0万元，上年结转和结余0万元。</w:t>
      </w:r>
    </w:p>
    <w:p>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2019年部门支出预算6747.034142万元，比2018年增加232.88947万元，增长3.45%，</w:t>
      </w:r>
      <w:r>
        <w:rPr>
          <w:rFonts w:hint="eastAsia" w:ascii="仿宋_GB2312" w:hAnsi="宋体" w:eastAsia="仿宋_GB2312" w:cs="宋体"/>
          <w:color w:val="000000"/>
          <w:spacing w:val="15"/>
          <w:kern w:val="0"/>
          <w:sz w:val="32"/>
          <w:szCs w:val="32"/>
          <w:lang w:eastAsia="zh-CN"/>
        </w:rPr>
        <w:t>原因是工作任务增加，人员增加。</w:t>
      </w:r>
      <w:r>
        <w:rPr>
          <w:rFonts w:hint="eastAsia" w:ascii="仿宋_GB2312" w:hAnsi="宋体" w:eastAsia="仿宋_GB2312" w:cs="宋体"/>
          <w:color w:val="000000"/>
          <w:spacing w:val="15"/>
          <w:kern w:val="0"/>
          <w:sz w:val="32"/>
          <w:szCs w:val="32"/>
        </w:rPr>
        <w:t>其中基本支出预算3376.819万元，项目支出预算3370.215142万元。按支出功能分类，一般公共服务支出3.93万元，教育支出16.65万元，社会保障和就业支出371.5787万元，节能环保支出11万元，城乡社区支出3830.042274万元，住房保障支出2462.9032万元，灾害防治及应急管理支出50.929968万元（按功能科目填报预算安排情况）。</w:t>
      </w: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三、主要支出内容</w:t>
      </w:r>
    </w:p>
    <w:p>
      <w:pPr>
        <w:widowControl/>
        <w:adjustRightInd w:val="0"/>
        <w:spacing w:line="440" w:lineRule="exact"/>
        <w:ind w:firstLine="875" w:firstLineChars="25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1、行政机关、事业单位人员工资及日常运转经费；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2、各业务科室部门完成业务工作所需经费；</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3、老旧小区整治工程项目资金。</w:t>
      </w:r>
    </w:p>
    <w:p>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四、政府采购情况说明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2019年政府采购预算总额为299.78476万元，其中：政府采购货物预算20万元，政府采购工程预算150万元，政府采购服务预算129.78476万元。</w:t>
      </w:r>
    </w:p>
    <w:p>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五、机关运行经费财政拨款预算安排说明</w:t>
      </w:r>
    </w:p>
    <w:p>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2019年本部门行政单位（含参照公务员法管理事业单位）履行一般行政管理职能、维持机关运行，用财政拨款安排的基本支出中的日常公用经费合计284.9万元，主要用于：办公费、印刷费、水电费等。</w:t>
      </w:r>
    </w:p>
    <w:p>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六、行政事业性收费重点项目信息说明</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不涉及此项内容</w:t>
      </w:r>
    </w:p>
    <w:p>
      <w:pPr>
        <w:widowControl/>
        <w:numPr>
          <w:ilvl w:val="0"/>
          <w:numId w:val="1"/>
        </w:numPr>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固定资产占用使用情况说明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截止2018年底，本部门（包括各下属单位）固定资产总额</w:t>
      </w:r>
      <w:r>
        <w:rPr>
          <w:rFonts w:hint="eastAsia" w:ascii="仿宋_GB2312" w:hAnsi="宋体" w:eastAsia="仿宋_GB2312" w:cs="宋体"/>
          <w:color w:val="000000"/>
          <w:spacing w:val="15"/>
          <w:kern w:val="0"/>
          <w:sz w:val="32"/>
          <w:szCs w:val="32"/>
          <w:lang w:val="en-US" w:eastAsia="zh-CN"/>
        </w:rPr>
        <w:t>2816.094808</w:t>
      </w:r>
      <w:r>
        <w:rPr>
          <w:rFonts w:hint="eastAsia" w:ascii="仿宋_GB2312" w:hAnsi="宋体" w:eastAsia="仿宋_GB2312" w:cs="宋体"/>
          <w:color w:val="000000"/>
          <w:spacing w:val="15"/>
          <w:kern w:val="0"/>
          <w:sz w:val="32"/>
          <w:szCs w:val="32"/>
        </w:rPr>
        <w:t>万元，其中：车辆</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万元；单位价值50万元以上的通用设备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万元，单位价值100万元以上的专用设备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w:t>
      </w:r>
    </w:p>
    <w:p>
      <w:pPr>
        <w:widowControl/>
        <w:numPr>
          <w:ilvl w:val="0"/>
          <w:numId w:val="1"/>
        </w:numPr>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部门</w:t>
      </w:r>
      <w:r>
        <w:rPr>
          <w:rFonts w:hint="eastAsia" w:ascii="仿宋_GB2312" w:hAnsi="宋体" w:eastAsia="仿宋_GB2312" w:cs="宋体"/>
          <w:b/>
          <w:color w:val="000000"/>
          <w:spacing w:val="15"/>
          <w:kern w:val="0"/>
          <w:sz w:val="32"/>
          <w:szCs w:val="32"/>
          <w:lang w:val="en-US" w:eastAsia="zh-CN"/>
        </w:rPr>
        <w:t>“三公”经费</w:t>
      </w:r>
      <w:r>
        <w:rPr>
          <w:rFonts w:hint="eastAsia" w:ascii="仿宋_GB2312" w:hAnsi="宋体" w:eastAsia="仿宋_GB2312" w:cs="宋体"/>
          <w:b/>
          <w:color w:val="000000"/>
          <w:spacing w:val="15"/>
          <w:kern w:val="0"/>
          <w:sz w:val="32"/>
          <w:szCs w:val="32"/>
          <w:lang w:eastAsia="zh-CN"/>
        </w:rPr>
        <w:t>财政拨款预算说明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宋体"/>
          <w:color w:val="000000"/>
          <w:spacing w:val="15"/>
          <w:kern w:val="0"/>
          <w:sz w:val="32"/>
          <w:szCs w:val="32"/>
          <w:lang w:val="en-US" w:eastAsia="zh-CN" w:bidi="ar-SA"/>
        </w:rPr>
      </w:pPr>
      <w:r>
        <w:rPr>
          <w:rFonts w:hint="eastAsia"/>
          <w:b/>
          <w:bCs/>
          <w:color w:val="FF0000"/>
          <w:sz w:val="28"/>
          <w:szCs w:val="28"/>
          <w:shd w:val="clear" w:color="auto" w:fill="FFFFFF"/>
        </w:rPr>
        <w:t xml:space="preserve">   </w:t>
      </w:r>
      <w:r>
        <w:rPr>
          <w:rFonts w:hint="eastAsia"/>
          <w:b/>
          <w:bCs/>
          <w:color w:val="FF0000"/>
          <w:sz w:val="28"/>
          <w:szCs w:val="28"/>
          <w:shd w:val="clear" w:color="auto" w:fill="FFFFFF"/>
          <w:lang w:val="en-US" w:eastAsia="zh-CN"/>
        </w:rPr>
        <w:t xml:space="preserve"> </w:t>
      </w:r>
      <w:r>
        <w:rPr>
          <w:rFonts w:hint="eastAsia" w:ascii="仿宋_GB2312" w:hAnsi="宋体" w:eastAsia="仿宋_GB2312" w:cs="宋体"/>
          <w:color w:val="000000"/>
          <w:spacing w:val="15"/>
          <w:kern w:val="0"/>
          <w:sz w:val="32"/>
          <w:szCs w:val="32"/>
          <w:lang w:val="en-US" w:eastAsia="zh-CN" w:bidi="ar-SA"/>
        </w:rPr>
        <w:t xml:space="preserve"> 2019年部门预算“三公”经费财政拨款预算安排</w:t>
      </w:r>
      <w:r>
        <w:rPr>
          <w:rFonts w:hint="eastAsia" w:ascii="仿宋_GB2312" w:eastAsia="仿宋_GB2312" w:cs="宋体"/>
          <w:color w:val="000000"/>
          <w:spacing w:val="15"/>
          <w:kern w:val="0"/>
          <w:sz w:val="32"/>
          <w:szCs w:val="32"/>
          <w:lang w:val="en-US" w:eastAsia="zh-CN" w:bidi="ar-SA"/>
        </w:rPr>
        <w:t>1.69</w:t>
      </w:r>
      <w:r>
        <w:rPr>
          <w:rFonts w:hint="eastAsia" w:ascii="仿宋_GB2312" w:hAnsi="宋体" w:eastAsia="仿宋_GB2312" w:cs="宋体"/>
          <w:color w:val="000000"/>
          <w:spacing w:val="15"/>
          <w:kern w:val="0"/>
          <w:sz w:val="32"/>
          <w:szCs w:val="32"/>
          <w:lang w:val="en-US" w:eastAsia="zh-CN" w:bidi="ar-SA"/>
        </w:rPr>
        <w:t>万元，比2018年“三公”经费财政拨款预算增加（减少）</w:t>
      </w:r>
      <w:r>
        <w:rPr>
          <w:rFonts w:hint="eastAsia" w:ascii="仿宋_GB2312" w:eastAsia="仿宋_GB2312" w:cs="宋体"/>
          <w:color w:val="000000"/>
          <w:spacing w:val="15"/>
          <w:kern w:val="0"/>
          <w:sz w:val="32"/>
          <w:szCs w:val="32"/>
          <w:lang w:val="en-US" w:eastAsia="zh-CN" w:bidi="ar-SA"/>
        </w:rPr>
        <w:t>0</w:t>
      </w:r>
      <w:r>
        <w:rPr>
          <w:rFonts w:hint="eastAsia" w:ascii="仿宋_GB2312" w:hAnsi="宋体" w:eastAsia="仿宋_GB2312" w:cs="宋体"/>
          <w:color w:val="000000"/>
          <w:spacing w:val="15"/>
          <w:kern w:val="0"/>
          <w:sz w:val="32"/>
          <w:szCs w:val="32"/>
          <w:lang w:val="en-US" w:eastAsia="zh-CN" w:bidi="ar-SA"/>
        </w:rPr>
        <w:t xml:space="preserve"> 万元。其中：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050" w:firstLineChars="300"/>
        <w:textAlignment w:val="auto"/>
        <w:rPr>
          <w:sz w:val="28"/>
          <w:szCs w:val="28"/>
          <w:shd w:val="clear" w:color="auto" w:fill="FFFFFF"/>
        </w:rPr>
      </w:pPr>
      <w:r>
        <w:rPr>
          <w:rFonts w:hint="eastAsia" w:ascii="仿宋_GB2312" w:eastAsia="仿宋_GB2312" w:cs="宋体"/>
          <w:color w:val="000000"/>
          <w:spacing w:val="15"/>
          <w:kern w:val="0"/>
          <w:sz w:val="32"/>
          <w:szCs w:val="32"/>
          <w:lang w:val="en-US" w:eastAsia="zh-CN" w:bidi="ar-SA"/>
        </w:rPr>
        <w:t>（一）</w:t>
      </w:r>
      <w:r>
        <w:rPr>
          <w:rFonts w:hint="eastAsia"/>
          <w:sz w:val="28"/>
          <w:szCs w:val="28"/>
          <w:shd w:val="clear" w:color="auto" w:fill="FFFFFF"/>
        </w:rPr>
        <w:t>因公出国（境）费用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2019年财政拨款预算安排</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万元，与2018年财政拨款预算安排数持平</w:t>
      </w:r>
      <w:r>
        <w:rPr>
          <w:rFonts w:hint="eastAsia" w:ascii="仿宋_GB2312" w:hAnsi="宋体" w:eastAsia="仿宋_GB2312" w:cs="宋体"/>
          <w:color w:val="000000"/>
          <w:spacing w:val="15"/>
          <w:kern w:val="0"/>
          <w:sz w:val="32"/>
          <w:szCs w:val="32"/>
          <w:lang w:eastAsia="zh-CN"/>
        </w:rPr>
        <w:t>，主要原因为</w:t>
      </w:r>
      <w:r>
        <w:rPr>
          <w:rFonts w:hint="eastAsia" w:ascii="仿宋_GB2312" w:hAnsi="宋体" w:eastAsia="仿宋_GB2312" w:cs="宋体"/>
          <w:color w:val="000000"/>
          <w:spacing w:val="15"/>
          <w:kern w:val="0"/>
          <w:sz w:val="32"/>
          <w:szCs w:val="32"/>
        </w:rPr>
        <w:t>原因为2019年部门预算无因公出国境安排。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840" w:firstLineChars="300"/>
        <w:textAlignment w:val="auto"/>
        <w:rPr>
          <w:rFonts w:hint="eastAsia"/>
          <w:sz w:val="28"/>
          <w:szCs w:val="28"/>
          <w:shd w:val="clear" w:color="auto" w:fill="FFFFFF"/>
        </w:rPr>
      </w:pPr>
      <w:r>
        <w:rPr>
          <w:rFonts w:hint="eastAsia"/>
          <w:sz w:val="28"/>
          <w:szCs w:val="28"/>
          <w:shd w:val="clear" w:color="auto" w:fill="FFFFFF"/>
        </w:rPr>
        <w:t>（二）公务接待费</w:t>
      </w:r>
      <w:bookmarkStart w:id="0" w:name="_GoBack"/>
      <w:bookmarkEnd w:id="0"/>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2018年预算数1.69万元，主要用于按规定开支的各类公务接待（含外宾接待）活动，同比无增减变化，原因为无公务接待活动发生。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840" w:firstLineChars="300"/>
        <w:textAlignment w:val="auto"/>
        <w:rPr>
          <w:rFonts w:hint="eastAsia"/>
          <w:sz w:val="28"/>
          <w:szCs w:val="28"/>
          <w:shd w:val="clear" w:color="auto" w:fill="FFFFFF"/>
        </w:rPr>
      </w:pPr>
      <w:r>
        <w:rPr>
          <w:rFonts w:hint="eastAsia"/>
          <w:sz w:val="28"/>
          <w:szCs w:val="28"/>
          <w:shd w:val="clear" w:color="auto" w:fill="FFFFFF"/>
        </w:rPr>
        <w:t>（三）公务用车购置和运行维护费</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预算数0万元，同比无增减变化，其中：公务用车购置费2019年预算数0万元，同比无增减变化，原因为行政事业单位公务用车改革后，取消车辆编制；公务用车运行维护费2019年预算数0万元，同比无增减变化，原因为行政事业单位公务用车改革后，取消车辆编制。</w:t>
      </w:r>
    </w:p>
    <w:p>
      <w:pPr>
        <w:widowControl/>
        <w:numPr>
          <w:ilvl w:val="0"/>
          <w:numId w:val="0"/>
        </w:numPr>
        <w:adjustRightInd w:val="0"/>
        <w:spacing w:line="440" w:lineRule="exact"/>
        <w:ind w:leftChars="276"/>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九、预算绩效管理情况说明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w:t>
      </w:r>
      <w:r>
        <w:rPr>
          <w:rFonts w:hint="eastAsia" w:ascii="仿宋_GB2312" w:hAnsi="宋体" w:eastAsia="仿宋_GB2312" w:cs="宋体"/>
          <w:color w:val="000000"/>
          <w:spacing w:val="15"/>
          <w:kern w:val="0"/>
          <w:sz w:val="32"/>
          <w:szCs w:val="32"/>
          <w:lang w:eastAsia="zh-CN"/>
        </w:rPr>
        <w:t>区房管局</w:t>
      </w:r>
      <w:r>
        <w:rPr>
          <w:rFonts w:hint="eastAsia" w:ascii="仿宋_GB2312" w:hAnsi="宋体" w:eastAsia="仿宋_GB2312" w:cs="宋体"/>
          <w:color w:val="000000"/>
          <w:spacing w:val="15"/>
          <w:kern w:val="0"/>
          <w:sz w:val="32"/>
          <w:szCs w:val="32"/>
        </w:rPr>
        <w:t>填报绩效目标的预算项目</w:t>
      </w:r>
      <w:r>
        <w:rPr>
          <w:rFonts w:hint="eastAsia" w:ascii="仿宋_GB2312" w:hAnsi="宋体" w:eastAsia="仿宋_GB2312" w:cs="宋体"/>
          <w:color w:val="000000"/>
          <w:spacing w:val="15"/>
          <w:kern w:val="0"/>
          <w:sz w:val="32"/>
          <w:szCs w:val="32"/>
          <w:lang w:val="en-US" w:eastAsia="zh-CN"/>
        </w:rPr>
        <w:t>2</w:t>
      </w:r>
      <w:r>
        <w:rPr>
          <w:rFonts w:hint="eastAsia" w:ascii="仿宋_GB2312" w:hAnsi="宋体" w:eastAsia="仿宋_GB2312" w:cs="宋体"/>
          <w:color w:val="000000"/>
          <w:spacing w:val="15"/>
          <w:kern w:val="0"/>
          <w:sz w:val="32"/>
          <w:szCs w:val="32"/>
        </w:rPr>
        <w:t>个，占本部门全部预算项目</w:t>
      </w:r>
      <w:r>
        <w:rPr>
          <w:rFonts w:hint="eastAsia" w:ascii="仿宋_GB2312" w:hAnsi="宋体" w:eastAsia="仿宋_GB2312" w:cs="宋体"/>
          <w:color w:val="000000"/>
          <w:spacing w:val="15"/>
          <w:kern w:val="0"/>
          <w:sz w:val="32"/>
          <w:szCs w:val="32"/>
          <w:lang w:val="en-US" w:eastAsia="zh-CN"/>
        </w:rPr>
        <w:t>37</w:t>
      </w:r>
      <w:r>
        <w:rPr>
          <w:rFonts w:hint="eastAsia" w:ascii="仿宋_GB2312" w:hAnsi="宋体" w:eastAsia="仿宋_GB2312" w:cs="宋体"/>
          <w:color w:val="000000"/>
          <w:spacing w:val="15"/>
          <w:kern w:val="0"/>
          <w:sz w:val="32"/>
          <w:szCs w:val="32"/>
        </w:rPr>
        <w:t>个的</w:t>
      </w:r>
      <w:r>
        <w:rPr>
          <w:rFonts w:hint="eastAsia" w:ascii="仿宋_GB2312" w:hAnsi="宋体" w:eastAsia="仿宋_GB2312" w:cs="宋体"/>
          <w:color w:val="000000"/>
          <w:spacing w:val="15"/>
          <w:kern w:val="0"/>
          <w:sz w:val="32"/>
          <w:szCs w:val="32"/>
          <w:lang w:val="en-US" w:eastAsia="zh-CN"/>
        </w:rPr>
        <w:t>5.4</w:t>
      </w:r>
      <w:r>
        <w:rPr>
          <w:rFonts w:hint="eastAsia" w:ascii="仿宋_GB2312" w:hAnsi="宋体" w:eastAsia="仿宋_GB2312" w:cs="宋体"/>
          <w:color w:val="000000"/>
          <w:spacing w:val="15"/>
          <w:kern w:val="0"/>
          <w:sz w:val="32"/>
          <w:szCs w:val="32"/>
        </w:rPr>
        <w:t>%。填报绩效目标的项目支出预算</w:t>
      </w:r>
      <w:r>
        <w:rPr>
          <w:rFonts w:hint="eastAsia" w:ascii="仿宋_GB2312" w:hAnsi="宋体" w:eastAsia="仿宋_GB2312" w:cs="宋体"/>
          <w:color w:val="000000"/>
          <w:spacing w:val="15"/>
          <w:kern w:val="0"/>
          <w:sz w:val="32"/>
          <w:szCs w:val="32"/>
          <w:lang w:val="en-US" w:eastAsia="zh-CN"/>
        </w:rPr>
        <w:t>2303.338610万</w:t>
      </w:r>
      <w:r>
        <w:rPr>
          <w:rFonts w:hint="eastAsia" w:ascii="仿宋_GB2312" w:hAnsi="宋体" w:eastAsia="仿宋_GB2312" w:cs="宋体"/>
          <w:color w:val="000000"/>
          <w:spacing w:val="15"/>
          <w:kern w:val="0"/>
          <w:sz w:val="32"/>
          <w:szCs w:val="32"/>
        </w:rPr>
        <w:t>元，占本部门全部项目支出预算的</w:t>
      </w:r>
      <w:r>
        <w:rPr>
          <w:rFonts w:hint="eastAsia" w:ascii="仿宋_GB2312" w:hAnsi="宋体" w:eastAsia="仿宋_GB2312" w:cs="宋体"/>
          <w:color w:val="000000"/>
          <w:spacing w:val="15"/>
          <w:kern w:val="0"/>
          <w:sz w:val="32"/>
          <w:szCs w:val="32"/>
          <w:lang w:val="en-US" w:eastAsia="zh-CN"/>
        </w:rPr>
        <w:t>68.34</w:t>
      </w:r>
      <w:r>
        <w:rPr>
          <w:rFonts w:hint="eastAsia" w:ascii="仿宋_GB2312" w:hAnsi="宋体" w:eastAsia="仿宋_GB2312" w:cs="宋体"/>
          <w:color w:val="000000"/>
          <w:spacing w:val="15"/>
          <w:kern w:val="0"/>
          <w:sz w:val="32"/>
          <w:szCs w:val="32"/>
        </w:rPr>
        <w:t xml:space="preserve"> %。</w:t>
      </w:r>
    </w:p>
    <w:p>
      <w:pPr>
        <w:widowControl/>
        <w:adjustRightInd w:val="0"/>
        <w:spacing w:line="440" w:lineRule="exact"/>
        <w:ind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十、</w:t>
      </w:r>
      <w:r>
        <w:rPr>
          <w:rFonts w:hint="eastAsia" w:ascii="仿宋_GB2312" w:hAnsi="宋体" w:eastAsia="仿宋_GB2312" w:cs="宋体"/>
          <w:b/>
          <w:color w:val="000000"/>
          <w:spacing w:val="15"/>
          <w:kern w:val="0"/>
          <w:sz w:val="32"/>
          <w:szCs w:val="32"/>
        </w:rPr>
        <w:t>其他事项说明</w:t>
      </w:r>
    </w:p>
    <w:p>
      <w:pPr>
        <w:widowControl/>
        <w:adjustRightInd w:val="0"/>
        <w:spacing w:line="440" w:lineRule="exact"/>
        <w:ind w:firstLine="875" w:firstLineChars="25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rPr>
        <w:t>无其他事项说明</w:t>
      </w:r>
      <w:r>
        <w:rPr>
          <w:rFonts w:hint="eastAsia" w:ascii="仿宋_GB2312" w:hAnsi="宋体" w:eastAsia="仿宋_GB2312" w:cs="宋体"/>
          <w:color w:val="000000"/>
          <w:spacing w:val="15"/>
          <w:kern w:val="0"/>
          <w:sz w:val="32"/>
          <w:szCs w:val="32"/>
          <w:lang w:eastAsia="zh-CN"/>
        </w:rPr>
        <w:t>。</w:t>
      </w:r>
    </w:p>
    <w:p>
      <w:pPr>
        <w:widowControl/>
        <w:numPr>
          <w:ilvl w:val="0"/>
          <w:numId w:val="2"/>
        </w:numPr>
        <w:adjustRightInd w:val="0"/>
        <w:spacing w:line="440" w:lineRule="exact"/>
        <w:ind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专业名词解释</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预算：</w:t>
      </w:r>
      <w:r>
        <w:rPr>
          <w:rFonts w:hint="eastAsia" w:ascii="仿宋_GB2312" w:hAnsi="宋体" w:eastAsia="仿宋_GB2312" w:cs="宋体"/>
          <w:color w:val="000000"/>
          <w:spacing w:val="15"/>
          <w:kern w:val="0"/>
          <w:sz w:val="32"/>
          <w:szCs w:val="32"/>
          <w:lang w:eastAsia="zh-CN"/>
        </w:rPr>
        <w:t>指遵循统筹兼顾、勤俭节约、量力而行、讲求绩效和收支平衡的原则编制，经法定程序审核批准的国家年度集中性财政收支计划。政府的全部收入和支出都应当纳入预算，地方各级预算一般不列赤字。</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一般公共预算：</w:t>
      </w:r>
      <w:r>
        <w:rPr>
          <w:rFonts w:hint="eastAsia" w:ascii="仿宋_GB2312" w:hAnsi="宋体" w:eastAsia="仿宋_GB2312" w:cs="宋体"/>
          <w:color w:val="000000"/>
          <w:spacing w:val="15"/>
          <w:kern w:val="0"/>
          <w:sz w:val="32"/>
          <w:szCs w:val="32"/>
          <w:lang w:eastAsia="zh-CN"/>
        </w:rPr>
        <w:t>对以税收为主体的财政收入，安排用于保障和改善民生、推动经济社会发展、维护国家安全、维持国家机构正常运转等方面的收支预算。</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政府性基金预算：</w:t>
      </w:r>
      <w:r>
        <w:rPr>
          <w:rFonts w:hint="eastAsia" w:ascii="仿宋_GB2312" w:hAnsi="宋体" w:eastAsia="仿宋_GB2312" w:cs="宋体"/>
          <w:color w:val="000000"/>
          <w:spacing w:val="15"/>
          <w:kern w:val="0"/>
          <w:sz w:val="32"/>
          <w:szCs w:val="32"/>
          <w:lang w:eastAsia="zh-CN"/>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tabs>
          <w:tab w:val="left" w:pos="2043"/>
        </w:tabs>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一般性转移支付：</w:t>
      </w:r>
      <w:r>
        <w:rPr>
          <w:rFonts w:hint="eastAsia" w:ascii="仿宋_GB2312" w:hAnsi="宋体" w:eastAsia="仿宋_GB2312" w:cs="宋体"/>
          <w:color w:val="000000"/>
          <w:spacing w:val="15"/>
          <w:kern w:val="0"/>
          <w:sz w:val="32"/>
          <w:szCs w:val="32"/>
          <w:lang w:eastAsia="zh-CN"/>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部门预算:</w:t>
      </w:r>
      <w:r>
        <w:rPr>
          <w:rFonts w:hint="eastAsia" w:ascii="仿宋_GB2312" w:hAnsi="宋体" w:eastAsia="仿宋_GB2312" w:cs="宋体"/>
          <w:color w:val="000000"/>
          <w:spacing w:val="15"/>
          <w:kern w:val="0"/>
          <w:sz w:val="32"/>
          <w:szCs w:val="32"/>
          <w:lang w:eastAsia="zh-CN"/>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 xml:space="preserve">政府采购: </w:t>
      </w:r>
      <w:r>
        <w:rPr>
          <w:rFonts w:hint="eastAsia" w:ascii="仿宋_GB2312" w:hAnsi="宋体" w:eastAsia="仿宋_GB2312" w:cs="宋体"/>
          <w:color w:val="000000"/>
          <w:spacing w:val="15"/>
          <w:kern w:val="0"/>
          <w:sz w:val="32"/>
          <w:szCs w:val="32"/>
          <w:lang w:eastAsia="zh-CN"/>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预算绩效管理：</w:t>
      </w:r>
      <w:r>
        <w:rPr>
          <w:rFonts w:hint="eastAsia" w:ascii="仿宋_GB2312" w:hAnsi="宋体" w:eastAsia="仿宋_GB2312" w:cs="宋体"/>
          <w:color w:val="000000"/>
          <w:spacing w:val="15"/>
          <w:kern w:val="0"/>
          <w:sz w:val="32"/>
          <w:szCs w:val="32"/>
          <w:lang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spacing w:line="480" w:lineRule="exact"/>
        <w:ind w:firstLine="602" w:firstLineChars="2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“三公”经费：</w:t>
      </w:r>
      <w:r>
        <w:rPr>
          <w:rFonts w:hint="eastAsia" w:ascii="仿宋_GB2312" w:hAnsi="宋体" w:eastAsia="仿宋_GB2312" w:cs="宋体"/>
          <w:color w:val="000000"/>
          <w:spacing w:val="15"/>
          <w:kern w:val="0"/>
          <w:sz w:val="32"/>
          <w:szCs w:val="32"/>
          <w:lang w:eastAsia="zh-CN"/>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480" w:lineRule="exact"/>
        <w:ind w:firstLine="904" w:firstLineChars="300"/>
        <w:rPr>
          <w:rFonts w:ascii="仿宋_GB2312" w:hAnsi="Calibri" w:eastAsia="仿宋_GB2312"/>
          <w:sz w:val="30"/>
          <w:szCs w:val="30"/>
        </w:rPr>
      </w:pPr>
      <w:r>
        <w:rPr>
          <w:rFonts w:hint="eastAsia" w:ascii="仿宋_GB2312" w:hAnsi="Calibri" w:eastAsia="仿宋_GB2312"/>
          <w:b/>
          <w:sz w:val="30"/>
          <w:szCs w:val="30"/>
        </w:rPr>
        <w:t>政府购买服务：</w:t>
      </w:r>
      <w:r>
        <w:rPr>
          <w:rFonts w:hint="eastAsia" w:ascii="仿宋_GB2312" w:hAnsi="宋体" w:eastAsia="仿宋_GB2312" w:cs="宋体"/>
          <w:color w:val="000000"/>
          <w:spacing w:val="15"/>
          <w:kern w:val="0"/>
          <w:sz w:val="32"/>
          <w:szCs w:val="32"/>
          <w:lang w:eastAsia="zh-CN"/>
        </w:rPr>
        <w:t>指通过发挥市场机制作用，把政府直接向社会公众提供的公共服务等事项，按照一定的方式和程序，交由具备条件的社会力量承担，并由政府根据服务数量和质量向其支付费用。</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机关运行经费：</w:t>
      </w:r>
      <w:r>
        <w:rPr>
          <w:rFonts w:hint="eastAsia" w:ascii="仿宋_GB2312" w:hAnsi="宋体" w:eastAsia="仿宋_GB2312" w:cs="宋体"/>
          <w:color w:val="000000"/>
          <w:spacing w:val="15"/>
          <w:kern w:val="0"/>
          <w:sz w:val="32"/>
          <w:szCs w:val="32"/>
          <w:lang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部门整体支出绩效评价：</w:t>
      </w:r>
      <w:r>
        <w:rPr>
          <w:rFonts w:hint="eastAsia" w:ascii="仿宋_GB2312" w:hAnsi="宋体" w:eastAsia="仿宋_GB2312" w:cs="宋体"/>
          <w:color w:val="000000"/>
          <w:spacing w:val="15"/>
          <w:kern w:val="0"/>
          <w:sz w:val="32"/>
          <w:szCs w:val="32"/>
          <w:lang w:eastAsia="zh-CN"/>
        </w:rPr>
        <w:t>是对包括部门整体基本支出和项目支出在内的整体预算支出的绩效评价，评价以项目支出为重点。一般以预算年度为周期，对跨年度的重点项目可根据项目支出完成情况实施阶段性评价。</w:t>
      </w:r>
    </w:p>
    <w:p>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行政事业性收费</w:t>
      </w:r>
      <w:r>
        <w:rPr>
          <w:rFonts w:hint="eastAsia" w:ascii="仿宋_GB2312" w:hAnsi="Calibri" w:eastAsia="仿宋_GB2312"/>
          <w:sz w:val="30"/>
          <w:szCs w:val="30"/>
        </w:rPr>
        <w:t>:</w:t>
      </w:r>
      <w:r>
        <w:rPr>
          <w:rFonts w:hint="eastAsia" w:ascii="仿宋_GB2312" w:hAnsi="宋体" w:eastAsia="仿宋_GB2312" w:cs="宋体"/>
          <w:color w:val="000000"/>
          <w:spacing w:val="15"/>
          <w:kern w:val="0"/>
          <w:sz w:val="32"/>
          <w:szCs w:val="32"/>
          <w:lang w:eastAsia="zh-CN"/>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widowControl/>
        <w:numPr>
          <w:ilvl w:val="0"/>
          <w:numId w:val="0"/>
        </w:numPr>
        <w:adjustRightInd w:val="0"/>
        <w:spacing w:line="440" w:lineRule="exact"/>
        <w:jc w:val="left"/>
        <w:rPr>
          <w:rFonts w:hint="eastAsia" w:ascii="仿宋_GB2312" w:hAnsi="宋体" w:eastAsia="仿宋_GB2312" w:cs="宋体"/>
          <w:b/>
          <w:color w:val="000000"/>
          <w:spacing w:val="15"/>
          <w:kern w:val="0"/>
          <w:sz w:val="32"/>
          <w:szCs w:val="32"/>
          <w:lang w:eastAsia="zh-CN"/>
        </w:rPr>
      </w:pPr>
    </w:p>
    <w:p>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p>
    <w:p/>
    <w:p/>
    <w:p>
      <w:pPr>
        <w:sectPr>
          <w:pgSz w:w="16838" w:h="11906" w:orient="landscape"/>
          <w:pgMar w:top="1800" w:right="1440" w:bottom="1800" w:left="1440" w:header="851" w:footer="992" w:gutter="0"/>
          <w:cols w:space="425" w:num="1"/>
          <w:docGrid w:type="lines" w:linePitch="312" w:charSpace="0"/>
        </w:sectPr>
      </w:pPr>
    </w:p>
    <w:p/>
    <w:p>
      <w:r>
        <w:rPr>
          <w:rFonts w:hint="eastAsia"/>
        </w:rPr>
        <w:drawing>
          <wp:inline distT="0" distB="0" distL="0" distR="0">
            <wp:extent cx="5274310" cy="79343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7934734"/>
                    </a:xfrm>
                    <a:prstGeom prst="rect">
                      <a:avLst/>
                    </a:prstGeom>
                    <a:noFill/>
                    <a:ln>
                      <a:noFill/>
                    </a:ln>
                  </pic:spPr>
                </pic:pic>
              </a:graphicData>
            </a:graphic>
          </wp:inline>
        </w:drawing>
      </w:r>
    </w:p>
    <w:p/>
    <w:p/>
    <w:p>
      <w:pPr>
        <w:sectPr>
          <w:pgSz w:w="11906" w:h="16838"/>
          <w:pgMar w:top="1440" w:right="1800" w:bottom="1440" w:left="1800" w:header="851" w:footer="992" w:gutter="0"/>
          <w:cols w:space="425" w:num="1"/>
          <w:docGrid w:type="lines" w:linePitch="312" w:charSpace="0"/>
        </w:sectPr>
      </w:pPr>
    </w:p>
    <w:p/>
    <w:tbl>
      <w:tblPr>
        <w:tblStyle w:val="7"/>
        <w:tblW w:w="16100" w:type="dxa"/>
        <w:tblInd w:w="-1061" w:type="dxa"/>
        <w:tblLayout w:type="autofit"/>
        <w:tblCellMar>
          <w:top w:w="0" w:type="dxa"/>
          <w:left w:w="108" w:type="dxa"/>
          <w:bottom w:w="0" w:type="dxa"/>
          <w:right w:w="108" w:type="dxa"/>
        </w:tblCellMar>
      </w:tblPr>
      <w:tblGrid>
        <w:gridCol w:w="940"/>
        <w:gridCol w:w="2560"/>
        <w:gridCol w:w="1620"/>
        <w:gridCol w:w="1620"/>
        <w:gridCol w:w="1360"/>
        <w:gridCol w:w="1680"/>
        <w:gridCol w:w="1380"/>
        <w:gridCol w:w="900"/>
        <w:gridCol w:w="960"/>
        <w:gridCol w:w="1060"/>
        <w:gridCol w:w="1120"/>
        <w:gridCol w:w="900"/>
      </w:tblGrid>
      <w:tr>
        <w:tblPrEx>
          <w:tblCellMar>
            <w:top w:w="0" w:type="dxa"/>
            <w:left w:w="108" w:type="dxa"/>
            <w:bottom w:w="0" w:type="dxa"/>
            <w:right w:w="108" w:type="dxa"/>
          </w:tblCellMar>
        </w:tblPrEx>
        <w:trPr>
          <w:trHeight w:val="975" w:hRule="atLeast"/>
        </w:trPr>
        <w:tc>
          <w:tcPr>
            <w:tcW w:w="940"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tc>
        <w:tc>
          <w:tcPr>
            <w:tcW w:w="15160" w:type="dxa"/>
            <w:gridSpan w:val="11"/>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收入预算总表</w:t>
            </w:r>
          </w:p>
        </w:tc>
      </w:tr>
      <w:tr>
        <w:tblPrEx>
          <w:tblCellMar>
            <w:top w:w="0" w:type="dxa"/>
            <w:left w:w="108" w:type="dxa"/>
            <w:bottom w:w="0" w:type="dxa"/>
            <w:right w:w="108" w:type="dxa"/>
          </w:tblCellMar>
        </w:tblPrEx>
        <w:trPr>
          <w:trHeight w:val="315" w:hRule="atLeast"/>
        </w:trPr>
        <w:tc>
          <w:tcPr>
            <w:tcW w:w="15200" w:type="dxa"/>
            <w:gridSpan w:val="11"/>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900" w:type="dxa"/>
            <w:tcBorders>
              <w:top w:val="nil"/>
              <w:left w:val="nil"/>
              <w:bottom w:val="single" w:color="000000" w:sz="4" w:space="0"/>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rPr>
          <w:trHeight w:val="405" w:hRule="atLeast"/>
        </w:trPr>
        <w:tc>
          <w:tcPr>
            <w:tcW w:w="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25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安排预算合计</w:t>
            </w:r>
          </w:p>
        </w:tc>
        <w:tc>
          <w:tcPr>
            <w:tcW w:w="1098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预算单位收入来源</w:t>
            </w:r>
          </w:p>
        </w:tc>
      </w:tr>
      <w:tr>
        <w:tblPrEx>
          <w:tblCellMar>
            <w:top w:w="0" w:type="dxa"/>
            <w:left w:w="108" w:type="dxa"/>
            <w:bottom w:w="0" w:type="dxa"/>
            <w:right w:w="108" w:type="dxa"/>
          </w:tblCellMar>
        </w:tblPrEx>
        <w:trPr>
          <w:trHeight w:val="405"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6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一、财政拨款</w:t>
            </w: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二、上级补助收入</w:t>
            </w:r>
          </w:p>
        </w:tc>
        <w:tc>
          <w:tcPr>
            <w:tcW w:w="30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三、事业收入</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四、经营收入</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五、附属单位缴款</w:t>
            </w:r>
          </w:p>
        </w:tc>
        <w:tc>
          <w:tcPr>
            <w:tcW w:w="1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六、其他收入</w:t>
            </w:r>
          </w:p>
        </w:tc>
        <w:tc>
          <w:tcPr>
            <w:tcW w:w="11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七、用事业基金弥补收支差额</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八、上年结转和结余</w:t>
            </w:r>
          </w:p>
        </w:tc>
      </w:tr>
      <w:tr>
        <w:tblPrEx>
          <w:tblCellMar>
            <w:top w:w="0" w:type="dxa"/>
            <w:left w:w="108" w:type="dxa"/>
            <w:bottom w:w="0" w:type="dxa"/>
            <w:right w:w="108" w:type="dxa"/>
          </w:tblCellMar>
        </w:tblPrEx>
        <w:trPr>
          <w:trHeight w:val="570"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2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6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6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其他事业收入</w:t>
            </w:r>
          </w:p>
        </w:tc>
        <w:tc>
          <w:tcPr>
            <w:tcW w:w="1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9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1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9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39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本年用收入安排的支出合计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bl>
    <w:p/>
    <w:p/>
    <w:p/>
    <w:p/>
    <w:p/>
    <w:p/>
    <w:p/>
    <w:p/>
    <w:p/>
    <w:p/>
    <w:p/>
    <w:p/>
    <w:p>
      <w:pPr>
        <w:sectPr>
          <w:pgSz w:w="16838" w:h="11906" w:orient="landscape"/>
          <w:pgMar w:top="851" w:right="1440" w:bottom="709" w:left="1440" w:header="851" w:footer="992" w:gutter="0"/>
          <w:cols w:space="425" w:num="1"/>
          <w:docGrid w:type="lines" w:linePitch="312" w:charSpace="0"/>
        </w:sectPr>
      </w:pPr>
    </w:p>
    <w:tbl>
      <w:tblPr>
        <w:tblStyle w:val="7"/>
        <w:tblW w:w="9680" w:type="dxa"/>
        <w:tblInd w:w="93" w:type="dxa"/>
        <w:tblLayout w:type="autofit"/>
        <w:tblCellMar>
          <w:top w:w="0" w:type="dxa"/>
          <w:left w:w="108" w:type="dxa"/>
          <w:bottom w:w="0" w:type="dxa"/>
          <w:right w:w="108" w:type="dxa"/>
        </w:tblCellMar>
      </w:tblPr>
      <w:tblGrid>
        <w:gridCol w:w="1380"/>
        <w:gridCol w:w="960"/>
        <w:gridCol w:w="2100"/>
        <w:gridCol w:w="20"/>
        <w:gridCol w:w="1760"/>
        <w:gridCol w:w="1160"/>
        <w:gridCol w:w="580"/>
        <w:gridCol w:w="1440"/>
        <w:gridCol w:w="280"/>
      </w:tblGrid>
      <w:tr>
        <w:tblPrEx>
          <w:tblCellMar>
            <w:top w:w="0" w:type="dxa"/>
            <w:left w:w="108" w:type="dxa"/>
            <w:bottom w:w="0" w:type="dxa"/>
            <w:right w:w="108" w:type="dxa"/>
          </w:tblCellMar>
        </w:tblPrEx>
        <w:trPr>
          <w:trHeight w:val="975" w:hRule="atLeast"/>
        </w:trPr>
        <w:tc>
          <w:tcPr>
            <w:tcW w:w="9680"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支出预算总表</w:t>
            </w:r>
          </w:p>
        </w:tc>
      </w:tr>
      <w:tr>
        <w:tblPrEx>
          <w:tblCellMar>
            <w:top w:w="0" w:type="dxa"/>
            <w:left w:w="108" w:type="dxa"/>
            <w:bottom w:w="0" w:type="dxa"/>
            <w:right w:w="108" w:type="dxa"/>
          </w:tblCellMar>
        </w:tblPrEx>
        <w:trPr>
          <w:trHeight w:val="315" w:hRule="atLeast"/>
        </w:trPr>
        <w:tc>
          <w:tcPr>
            <w:tcW w:w="7960" w:type="dxa"/>
            <w:gridSpan w:val="7"/>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720" w:type="dxa"/>
            <w:gridSpan w:val="2"/>
            <w:tcBorders>
              <w:top w:val="nil"/>
              <w:left w:val="nil"/>
              <w:bottom w:val="single" w:color="000000" w:sz="4" w:space="0"/>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        单位：元</w:t>
            </w:r>
          </w:p>
        </w:tc>
      </w:tr>
      <w:tr>
        <w:tblPrEx>
          <w:tblCellMar>
            <w:top w:w="0" w:type="dxa"/>
            <w:left w:w="108" w:type="dxa"/>
            <w:bottom w:w="0" w:type="dxa"/>
            <w:right w:w="108" w:type="dxa"/>
          </w:tblCellMar>
        </w:tblPrEx>
        <w:trPr>
          <w:trHeight w:val="51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功能科目编码</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功能科目名称</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预算总数</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2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30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33,768,190.00</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r>
        <w:tblPrEx>
          <w:tblCellMar>
            <w:top w:w="0" w:type="dxa"/>
            <w:left w:w="108" w:type="dxa"/>
            <w:bottom w:w="0" w:type="dxa"/>
            <w:right w:w="108" w:type="dxa"/>
          </w:tblCellMar>
        </w:tblPrEx>
        <w:trPr>
          <w:gridAfter w:val="1"/>
          <w:wAfter w:w="280" w:type="dxa"/>
          <w:trHeight w:val="975" w:hRule="atLeast"/>
        </w:trPr>
        <w:tc>
          <w:tcPr>
            <w:tcW w:w="9400"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财政拨款收支预算总表</w:t>
            </w:r>
          </w:p>
        </w:tc>
      </w:tr>
      <w:tr>
        <w:tblPrEx>
          <w:tblCellMar>
            <w:top w:w="0" w:type="dxa"/>
            <w:left w:w="108" w:type="dxa"/>
            <w:bottom w:w="0" w:type="dxa"/>
            <w:right w:w="108" w:type="dxa"/>
          </w:tblCellMar>
        </w:tblPrEx>
        <w:trPr>
          <w:gridAfter w:val="1"/>
          <w:wAfter w:w="280" w:type="dxa"/>
          <w:trHeight w:val="480" w:hRule="atLeast"/>
        </w:trPr>
        <w:tc>
          <w:tcPr>
            <w:tcW w:w="7380" w:type="dxa"/>
            <w:gridSpan w:val="6"/>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2020" w:type="dxa"/>
            <w:gridSpan w:val="2"/>
            <w:tcBorders>
              <w:top w:val="nil"/>
              <w:left w:val="nil"/>
              <w:bottom w:val="single" w:color="000000" w:sz="4" w:space="0"/>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gridAfter w:val="1"/>
          <w:wAfter w:w="280" w:type="dxa"/>
          <w:trHeight w:val="660" w:hRule="atLeast"/>
        </w:trPr>
        <w:tc>
          <w:tcPr>
            <w:tcW w:w="4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49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gridAfter w:val="1"/>
          <w:wAfter w:w="280" w:type="dxa"/>
          <w:trHeight w:val="660"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一般公共预算</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一、一般公共服务</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政府性基金预算</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二、外交</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国有资本经营预算</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三、国防</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四、公共安全</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五、教育</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六、科学技术</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七、文化体育与传媒</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八、社会保障和就业</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九、医疗卫生与计划生育</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十、节能环保</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十一、城乡社区</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十二、农林水</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十三、交通运输</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十四、资源勘探信息等</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十五、商业服务业等</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十六、金融</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十七、援助其他地区</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十八、国土海洋气象等</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十九、住房保障</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二十、粮油物资储备</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0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二十一、灾害防治及应急管理支出</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gridAfter w:val="1"/>
          <w:wAfter w:w="280" w:type="dxa"/>
          <w:trHeight w:val="40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二十二、预备费</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r>
      <w:tr>
        <w:tblPrEx>
          <w:tblCellMar>
            <w:top w:w="0" w:type="dxa"/>
            <w:left w:w="108" w:type="dxa"/>
            <w:bottom w:w="0" w:type="dxa"/>
            <w:right w:w="108" w:type="dxa"/>
          </w:tblCellMar>
        </w:tblPrEx>
        <w:trPr>
          <w:gridAfter w:val="1"/>
          <w:wAfter w:w="280" w:type="dxa"/>
          <w:trHeight w:val="40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二十三、其他</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本年财政拨款收入合计</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本年财政拨款支出合计</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财政拨款上年结转结余</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财政拨款结余</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财政拨款收入总计</w:t>
            </w:r>
          </w:p>
        </w:tc>
        <w:tc>
          <w:tcPr>
            <w:tcW w:w="21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29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财政拨款支出总计</w:t>
            </w:r>
          </w:p>
        </w:tc>
        <w:tc>
          <w:tcPr>
            <w:tcW w:w="202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r>
    </w:tbl>
    <w:p/>
    <w:p/>
    <w:p/>
    <w:p/>
    <w:tbl>
      <w:tblPr>
        <w:tblStyle w:val="7"/>
        <w:tblW w:w="10640" w:type="dxa"/>
        <w:tblInd w:w="93" w:type="dxa"/>
        <w:tblLayout w:type="autofit"/>
        <w:tblCellMar>
          <w:top w:w="0" w:type="dxa"/>
          <w:left w:w="108" w:type="dxa"/>
          <w:bottom w:w="0" w:type="dxa"/>
          <w:right w:w="108" w:type="dxa"/>
        </w:tblCellMar>
      </w:tblPr>
      <w:tblGrid>
        <w:gridCol w:w="1500"/>
        <w:gridCol w:w="2360"/>
        <w:gridCol w:w="1780"/>
        <w:gridCol w:w="1820"/>
        <w:gridCol w:w="1620"/>
        <w:gridCol w:w="1560"/>
      </w:tblGrid>
      <w:tr>
        <w:tblPrEx>
          <w:tblCellMar>
            <w:top w:w="0" w:type="dxa"/>
            <w:left w:w="108" w:type="dxa"/>
            <w:bottom w:w="0" w:type="dxa"/>
            <w:right w:w="108" w:type="dxa"/>
          </w:tblCellMar>
        </w:tblPrEx>
        <w:trPr>
          <w:trHeight w:val="975" w:hRule="atLeast"/>
        </w:trPr>
        <w:tc>
          <w:tcPr>
            <w:tcW w:w="1064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财政拨款收入预算总表</w:t>
            </w:r>
          </w:p>
        </w:tc>
      </w:tr>
      <w:tr>
        <w:tblPrEx>
          <w:tblCellMar>
            <w:top w:w="0" w:type="dxa"/>
            <w:left w:w="108" w:type="dxa"/>
            <w:bottom w:w="0" w:type="dxa"/>
            <w:right w:w="108" w:type="dxa"/>
          </w:tblCellMar>
        </w:tblPrEx>
        <w:trPr>
          <w:trHeight w:val="330" w:hRule="atLeast"/>
        </w:trPr>
        <w:tc>
          <w:tcPr>
            <w:tcW w:w="9080"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单位名称：北京市丰台区房屋管理局</w:t>
            </w:r>
          </w:p>
        </w:tc>
        <w:tc>
          <w:tcPr>
            <w:tcW w:w="1560" w:type="dxa"/>
            <w:tcBorders>
              <w:top w:val="nil"/>
              <w:left w:val="nil"/>
              <w:bottom w:val="nil"/>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      单位：元</w:t>
            </w:r>
          </w:p>
        </w:tc>
      </w:tr>
      <w:tr>
        <w:tblPrEx>
          <w:tblCellMar>
            <w:top w:w="0" w:type="dxa"/>
            <w:left w:w="108" w:type="dxa"/>
            <w:bottom w:w="0" w:type="dxa"/>
            <w:right w:w="108" w:type="dxa"/>
          </w:tblCellMar>
        </w:tblPrEx>
        <w:trPr>
          <w:trHeight w:val="315" w:hRule="atLeast"/>
        </w:trPr>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功能科目编码</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功能科目名称</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安排预算合计</w:t>
            </w:r>
          </w:p>
        </w:tc>
        <w:tc>
          <w:tcPr>
            <w:tcW w:w="50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财政拨款收入来源</w:t>
            </w:r>
          </w:p>
        </w:tc>
      </w:tr>
      <w:tr>
        <w:tblPrEx>
          <w:tblCellMar>
            <w:top w:w="0" w:type="dxa"/>
            <w:left w:w="108" w:type="dxa"/>
            <w:bottom w:w="0" w:type="dxa"/>
            <w:right w:w="108" w:type="dxa"/>
          </w:tblCellMar>
        </w:tblPrEx>
        <w:trPr>
          <w:trHeight w:val="312" w:hRule="atLeast"/>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一、一般公共预算</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二、政府性基金</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三、国有资本经营预算</w:t>
            </w:r>
          </w:p>
        </w:tc>
      </w:tr>
      <w:tr>
        <w:tblPrEx>
          <w:tblCellMar>
            <w:top w:w="0" w:type="dxa"/>
            <w:left w:w="108" w:type="dxa"/>
            <w:bottom w:w="0" w:type="dxa"/>
            <w:right w:w="108" w:type="dxa"/>
          </w:tblCellMar>
        </w:tblPrEx>
        <w:trPr>
          <w:trHeight w:val="312" w:hRule="atLeast"/>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一般公共服务支出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20132</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组织事务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2013202</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一般行政管理事务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205</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教育支出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20508</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进修及培训</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2050803</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培训支出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社会保障和就业支出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行政事业单位离退休</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归口管理的行政单位离退休</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308,225.00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308,225.00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2080502</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事业单位离退休</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406,410.00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406,410.00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2080505</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机关事业单位基本养老保险缴费支出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2,143,680.00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2,143,680.00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2080506</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机关事业单位职业年金缴费支出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857,472.00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857,472.00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节能环保支出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21103</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污染防治</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2110301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大气</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212</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城乡社区支出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21201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城乡社区管理事务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2120101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行政运行</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25,366,871.00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25,366,871.00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2120102</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一般行政管理事务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12,933,551.74</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12,933,551.74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住房保障支出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24,629,032.00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24,629,032.00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保障性安居工程支出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2210107</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保障性住房租金补贴</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22102</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住房改革支出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4,629,032.00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4,629,032.00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2210201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住房公积金</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2,603,280.00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2,603,280.00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2210203</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购房补贴</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2,025,752.00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2,025,752.00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224</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灾害防治及应急管理支出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22401</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应急管理事务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2240106</w:t>
            </w:r>
          </w:p>
        </w:tc>
        <w:tc>
          <w:tcPr>
            <w:tcW w:w="23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安全监管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435"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本年用财政拨款收入安排的支出合计</w:t>
            </w:r>
          </w:p>
        </w:tc>
        <w:tc>
          <w:tcPr>
            <w:tcW w:w="2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36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结余</w:t>
            </w:r>
          </w:p>
        </w:tc>
        <w:tc>
          <w:tcPr>
            <w:tcW w:w="2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tblPrEx>
          <w:tblCellMar>
            <w:top w:w="0" w:type="dxa"/>
            <w:left w:w="108" w:type="dxa"/>
            <w:bottom w:w="0" w:type="dxa"/>
            <w:right w:w="108" w:type="dxa"/>
          </w:tblCellMar>
        </w:tblPrEx>
        <w:trPr>
          <w:trHeight w:val="345"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合计</w:t>
            </w:r>
          </w:p>
        </w:tc>
        <w:tc>
          <w:tcPr>
            <w:tcW w:w="2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bl>
    <w:p/>
    <w:p/>
    <w:tbl>
      <w:tblPr>
        <w:tblStyle w:val="7"/>
        <w:tblW w:w="9780" w:type="dxa"/>
        <w:tblInd w:w="93" w:type="dxa"/>
        <w:tblLayout w:type="autofit"/>
        <w:tblCellMar>
          <w:top w:w="0" w:type="dxa"/>
          <w:left w:w="108" w:type="dxa"/>
          <w:bottom w:w="0" w:type="dxa"/>
          <w:right w:w="108" w:type="dxa"/>
        </w:tblCellMar>
      </w:tblPr>
      <w:tblGrid>
        <w:gridCol w:w="1380"/>
        <w:gridCol w:w="3060"/>
        <w:gridCol w:w="1860"/>
        <w:gridCol w:w="1740"/>
        <w:gridCol w:w="1740"/>
      </w:tblGrid>
      <w:tr>
        <w:tblPrEx>
          <w:tblCellMar>
            <w:top w:w="0" w:type="dxa"/>
            <w:left w:w="108" w:type="dxa"/>
            <w:bottom w:w="0" w:type="dxa"/>
            <w:right w:w="108" w:type="dxa"/>
          </w:tblCellMar>
        </w:tblPrEx>
        <w:trPr>
          <w:trHeight w:val="975" w:hRule="atLeast"/>
        </w:trPr>
        <w:tc>
          <w:tcPr>
            <w:tcW w:w="9780" w:type="dxa"/>
            <w:gridSpan w:val="5"/>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财政拨款支出预算总表</w:t>
            </w:r>
          </w:p>
        </w:tc>
      </w:tr>
      <w:tr>
        <w:tblPrEx>
          <w:tblCellMar>
            <w:top w:w="0" w:type="dxa"/>
            <w:left w:w="108" w:type="dxa"/>
            <w:bottom w:w="0" w:type="dxa"/>
            <w:right w:w="108" w:type="dxa"/>
          </w:tblCellMar>
        </w:tblPrEx>
        <w:trPr>
          <w:trHeight w:val="375" w:hRule="atLeast"/>
        </w:trPr>
        <w:tc>
          <w:tcPr>
            <w:tcW w:w="8040" w:type="dxa"/>
            <w:gridSpan w:val="4"/>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740" w:type="dxa"/>
            <w:tcBorders>
              <w:top w:val="nil"/>
              <w:left w:val="nil"/>
              <w:bottom w:val="single" w:color="000000" w:sz="4" w:space="0"/>
              <w:right w:val="nil"/>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xml:space="preserve">       单位：元</w:t>
            </w:r>
          </w:p>
        </w:tc>
      </w:tr>
      <w:tr>
        <w:tblPrEx>
          <w:tblCellMar>
            <w:top w:w="0" w:type="dxa"/>
            <w:left w:w="108" w:type="dxa"/>
            <w:bottom w:w="0" w:type="dxa"/>
            <w:right w:w="108" w:type="dxa"/>
          </w:tblCellMar>
        </w:tblPrEx>
        <w:trPr>
          <w:trHeight w:val="51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功能科目编码</w:t>
            </w:r>
          </w:p>
        </w:tc>
        <w:tc>
          <w:tcPr>
            <w:tcW w:w="3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功能科目名称</w:t>
            </w:r>
          </w:p>
        </w:tc>
        <w:tc>
          <w:tcPr>
            <w:tcW w:w="1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预算总数</w:t>
            </w:r>
          </w:p>
        </w:tc>
        <w:tc>
          <w:tcPr>
            <w:tcW w:w="17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7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37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3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33,768,190.00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bl>
    <w:p/>
    <w:p/>
    <w:p/>
    <w:p/>
    <w:tbl>
      <w:tblPr>
        <w:tblStyle w:val="7"/>
        <w:tblW w:w="10000" w:type="dxa"/>
        <w:tblInd w:w="93" w:type="dxa"/>
        <w:tblLayout w:type="autofit"/>
        <w:tblCellMar>
          <w:top w:w="0" w:type="dxa"/>
          <w:left w:w="108" w:type="dxa"/>
          <w:bottom w:w="0" w:type="dxa"/>
          <w:right w:w="108" w:type="dxa"/>
        </w:tblCellMar>
      </w:tblPr>
      <w:tblGrid>
        <w:gridCol w:w="1380"/>
        <w:gridCol w:w="3060"/>
        <w:gridCol w:w="1860"/>
        <w:gridCol w:w="1740"/>
        <w:gridCol w:w="1960"/>
      </w:tblGrid>
      <w:tr>
        <w:tblPrEx>
          <w:tblCellMar>
            <w:top w:w="0" w:type="dxa"/>
            <w:left w:w="108" w:type="dxa"/>
            <w:bottom w:w="0" w:type="dxa"/>
            <w:right w:w="108" w:type="dxa"/>
          </w:tblCellMar>
        </w:tblPrEx>
        <w:trPr>
          <w:trHeight w:val="960" w:hRule="atLeast"/>
        </w:trPr>
        <w:tc>
          <w:tcPr>
            <w:tcW w:w="10000" w:type="dxa"/>
            <w:gridSpan w:val="5"/>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一般公共预算支出预算表</w:t>
            </w:r>
          </w:p>
        </w:tc>
      </w:tr>
      <w:tr>
        <w:tblPrEx>
          <w:tblCellMar>
            <w:top w:w="0" w:type="dxa"/>
            <w:left w:w="108" w:type="dxa"/>
            <w:bottom w:w="0" w:type="dxa"/>
            <w:right w:w="108" w:type="dxa"/>
          </w:tblCellMar>
        </w:tblPrEx>
        <w:trPr>
          <w:trHeight w:val="315" w:hRule="atLeast"/>
        </w:trPr>
        <w:tc>
          <w:tcPr>
            <w:tcW w:w="8040" w:type="dxa"/>
            <w:gridSpan w:val="4"/>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960" w:type="dxa"/>
            <w:tcBorders>
              <w:top w:val="nil"/>
              <w:left w:val="nil"/>
              <w:bottom w:val="single" w:color="000000" w:sz="4" w:space="0"/>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trHeight w:val="390" w:hRule="atLeast"/>
        </w:trPr>
        <w:tc>
          <w:tcPr>
            <w:tcW w:w="13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3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55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一般公共预算</w:t>
            </w:r>
          </w:p>
        </w:tc>
      </w:tr>
      <w:tr>
        <w:tblPrEx>
          <w:tblCellMar>
            <w:top w:w="0" w:type="dxa"/>
            <w:left w:w="108" w:type="dxa"/>
            <w:bottom w:w="0" w:type="dxa"/>
            <w:right w:w="108" w:type="dxa"/>
          </w:tblCellMar>
        </w:tblPrEx>
        <w:trPr>
          <w:trHeight w:val="375" w:hRule="atLeast"/>
        </w:trPr>
        <w:tc>
          <w:tcPr>
            <w:tcW w:w="13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3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7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3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37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3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33,768,190.00</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bl>
    <w:p/>
    <w:p/>
    <w:p/>
    <w:p/>
    <w:p/>
    <w:tbl>
      <w:tblPr>
        <w:tblStyle w:val="7"/>
        <w:tblW w:w="10040" w:type="dxa"/>
        <w:tblInd w:w="93" w:type="dxa"/>
        <w:tblLayout w:type="autofit"/>
        <w:tblCellMar>
          <w:top w:w="0" w:type="dxa"/>
          <w:left w:w="108" w:type="dxa"/>
          <w:bottom w:w="0" w:type="dxa"/>
          <w:right w:w="108" w:type="dxa"/>
        </w:tblCellMar>
      </w:tblPr>
      <w:tblGrid>
        <w:gridCol w:w="1326"/>
        <w:gridCol w:w="2854"/>
        <w:gridCol w:w="1754"/>
        <w:gridCol w:w="1643"/>
        <w:gridCol w:w="1847"/>
        <w:gridCol w:w="616"/>
      </w:tblGrid>
      <w:tr>
        <w:tblPrEx>
          <w:tblCellMar>
            <w:top w:w="0" w:type="dxa"/>
            <w:left w:w="108" w:type="dxa"/>
            <w:bottom w:w="0" w:type="dxa"/>
            <w:right w:w="108" w:type="dxa"/>
          </w:tblCellMar>
        </w:tblPrEx>
        <w:trPr>
          <w:trHeight w:val="1035" w:hRule="atLeast"/>
        </w:trPr>
        <w:tc>
          <w:tcPr>
            <w:tcW w:w="1004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政府性基金预算支出预算表</w:t>
            </w:r>
          </w:p>
        </w:tc>
      </w:tr>
      <w:tr>
        <w:tblPrEx>
          <w:tblCellMar>
            <w:top w:w="0" w:type="dxa"/>
            <w:left w:w="108" w:type="dxa"/>
            <w:bottom w:w="0" w:type="dxa"/>
            <w:right w:w="108" w:type="dxa"/>
          </w:tblCellMar>
        </w:tblPrEx>
        <w:trPr>
          <w:trHeight w:val="315" w:hRule="atLeast"/>
        </w:trPr>
        <w:tc>
          <w:tcPr>
            <w:tcW w:w="9690" w:type="dxa"/>
            <w:gridSpan w:val="5"/>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350" w:type="dxa"/>
            <w:tcBorders>
              <w:top w:val="nil"/>
              <w:left w:val="nil"/>
              <w:bottom w:val="single" w:color="000000" w:sz="4" w:space="0"/>
              <w:right w:val="nil"/>
            </w:tcBorders>
            <w:shd w:val="clear" w:color="auto" w:fill="auto"/>
            <w:vAlign w:val="center"/>
          </w:tcPr>
          <w:p>
            <w:pPr>
              <w:widowControl/>
              <w:ind w:right="80"/>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trHeight w:val="450" w:hRule="atLeast"/>
        </w:trPr>
        <w:tc>
          <w:tcPr>
            <w:tcW w:w="13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29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53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政府性基金预算</w:t>
            </w:r>
          </w:p>
        </w:tc>
        <w:tc>
          <w:tcPr>
            <w:tcW w:w="3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360" w:hRule="atLeast"/>
        </w:trPr>
        <w:tc>
          <w:tcPr>
            <w:tcW w:w="13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29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c>
          <w:tcPr>
            <w:tcW w:w="18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8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c>
          <w:tcPr>
            <w:tcW w:w="3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29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nil"/>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75"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29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8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nil"/>
              <w:right w:val="single" w:color="000000" w:sz="4" w:space="0"/>
            </w:tcBorders>
            <w:shd w:val="clear" w:color="auto" w:fill="auto"/>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
    <w:p/>
    <w:p/>
    <w:tbl>
      <w:tblPr>
        <w:tblStyle w:val="7"/>
        <w:tblW w:w="6780" w:type="dxa"/>
        <w:tblInd w:w="1719" w:type="dxa"/>
        <w:tblLayout w:type="autofit"/>
        <w:tblCellMar>
          <w:top w:w="0" w:type="dxa"/>
          <w:left w:w="108" w:type="dxa"/>
          <w:bottom w:w="0" w:type="dxa"/>
          <w:right w:w="108" w:type="dxa"/>
        </w:tblCellMar>
      </w:tblPr>
      <w:tblGrid>
        <w:gridCol w:w="2840"/>
        <w:gridCol w:w="2320"/>
        <w:gridCol w:w="1620"/>
      </w:tblGrid>
      <w:tr>
        <w:tblPrEx>
          <w:tblCellMar>
            <w:top w:w="0" w:type="dxa"/>
            <w:left w:w="108" w:type="dxa"/>
            <w:bottom w:w="0" w:type="dxa"/>
            <w:right w:w="108" w:type="dxa"/>
          </w:tblCellMar>
        </w:tblPrEx>
        <w:trPr>
          <w:trHeight w:val="990" w:hRule="atLeast"/>
        </w:trPr>
        <w:tc>
          <w:tcPr>
            <w:tcW w:w="67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基本支出经济分类预算表</w:t>
            </w:r>
          </w:p>
        </w:tc>
      </w:tr>
      <w:tr>
        <w:tblPrEx>
          <w:tblCellMar>
            <w:top w:w="0" w:type="dxa"/>
            <w:left w:w="108" w:type="dxa"/>
            <w:bottom w:w="0" w:type="dxa"/>
            <w:right w:w="108" w:type="dxa"/>
          </w:tblCellMar>
        </w:tblPrEx>
        <w:trPr>
          <w:trHeight w:val="390" w:hRule="atLeast"/>
        </w:trPr>
        <w:tc>
          <w:tcPr>
            <w:tcW w:w="5160" w:type="dxa"/>
            <w:gridSpan w:val="2"/>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620" w:type="dxa"/>
            <w:tcBorders>
              <w:top w:val="nil"/>
              <w:left w:val="nil"/>
              <w:bottom w:val="single" w:color="000000" w:sz="4" w:space="0"/>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单位：万元</w:t>
            </w:r>
          </w:p>
        </w:tc>
      </w:tr>
      <w:tr>
        <w:tblPrEx>
          <w:tblCellMar>
            <w:top w:w="0" w:type="dxa"/>
            <w:left w:w="108" w:type="dxa"/>
            <w:bottom w:w="0" w:type="dxa"/>
            <w:right w:w="108" w:type="dxa"/>
          </w:tblCellMar>
        </w:tblPrEx>
        <w:trPr>
          <w:trHeight w:val="43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2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本年计划数</w:t>
            </w:r>
          </w:p>
        </w:tc>
      </w:tr>
      <w:tr>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工资福利支出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3,020.46</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30101</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基本工资</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390.09</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30102</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津贴补贴</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1,227.14</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30103</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奖金</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594.95</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30108</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214.37</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30109</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职业年金缴费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85.75</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30110</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职工基本医疗保险缴费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223.08</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30112</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其他社会保障缴费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24.75</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30113</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260.33</w:t>
            </w:r>
          </w:p>
        </w:tc>
      </w:tr>
      <w:tr>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商品和服务支出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284.90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30201</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13.58</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30202</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印刷费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30205</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水费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6.17</w:t>
            </w:r>
          </w:p>
        </w:tc>
      </w:tr>
      <w:tr>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30206</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24.77</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30207</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邮电费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8.14</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30208</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取暖费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14.80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30209</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物业管理费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30211</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差旅费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30213</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维修(护)费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4.65</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30215</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3.39</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30216</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5.65</w:t>
            </w:r>
          </w:p>
        </w:tc>
      </w:tr>
      <w:tr>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30217</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公务接待费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30218</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专用材料费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30228</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工会经费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40.19</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30229</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福利费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38.24</w:t>
            </w:r>
          </w:p>
        </w:tc>
      </w:tr>
      <w:tr>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30231</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公务用车运行维护费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30239</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其他交通费用</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83.81</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30299</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其他商品和服务支出</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36.99</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303</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对个人和家庭的补助</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71.46</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30301</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离休费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30302</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退休费</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71.46</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30305</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生活补助</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3,376.82</w:t>
            </w:r>
          </w:p>
        </w:tc>
      </w:tr>
    </w:tbl>
    <w:p/>
    <w:p/>
    <w:p/>
    <w:p/>
    <w:p/>
    <w:p/>
    <w:p/>
    <w:p/>
    <w:p/>
    <w:p/>
    <w:p/>
    <w:p/>
    <w:p/>
    <w:p/>
    <w:p/>
    <w:p/>
    <w:p/>
    <w:p/>
    <w:p/>
    <w:p/>
    <w:p/>
    <w:p/>
    <w:p/>
    <w:p/>
    <w:p/>
    <w:p/>
    <w:p>
      <w:pPr>
        <w:jc w:val="center"/>
        <w:rPr>
          <w:rFonts w:ascii="仿宋_GB2312" w:eastAsia="仿宋_GB2312"/>
          <w:b/>
          <w:sz w:val="36"/>
          <w:szCs w:val="36"/>
        </w:rPr>
      </w:pPr>
    </w:p>
    <w:p>
      <w:pPr>
        <w:jc w:val="center"/>
        <w:rPr>
          <w:rFonts w:ascii="仿宋_GB2312" w:eastAsia="仿宋_GB2312"/>
          <w:b/>
          <w:sz w:val="36"/>
          <w:szCs w:val="36"/>
        </w:rPr>
      </w:pPr>
    </w:p>
    <w:p>
      <w:pPr>
        <w:jc w:val="center"/>
        <w:rPr>
          <w:rFonts w:ascii="仿宋_GB2312" w:eastAsia="仿宋_GB2312"/>
          <w:b/>
          <w:sz w:val="36"/>
          <w:szCs w:val="36"/>
        </w:rPr>
      </w:pPr>
    </w:p>
    <w:p>
      <w:pPr>
        <w:jc w:val="center"/>
        <w:rPr>
          <w:rFonts w:ascii="仿宋_GB2312" w:eastAsia="仿宋_GB2312"/>
          <w:b/>
          <w:sz w:val="36"/>
          <w:szCs w:val="36"/>
        </w:rPr>
      </w:pPr>
      <w:r>
        <w:rPr>
          <w:rFonts w:hint="eastAsia" w:ascii="仿宋_GB2312" w:eastAsia="仿宋_GB2312"/>
          <w:b/>
          <w:sz w:val="36"/>
          <w:szCs w:val="36"/>
        </w:rPr>
        <w:t>关于北京市丰台区部门2019年“三公”经费预算财政拨款情况的说明</w:t>
      </w:r>
    </w:p>
    <w:p>
      <w:pPr>
        <w:jc w:val="center"/>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一、“三公”经费的单位范围</w:t>
      </w:r>
    </w:p>
    <w:p>
      <w:pPr>
        <w:ind w:firstLine="640" w:firstLineChars="200"/>
        <w:rPr>
          <w:rFonts w:ascii="仿宋_GB2312" w:eastAsia="仿宋_GB2312"/>
          <w:sz w:val="32"/>
          <w:szCs w:val="32"/>
        </w:rPr>
      </w:pPr>
      <w:r>
        <w:rPr>
          <w:rFonts w:hint="eastAsia" w:ascii="仿宋_GB2312" w:eastAsia="仿宋_GB2312"/>
          <w:sz w:val="32"/>
          <w:szCs w:val="32"/>
        </w:rPr>
        <w:t>北京市丰台区房屋管理局因公出国（境）费用、公务接待费、公务用车购置和运行维护费开支单位包括1个行政机关及2个所属事业单位。</w:t>
      </w:r>
    </w:p>
    <w:p>
      <w:pPr>
        <w:ind w:firstLine="643" w:firstLineChars="200"/>
        <w:rPr>
          <w:rFonts w:ascii="仿宋_GB2312" w:eastAsia="仿宋_GB2312"/>
          <w:b/>
          <w:sz w:val="32"/>
          <w:szCs w:val="32"/>
        </w:rPr>
      </w:pPr>
      <w:r>
        <w:rPr>
          <w:rFonts w:hint="eastAsia" w:ascii="仿宋_GB2312" w:eastAsia="仿宋_GB2312"/>
          <w:b/>
          <w:sz w:val="32"/>
          <w:szCs w:val="32"/>
        </w:rPr>
        <w:t>二、“三公”经费预算财政拨款情况说明</w:t>
      </w:r>
    </w:p>
    <w:p>
      <w:pPr>
        <w:ind w:firstLine="640" w:firstLineChars="200"/>
        <w:rPr>
          <w:rFonts w:ascii="仿宋_GB2312" w:eastAsia="仿宋_GB2312"/>
          <w:sz w:val="32"/>
          <w:szCs w:val="32"/>
        </w:rPr>
      </w:pPr>
      <w:r>
        <w:rPr>
          <w:rFonts w:hint="eastAsia" w:ascii="仿宋_GB2312" w:eastAsia="仿宋_GB2312"/>
          <w:sz w:val="32"/>
          <w:szCs w:val="32"/>
        </w:rPr>
        <w:t>2019年“三公”经费财政拨款预算1.69万元，其中：</w:t>
      </w:r>
    </w:p>
    <w:p>
      <w:pPr>
        <w:ind w:firstLine="640"/>
        <w:rPr>
          <w:rFonts w:ascii="仿宋_GB2312" w:eastAsia="仿宋_GB2312"/>
          <w:sz w:val="32"/>
          <w:szCs w:val="32"/>
        </w:rPr>
      </w:pPr>
      <w:r>
        <w:rPr>
          <w:rFonts w:hint="eastAsia" w:ascii="仿宋_GB2312" w:eastAsia="仿宋_GB2312"/>
          <w:sz w:val="32"/>
          <w:szCs w:val="32"/>
        </w:rPr>
        <w:t>（一）因公出国（境）费用</w:t>
      </w:r>
    </w:p>
    <w:p>
      <w:pPr>
        <w:ind w:left="160" w:leftChars="76" w:firstLine="480" w:firstLineChars="150"/>
        <w:rPr>
          <w:rFonts w:ascii="仿宋_GB2312" w:eastAsia="仿宋_GB2312"/>
          <w:sz w:val="32"/>
          <w:szCs w:val="32"/>
        </w:rPr>
      </w:pPr>
      <w:r>
        <w:rPr>
          <w:rFonts w:hint="eastAsia" w:ascii="仿宋_GB2312" w:eastAsia="仿宋_GB2312"/>
          <w:sz w:val="32"/>
          <w:szCs w:val="32"/>
        </w:rPr>
        <w:t>2019年预算数0万元，同比无增减变化，原因为2019年部门预算无因公出国境安排。</w:t>
      </w:r>
    </w:p>
    <w:p>
      <w:pPr>
        <w:ind w:firstLine="640"/>
        <w:rPr>
          <w:rFonts w:ascii="仿宋_GB2312" w:eastAsia="仿宋_GB2312"/>
          <w:sz w:val="32"/>
          <w:szCs w:val="32"/>
        </w:rPr>
      </w:pPr>
      <w:r>
        <w:rPr>
          <w:rFonts w:hint="eastAsia" w:ascii="仿宋_GB2312" w:eastAsia="仿宋_GB2312"/>
          <w:sz w:val="32"/>
          <w:szCs w:val="32"/>
        </w:rPr>
        <w:t>（二）公务接待费</w:t>
      </w:r>
    </w:p>
    <w:p>
      <w:pPr>
        <w:ind w:firstLine="640"/>
        <w:rPr>
          <w:rFonts w:ascii="仿宋_GB2312" w:eastAsia="仿宋_GB2312"/>
          <w:sz w:val="32"/>
          <w:szCs w:val="32"/>
        </w:rPr>
      </w:pPr>
      <w:r>
        <w:rPr>
          <w:rFonts w:hint="eastAsia" w:ascii="仿宋_GB2312" w:eastAsia="仿宋_GB2312"/>
          <w:sz w:val="32"/>
          <w:szCs w:val="32"/>
        </w:rPr>
        <w:t>2018年预算数1.69万元，主要用于按规定开支的各类公务接待（含外宾接待）活动，同比无增减变化，原因为无公务接待活动发生。</w:t>
      </w:r>
    </w:p>
    <w:p>
      <w:pPr>
        <w:ind w:firstLine="640"/>
        <w:rPr>
          <w:rFonts w:ascii="仿宋_GB2312" w:eastAsia="仿宋_GB2312"/>
          <w:sz w:val="32"/>
          <w:szCs w:val="32"/>
        </w:rPr>
      </w:pPr>
      <w:r>
        <w:rPr>
          <w:rFonts w:hint="eastAsia" w:ascii="仿宋_GB2312" w:eastAsia="仿宋_GB2312"/>
          <w:sz w:val="32"/>
          <w:szCs w:val="32"/>
        </w:rPr>
        <w:t>（三）公务用车购置和运行维护费</w:t>
      </w:r>
    </w:p>
    <w:p>
      <w:pPr>
        <w:ind w:firstLine="640"/>
        <w:rPr>
          <w:rFonts w:ascii="仿宋_GB2312" w:eastAsia="仿宋_GB2312"/>
          <w:sz w:val="32"/>
          <w:szCs w:val="32"/>
        </w:rPr>
      </w:pPr>
      <w:r>
        <w:rPr>
          <w:rFonts w:hint="eastAsia" w:ascii="仿宋_GB2312" w:eastAsia="仿宋_GB2312"/>
          <w:sz w:val="32"/>
          <w:szCs w:val="32"/>
        </w:rPr>
        <w:t>2019年预算数0万元，同比无增减变化，其中：公务用车购置费2019年预算数0万元，同比无增减变化，原因为行政事业单位公务用车改革后，取消车辆编制；公务用车运行维护费2019年预算数0万元，同比无增减变化，原因为行政事业单位公务用车改革后，取消车辆编制。</w:t>
      </w:r>
    </w:p>
    <w:p>
      <w:pPr>
        <w:ind w:firstLine="640"/>
        <w:rPr>
          <w:rFonts w:ascii="仿宋_GB2312" w:eastAsia="仿宋_GB2312"/>
          <w:b/>
          <w:sz w:val="32"/>
          <w:szCs w:val="32"/>
        </w:rPr>
      </w:pPr>
      <w:r>
        <w:rPr>
          <w:rFonts w:hint="eastAsia" w:ascii="仿宋_GB2312" w:eastAsia="仿宋_GB2312"/>
          <w:b/>
          <w:sz w:val="32"/>
          <w:szCs w:val="32"/>
        </w:rPr>
        <w:t>三、其他事项说明</w:t>
      </w:r>
    </w:p>
    <w:p>
      <w:pPr>
        <w:ind w:firstLine="640"/>
        <w:rPr>
          <w:rFonts w:ascii="仿宋_GB2312" w:eastAsia="仿宋_GB2312"/>
          <w:sz w:val="32"/>
          <w:szCs w:val="32"/>
        </w:rPr>
      </w:pPr>
      <w:r>
        <w:rPr>
          <w:rFonts w:hint="eastAsia" w:ascii="仿宋_GB2312" w:eastAsia="仿宋_GB2312"/>
          <w:sz w:val="32"/>
          <w:szCs w:val="32"/>
        </w:rPr>
        <w:t>无其他事项说明</w:t>
      </w:r>
    </w:p>
    <w:p/>
    <w:p/>
    <w:p>
      <w:pPr>
        <w:sectPr>
          <w:pgSz w:w="11906" w:h="16838"/>
          <w:pgMar w:top="709" w:right="709" w:bottom="426" w:left="851" w:header="851" w:footer="992" w:gutter="0"/>
          <w:cols w:space="425" w:num="1"/>
          <w:docGrid w:type="lines" w:linePitch="312" w:charSpace="0"/>
        </w:sectPr>
      </w:pPr>
    </w:p>
    <w:tbl>
      <w:tblPr>
        <w:tblStyle w:val="7"/>
        <w:tblpPr w:leftFromText="180" w:rightFromText="180" w:horzAnchor="margin" w:tblpXSpec="center" w:tblpY="1365"/>
        <w:tblW w:w="12520" w:type="dxa"/>
        <w:tblInd w:w="0" w:type="dxa"/>
        <w:tblLayout w:type="autofit"/>
        <w:tblCellMar>
          <w:top w:w="0" w:type="dxa"/>
          <w:left w:w="108" w:type="dxa"/>
          <w:bottom w:w="0" w:type="dxa"/>
          <w:right w:w="108" w:type="dxa"/>
        </w:tblCellMar>
      </w:tblPr>
      <w:tblGrid>
        <w:gridCol w:w="1860"/>
        <w:gridCol w:w="3000"/>
        <w:gridCol w:w="2100"/>
        <w:gridCol w:w="1400"/>
        <w:gridCol w:w="2060"/>
        <w:gridCol w:w="2100"/>
      </w:tblGrid>
      <w:tr>
        <w:tblPrEx>
          <w:tblCellMar>
            <w:top w:w="0" w:type="dxa"/>
            <w:left w:w="108" w:type="dxa"/>
            <w:bottom w:w="0" w:type="dxa"/>
            <w:right w:w="108" w:type="dxa"/>
          </w:tblCellMar>
        </w:tblPrEx>
        <w:trPr>
          <w:trHeight w:val="930" w:hRule="atLeast"/>
        </w:trPr>
        <w:tc>
          <w:tcPr>
            <w:tcW w:w="1252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“三公”经费预算财政拨款情况表</w:t>
            </w:r>
          </w:p>
        </w:tc>
      </w:tr>
      <w:tr>
        <w:tblPrEx>
          <w:tblCellMar>
            <w:top w:w="0" w:type="dxa"/>
            <w:left w:w="108" w:type="dxa"/>
            <w:bottom w:w="0" w:type="dxa"/>
            <w:right w:w="108" w:type="dxa"/>
          </w:tblCellMar>
        </w:tblPrEx>
        <w:trPr>
          <w:trHeight w:val="360" w:hRule="atLeast"/>
        </w:trPr>
        <w:tc>
          <w:tcPr>
            <w:tcW w:w="8360"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2060" w:type="dxa"/>
            <w:tcBorders>
              <w:top w:val="nil"/>
              <w:left w:val="nil"/>
              <w:bottom w:val="nil"/>
              <w:right w:val="nil"/>
            </w:tcBorders>
            <w:shd w:val="clear" w:color="auto" w:fill="auto"/>
            <w:vAlign w:val="center"/>
          </w:tcPr>
          <w:p>
            <w:pPr>
              <w:widowControl/>
              <w:jc w:val="left"/>
              <w:rPr>
                <w:rFonts w:ascii="宋体" w:hAnsi="宋体" w:cs="宋体"/>
                <w:color w:val="000000"/>
                <w:kern w:val="0"/>
                <w:sz w:val="16"/>
                <w:szCs w:val="16"/>
              </w:rPr>
            </w:pPr>
          </w:p>
        </w:tc>
        <w:tc>
          <w:tcPr>
            <w:tcW w:w="2100" w:type="dxa"/>
            <w:tcBorders>
              <w:top w:val="nil"/>
              <w:left w:val="nil"/>
              <w:bottom w:val="nil"/>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单位：万元</w:t>
            </w:r>
          </w:p>
        </w:tc>
      </w:tr>
      <w:tr>
        <w:tblPrEx>
          <w:tblCellMar>
            <w:top w:w="0" w:type="dxa"/>
            <w:left w:w="108" w:type="dxa"/>
            <w:bottom w:w="0" w:type="dxa"/>
            <w:right w:w="108" w:type="dxa"/>
          </w:tblCellMar>
        </w:tblPrEx>
        <w:trPr>
          <w:trHeight w:val="360" w:hRule="atLeast"/>
        </w:trPr>
        <w:tc>
          <w:tcPr>
            <w:tcW w:w="1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“三公”经费财政拨款总额</w:t>
            </w:r>
          </w:p>
        </w:tc>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因公出国（境）费用</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公务接待费</w:t>
            </w:r>
          </w:p>
        </w:tc>
        <w:tc>
          <w:tcPr>
            <w:tcW w:w="4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公务用车购置及运行维护费</w:t>
            </w:r>
          </w:p>
        </w:tc>
      </w:tr>
      <w:tr>
        <w:tblPrEx>
          <w:tblCellMar>
            <w:top w:w="0" w:type="dxa"/>
            <w:left w:w="108" w:type="dxa"/>
            <w:bottom w:w="0" w:type="dxa"/>
            <w:right w:w="108" w:type="dxa"/>
          </w:tblCellMar>
        </w:tblPrEx>
        <w:trPr>
          <w:trHeight w:val="360" w:hRule="atLeast"/>
        </w:trPr>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公务用车购置费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公务用车运行维护费</w:t>
            </w:r>
          </w:p>
        </w:tc>
      </w:tr>
      <w:tr>
        <w:tblPrEx>
          <w:tblCellMar>
            <w:top w:w="0" w:type="dxa"/>
            <w:left w:w="108" w:type="dxa"/>
            <w:bottom w:w="0" w:type="dxa"/>
            <w:right w:w="108" w:type="dxa"/>
          </w:tblCellMar>
        </w:tblPrEx>
        <w:trPr>
          <w:trHeight w:val="49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2018</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108" w:type="dxa"/>
            <w:bottom w:w="0" w:type="dxa"/>
            <w:right w:w="108" w:type="dxa"/>
          </w:tblCellMar>
        </w:tblPrEx>
        <w:trPr>
          <w:trHeight w:val="49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2019</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bl>
    <w:p/>
    <w:p/>
    <w:p/>
    <w:p/>
    <w:p/>
    <w:p/>
    <w:p/>
    <w:p/>
    <w:p/>
    <w:p/>
    <w:p/>
    <w:p/>
    <w:p/>
    <w:p/>
    <w:p/>
    <w:p/>
    <w:p/>
    <w:p/>
    <w:p/>
    <w:p/>
    <w:p/>
    <w:p/>
    <w:p/>
    <w:p/>
    <w:p/>
    <w:p/>
    <w:p/>
    <w:p/>
    <w:p/>
    <w:p/>
    <w:p/>
    <w:p/>
    <w:p/>
    <w:tbl>
      <w:tblPr>
        <w:tblStyle w:val="7"/>
        <w:tblW w:w="15220" w:type="dxa"/>
        <w:tblInd w:w="0" w:type="dxa"/>
        <w:tblLayout w:type="autofit"/>
        <w:tblCellMar>
          <w:top w:w="0" w:type="dxa"/>
          <w:left w:w="108" w:type="dxa"/>
          <w:bottom w:w="0" w:type="dxa"/>
          <w:right w:w="108" w:type="dxa"/>
        </w:tblCellMar>
      </w:tblPr>
      <w:tblGrid>
        <w:gridCol w:w="2920"/>
        <w:gridCol w:w="940"/>
        <w:gridCol w:w="1460"/>
        <w:gridCol w:w="2320"/>
        <w:gridCol w:w="2160"/>
        <w:gridCol w:w="1680"/>
        <w:gridCol w:w="1080"/>
        <w:gridCol w:w="1220"/>
        <w:gridCol w:w="1440"/>
      </w:tblGrid>
      <w:tr>
        <w:tblPrEx>
          <w:tblCellMar>
            <w:top w:w="0" w:type="dxa"/>
            <w:left w:w="108" w:type="dxa"/>
            <w:bottom w:w="0" w:type="dxa"/>
            <w:right w:w="108" w:type="dxa"/>
          </w:tblCellMar>
        </w:tblPrEx>
        <w:trPr>
          <w:trHeight w:val="900" w:hRule="atLeast"/>
        </w:trPr>
        <w:tc>
          <w:tcPr>
            <w:tcW w:w="15220" w:type="dxa"/>
            <w:gridSpan w:val="9"/>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项目支出预算表</w:t>
            </w:r>
          </w:p>
        </w:tc>
      </w:tr>
      <w:tr>
        <w:tblPrEx>
          <w:tblCellMar>
            <w:top w:w="0" w:type="dxa"/>
            <w:left w:w="108" w:type="dxa"/>
            <w:bottom w:w="0" w:type="dxa"/>
            <w:right w:w="108" w:type="dxa"/>
          </w:tblCellMar>
        </w:tblPrEx>
        <w:trPr>
          <w:trHeight w:val="345" w:hRule="atLeast"/>
        </w:trPr>
        <w:tc>
          <w:tcPr>
            <w:tcW w:w="13780" w:type="dxa"/>
            <w:gridSpan w:val="8"/>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440" w:type="dxa"/>
            <w:tcBorders>
              <w:top w:val="nil"/>
              <w:left w:val="nil"/>
              <w:bottom w:val="single" w:color="000000" w:sz="4" w:space="0"/>
              <w:right w:val="nil"/>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trHeight w:val="1020"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经费类型</w:t>
            </w:r>
          </w:p>
        </w:tc>
        <w:tc>
          <w:tcPr>
            <w:tcW w:w="1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项目类别</w:t>
            </w:r>
          </w:p>
        </w:tc>
        <w:tc>
          <w:tcPr>
            <w:tcW w:w="2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政府购买服务类别</w:t>
            </w:r>
          </w:p>
        </w:tc>
        <w:tc>
          <w:tcPr>
            <w:tcW w:w="2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政府采购类别</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支出功能分类科目</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预算来源</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资金性质</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预算安排</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专职安全员经费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基层党组织工作和活动经费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市级一般转移支付</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餐饮业高效油烟净化设施升级改造经费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局办公楼防水维修费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丰台区2018年公维项目实施情况评估费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114E0702-其他评估服务;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182,568.04</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办公楼窗户及设施修缮更换工程款</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629,000.00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住房补贴软件系统功能开发费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00-无;</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r>
      <w:tr>
        <w:tblPrEx>
          <w:tblCellMar>
            <w:top w:w="0" w:type="dxa"/>
            <w:left w:w="108" w:type="dxa"/>
            <w:bottom w:w="0" w:type="dxa"/>
            <w:right w:w="108" w:type="dxa"/>
          </w:tblCellMar>
        </w:tblPrEx>
        <w:trPr>
          <w:trHeight w:val="73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房产实测绘成果审核工作经费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114D03-监测服务等领域适宜由社会力量承担的服务事项;</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r>
      <w:tr>
        <w:tblPrEx>
          <w:tblCellMar>
            <w:top w:w="0" w:type="dxa"/>
            <w:left w:w="108" w:type="dxa"/>
            <w:bottom w:w="0" w:type="dxa"/>
            <w:right w:w="108" w:type="dxa"/>
          </w:tblCellMar>
        </w:tblPrEx>
        <w:trPr>
          <w:trHeight w:val="85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计算机运维费及材料维护费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114E1201-办公设备维修包养服务; 114E1102-办公网络及信息化运维服务;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汛期房屋专项经费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老旧小区改造前物业及设备评估费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114E0702-其他评估服务;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房屋安全鉴定费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D03-单项或批量达到50万元以上（含50万元）的服务;</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物业服务安全管理检查评估费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114E0702-其他评估服务;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225,000.00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公共维修资金支取审核系统</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执法检查工作经费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执法办案类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房屋管理专项经费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档案整理服务费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114E1206-其他;</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CellMar>
            <w:top w:w="0" w:type="dxa"/>
            <w:left w:w="108" w:type="dxa"/>
            <w:bottom w:w="0" w:type="dxa"/>
            <w:right w:w="108" w:type="dxa"/>
          </w:tblCellMar>
        </w:tblPrEx>
        <w:trPr>
          <w:trHeight w:val="14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办公设备购置</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A020201-复印机; A02010601-打印设备; A02021101-碎纸机; A0206180203-空调机; A020202-投影仪; A06-家具用品;</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物业费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114E1202-物业服务; 114E1205-餐饮服务;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C1204-物业管理服务;</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942,847.60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C0601-会议服务;</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住房补贴软件费用</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114E1102-办公网络及信息化运维服务;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96005热线外包服务费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114C03-行业投诉处理;</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印刷费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114E1204-印刷服务;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C081401-印刷服务;</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114E0401-会议服务;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C0601-会议服务;</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r>
      <w:tr>
        <w:tblPrEx>
          <w:tblCellMar>
            <w:top w:w="0" w:type="dxa"/>
            <w:left w:w="108" w:type="dxa"/>
            <w:bottom w:w="0" w:type="dxa"/>
            <w:right w:w="108" w:type="dxa"/>
          </w:tblCellMar>
        </w:tblPrEx>
        <w:trPr>
          <w:trHeight w:val="8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住房公积金软件费用</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114E1102-办公网络及信息化运维服务;</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交易中心办公人员经费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333,350.00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办公场所公用设施消防安全维修维护费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机构运转经费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527,040.00</w:t>
            </w:r>
          </w:p>
        </w:tc>
      </w:tr>
      <w:tr>
        <w:tblPrEx>
          <w:tblCellMar>
            <w:top w:w="0" w:type="dxa"/>
            <w:left w:w="108" w:type="dxa"/>
            <w:bottom w:w="0" w:type="dxa"/>
            <w:right w:w="108" w:type="dxa"/>
          </w:tblCellMar>
        </w:tblPrEx>
        <w:trPr>
          <w:trHeight w:val="130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设备购置类费用（政府采购）</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A02010104-台式计算机; A0206180203-空调机; A02091001-普通电视设备; A02010601-打印设备; A0201060901-扫描仪; A06-家具用品;</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办公用房租金及供暖费（原南苑房管所）</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房租类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155,760.00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聘用人员经费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504,000.00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办公用房维修</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廉租房物业费、管理费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3,033,386.10</w:t>
            </w:r>
          </w:p>
        </w:tc>
      </w:tr>
      <w:tr>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C0601-会议服务;</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r>
      <w:tr>
        <w:tblPrEx>
          <w:tblCellMar>
            <w:top w:w="0" w:type="dxa"/>
            <w:left w:w="108" w:type="dxa"/>
            <w:bottom w:w="0" w:type="dxa"/>
            <w:right w:w="108" w:type="dxa"/>
          </w:tblCellMar>
        </w:tblPrEx>
        <w:trPr>
          <w:trHeight w:val="330"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2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2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合计</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bl>
    <w:p/>
    <w:p/>
    <w:p/>
    <w:p/>
    <w:p/>
    <w:p/>
    <w:p/>
    <w:p/>
    <w:p/>
    <w:p/>
    <w:p/>
    <w:p/>
    <w:p/>
    <w:tbl>
      <w:tblPr>
        <w:tblStyle w:val="7"/>
        <w:tblW w:w="13080" w:type="dxa"/>
        <w:tblInd w:w="1460" w:type="dxa"/>
        <w:tblLayout w:type="autofit"/>
        <w:tblCellMar>
          <w:top w:w="0" w:type="dxa"/>
          <w:left w:w="108" w:type="dxa"/>
          <w:bottom w:w="0" w:type="dxa"/>
          <w:right w:w="108" w:type="dxa"/>
        </w:tblCellMar>
      </w:tblPr>
      <w:tblGrid>
        <w:gridCol w:w="1420"/>
        <w:gridCol w:w="1080"/>
        <w:gridCol w:w="1140"/>
        <w:gridCol w:w="1140"/>
        <w:gridCol w:w="3460"/>
        <w:gridCol w:w="2700"/>
        <w:gridCol w:w="1520"/>
        <w:gridCol w:w="620"/>
      </w:tblGrid>
      <w:tr>
        <w:tblPrEx>
          <w:tblCellMar>
            <w:top w:w="0" w:type="dxa"/>
            <w:left w:w="108" w:type="dxa"/>
            <w:bottom w:w="0" w:type="dxa"/>
            <w:right w:w="108" w:type="dxa"/>
          </w:tblCellMar>
        </w:tblPrEx>
        <w:trPr>
          <w:trHeight w:val="765" w:hRule="atLeast"/>
        </w:trPr>
        <w:tc>
          <w:tcPr>
            <w:tcW w:w="13080"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项目绩效目标表</w:t>
            </w:r>
          </w:p>
        </w:tc>
      </w:tr>
      <w:tr>
        <w:tblPrEx>
          <w:tblCellMar>
            <w:top w:w="0" w:type="dxa"/>
            <w:left w:w="108" w:type="dxa"/>
            <w:bottom w:w="0" w:type="dxa"/>
            <w:right w:w="108" w:type="dxa"/>
          </w:tblCellMar>
        </w:tblPrEx>
        <w:trPr>
          <w:trHeight w:val="270" w:hRule="atLeast"/>
        </w:trPr>
        <w:tc>
          <w:tcPr>
            <w:tcW w:w="10940" w:type="dxa"/>
            <w:gridSpan w:val="6"/>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520" w:type="dxa"/>
            <w:tcBorders>
              <w:top w:val="nil"/>
              <w:left w:val="nil"/>
              <w:bottom w:val="single" w:color="000000"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20" w:type="dxa"/>
            <w:tcBorders>
              <w:top w:val="nil"/>
              <w:left w:val="nil"/>
              <w:bottom w:val="single" w:color="000000"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1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项目类型</w:t>
            </w:r>
          </w:p>
        </w:tc>
        <w:tc>
          <w:tcPr>
            <w:tcW w:w="11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资金投向</w:t>
            </w:r>
          </w:p>
        </w:tc>
        <w:tc>
          <w:tcPr>
            <w:tcW w:w="3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社会效益目标</w:t>
            </w: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档案整理服务费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物业服务安全管理检查评估费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225,000.00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住房公积金软件费用</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机构运转经费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527,040.00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专职安全员经费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专职安全员经费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办公设备购置</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基层党组织工作和活动经费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物业费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942,847.60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计算机运维费及材料维护费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房产实测绘成果审核工作经费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房屋安全鉴定费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汛期房屋专项经费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公共维修资金支取审核系统</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96005热线外包服务费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丰台区2018年公维项目实施情况评估费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182,568.04</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执法检查工作经费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执法办案类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住房补贴软件费用</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餐饮业高效油烟净化设施升级改造经费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蓝天保卫战</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老旧小区改造前物业及设备评估费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中心城区老旧小区整治</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住房补贴软件系统功能开发费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交易中心办公人员经费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333,350.00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局办公楼防水维修费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房屋管理专项经费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办公楼窗户及设施修缮更换工程款</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629,000.00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办公场所公用设施消防安全维修维护费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印刷费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廉租房物业费、管理费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维护低保群众利益，满足社会百姓需要</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维护低保群众利益，满足社会百姓需要</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3,033,386.10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维护社会稳定</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保障低保家庭生活需要</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设备购置类费用（政府采购）</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聘用人员经费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504,000.00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办公用房租金及供暖费（原南苑房管所）</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房租类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155,760.00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办公用房维修</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330,000.00</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p/>
    <w:p/>
    <w:p/>
    <w:p/>
    <w:p/>
    <w:p/>
    <w:p/>
    <w:p/>
    <w:p/>
    <w:p/>
    <w:p/>
    <w:p/>
    <w:p/>
    <w:p/>
    <w:p/>
    <w:p/>
    <w:p/>
    <w:p/>
    <w:p/>
    <w:p>
      <w:pPr>
        <w:sectPr>
          <w:pgSz w:w="16838" w:h="11906" w:orient="landscape"/>
          <w:pgMar w:top="851" w:right="709" w:bottom="709" w:left="426" w:header="851" w:footer="992" w:gutter="0"/>
          <w:cols w:space="425" w:num="1"/>
          <w:docGrid w:type="lines" w:linePitch="312" w:charSpace="0"/>
        </w:sectPr>
      </w:pPr>
    </w:p>
    <w:p/>
    <w:p/>
    <w:p/>
    <w:p/>
    <w:p/>
    <w:p/>
    <w:p/>
    <w:p/>
    <w:p/>
    <w:p/>
    <w:p/>
    <w:p/>
    <w:p/>
    <w:p/>
    <w:p/>
    <w:p/>
    <w:p/>
    <w:p/>
    <w:p/>
    <w:p/>
    <w:p/>
    <w:p/>
    <w:p/>
    <w:p/>
    <w:p>
      <w:pPr>
        <w:jc w:val="right"/>
        <w:rPr>
          <w:rFonts w:ascii="仿宋_GB2312" w:eastAsia="仿宋_GB2312"/>
          <w:sz w:val="30"/>
          <w:szCs w:val="30"/>
        </w:rPr>
      </w:pPr>
    </w:p>
    <w:sectPr>
      <w:headerReference r:id="rId3" w:type="default"/>
      <w:footerReference r:id="rId4" w:type="default"/>
      <w:footerReference r:id="rId5" w:type="even"/>
      <w:pgSz w:w="11906" w:h="16838"/>
      <w:pgMar w:top="1440" w:right="1800" w:bottom="1440" w:left="1800" w:header="851" w:footer="102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B404"/>
    <w:multiLevelType w:val="singleLevel"/>
    <w:tmpl w:val="B8B5B404"/>
    <w:lvl w:ilvl="0" w:tentative="0">
      <w:start w:val="7"/>
      <w:numFmt w:val="chineseCounting"/>
      <w:suff w:val="nothing"/>
      <w:lvlText w:val="%1、"/>
      <w:lvlJc w:val="left"/>
      <w:rPr>
        <w:rFonts w:hint="eastAsia"/>
      </w:rPr>
    </w:lvl>
  </w:abstractNum>
  <w:abstractNum w:abstractNumId="1">
    <w:nsid w:val="5FB57B88"/>
    <w:multiLevelType w:val="singleLevel"/>
    <w:tmpl w:val="5FB57B88"/>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a8afee99-41ea-4dce-98c9-5d587e07d846"/>
  </w:docVars>
  <w:rsids>
    <w:rsidRoot w:val="00273182"/>
    <w:rsid w:val="00016FA0"/>
    <w:rsid w:val="000B4C7C"/>
    <w:rsid w:val="000C58BF"/>
    <w:rsid w:val="000E47F4"/>
    <w:rsid w:val="001326E7"/>
    <w:rsid w:val="001675F1"/>
    <w:rsid w:val="00220515"/>
    <w:rsid w:val="00273182"/>
    <w:rsid w:val="00354EA8"/>
    <w:rsid w:val="004B7D6B"/>
    <w:rsid w:val="00543B4F"/>
    <w:rsid w:val="00583B81"/>
    <w:rsid w:val="00650AC9"/>
    <w:rsid w:val="007F3526"/>
    <w:rsid w:val="00936EAC"/>
    <w:rsid w:val="00B37A83"/>
    <w:rsid w:val="00BC4635"/>
    <w:rsid w:val="00E831FD"/>
    <w:rsid w:val="00F33615"/>
    <w:rsid w:val="01612B08"/>
    <w:rsid w:val="04DE2CD2"/>
    <w:rsid w:val="05414B68"/>
    <w:rsid w:val="08A914C7"/>
    <w:rsid w:val="09C02776"/>
    <w:rsid w:val="0C610691"/>
    <w:rsid w:val="0E406967"/>
    <w:rsid w:val="0E8D0EE2"/>
    <w:rsid w:val="0FA62D90"/>
    <w:rsid w:val="10962A60"/>
    <w:rsid w:val="1166020D"/>
    <w:rsid w:val="13613EEB"/>
    <w:rsid w:val="137316B2"/>
    <w:rsid w:val="143C4568"/>
    <w:rsid w:val="180C0609"/>
    <w:rsid w:val="1AFC49F0"/>
    <w:rsid w:val="1B9128BA"/>
    <w:rsid w:val="1C76164E"/>
    <w:rsid w:val="1CD8185E"/>
    <w:rsid w:val="22621106"/>
    <w:rsid w:val="248305D4"/>
    <w:rsid w:val="26A43448"/>
    <w:rsid w:val="26F270B3"/>
    <w:rsid w:val="28E649FC"/>
    <w:rsid w:val="2B144D7D"/>
    <w:rsid w:val="2B476675"/>
    <w:rsid w:val="2BB26EE5"/>
    <w:rsid w:val="2C63529A"/>
    <w:rsid w:val="2DF348E3"/>
    <w:rsid w:val="2F0F1DB6"/>
    <w:rsid w:val="2F6714E9"/>
    <w:rsid w:val="2FD961F7"/>
    <w:rsid w:val="306830B8"/>
    <w:rsid w:val="30B817A4"/>
    <w:rsid w:val="31610F86"/>
    <w:rsid w:val="32742A48"/>
    <w:rsid w:val="33304016"/>
    <w:rsid w:val="347728FA"/>
    <w:rsid w:val="348C03AD"/>
    <w:rsid w:val="37C9489B"/>
    <w:rsid w:val="38540DB0"/>
    <w:rsid w:val="388B1256"/>
    <w:rsid w:val="3A0973FE"/>
    <w:rsid w:val="3ABF654B"/>
    <w:rsid w:val="3AED29D4"/>
    <w:rsid w:val="3B013D66"/>
    <w:rsid w:val="3DF76F4C"/>
    <w:rsid w:val="3F4A62D6"/>
    <w:rsid w:val="3FA772F9"/>
    <w:rsid w:val="3FAD631D"/>
    <w:rsid w:val="3FE57883"/>
    <w:rsid w:val="406C187D"/>
    <w:rsid w:val="433C20D6"/>
    <w:rsid w:val="43DC2CAA"/>
    <w:rsid w:val="44644117"/>
    <w:rsid w:val="44942348"/>
    <w:rsid w:val="452D25E8"/>
    <w:rsid w:val="48DD0B6F"/>
    <w:rsid w:val="497C07E0"/>
    <w:rsid w:val="49846D30"/>
    <w:rsid w:val="498F6FC5"/>
    <w:rsid w:val="499D3B72"/>
    <w:rsid w:val="49F048E9"/>
    <w:rsid w:val="4B382E76"/>
    <w:rsid w:val="4CDE621B"/>
    <w:rsid w:val="4F116652"/>
    <w:rsid w:val="54512EDC"/>
    <w:rsid w:val="55475947"/>
    <w:rsid w:val="57F66714"/>
    <w:rsid w:val="58165836"/>
    <w:rsid w:val="5B4D4908"/>
    <w:rsid w:val="5C493599"/>
    <w:rsid w:val="5C9A5920"/>
    <w:rsid w:val="6338124D"/>
    <w:rsid w:val="6358668E"/>
    <w:rsid w:val="640E35F3"/>
    <w:rsid w:val="657F1EC1"/>
    <w:rsid w:val="6798075B"/>
    <w:rsid w:val="67B70625"/>
    <w:rsid w:val="683342BF"/>
    <w:rsid w:val="68934D02"/>
    <w:rsid w:val="69E6750B"/>
    <w:rsid w:val="6AB50454"/>
    <w:rsid w:val="6AC97886"/>
    <w:rsid w:val="6CA75BF0"/>
    <w:rsid w:val="704D7048"/>
    <w:rsid w:val="70703799"/>
    <w:rsid w:val="71EE1DEA"/>
    <w:rsid w:val="74655E7D"/>
    <w:rsid w:val="758435E3"/>
    <w:rsid w:val="758E6F26"/>
    <w:rsid w:val="763401E0"/>
    <w:rsid w:val="76C3564E"/>
    <w:rsid w:val="772F7104"/>
    <w:rsid w:val="781C35E5"/>
    <w:rsid w:val="78497775"/>
    <w:rsid w:val="787A19B1"/>
    <w:rsid w:val="79AA275B"/>
    <w:rsid w:val="79DD4BF0"/>
    <w:rsid w:val="7A5A6B31"/>
    <w:rsid w:val="7F677582"/>
    <w:rsid w:val="7FBD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10133</Words>
  <Characters>17070</Characters>
  <Lines>146</Lines>
  <Paragraphs>41</Paragraphs>
  <TotalTime>0</TotalTime>
  <ScaleCrop>false</ScaleCrop>
  <LinksUpToDate>false</LinksUpToDate>
  <CharactersWithSpaces>17369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2019-01-28T17:38:00Z</dcterms:created>
  <dc:creator>北京市丰台区房屋管理局</dc:creator>
  <cp:lastModifiedBy>血月舞殇</cp:lastModifiedBy>
  <dcterms:modified xsi:type="dcterms:W3CDTF">2025-03-21T08:02:09Z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26BA0CFB78FE4559915637F53FEDF115</vt:lpwstr>
  </property>
</Properties>
</file>