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line="600" w:lineRule="exact"/>
        <w:ind w:firstLine="1405" w:firstLineChars="500"/>
        <w:jc w:val="left"/>
        <w:textAlignment w:val="auto"/>
        <w:rPr>
          <w:rFonts w:hint="eastAsia" w:ascii="黑体" w:hAnsi="宋体" w:eastAsia="黑体" w:cs="宋体"/>
          <w:b/>
          <w:color w:val="000000"/>
          <w:spacing w:val="15"/>
          <w:kern w:val="0"/>
          <w:sz w:val="32"/>
          <w:szCs w:val="32"/>
        </w:rPr>
      </w:pPr>
      <w:r>
        <w:rPr>
          <w:rFonts w:hint="eastAsia" w:ascii="宋体" w:hAnsi="宋体" w:cs="宋体"/>
          <w:b/>
          <w:bCs/>
          <w:color w:val="404040"/>
          <w:sz w:val="28"/>
          <w:szCs w:val="28"/>
          <w:shd w:val="clear" w:color="auto" w:fill="FFFFFF"/>
        </w:rPr>
        <w:t>第一部分  2019年部门预算编制说明</w:t>
      </w:r>
      <w:r>
        <w:rPr>
          <w:rFonts w:hint="eastAsia" w:ascii="宋体" w:hAnsi="宋体" w:cs="宋体"/>
          <w:b/>
          <w:bCs/>
          <w:color w:val="404040"/>
          <w:sz w:val="28"/>
          <w:szCs w:val="28"/>
        </w:rPr>
        <w:br w:type="textWrapping"/>
      </w:r>
      <w:r>
        <w:rPr>
          <w:rFonts w:ascii="宋体" w:hAnsi="宋体" w:cs="宋体"/>
          <w:b/>
          <w:color w:val="000000"/>
          <w:spacing w:val="15"/>
          <w:kern w:val="0"/>
          <w:sz w:val="24"/>
        </w:rPr>
        <w:t xml:space="preserve"> </w:t>
      </w:r>
      <w:r>
        <w:rPr>
          <w:rFonts w:hint="eastAsia" w:ascii="黑体" w:hAnsi="宋体" w:eastAsia="黑体" w:cs="宋体"/>
          <w:b/>
          <w:color w:val="000000"/>
          <w:spacing w:val="15"/>
          <w:kern w:val="0"/>
          <w:sz w:val="32"/>
          <w:szCs w:val="32"/>
        </w:rPr>
        <w:t>一、部门基本情况</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lang w:eastAsia="zh-CN"/>
        </w:rPr>
      </w:pPr>
      <w:r>
        <w:rPr>
          <w:rFonts w:hint="eastAsia" w:ascii="仿宋_GB2312" w:hAnsi="宋体" w:eastAsia="仿宋_GB2312" w:cs="宋体"/>
          <w:color w:val="000000"/>
          <w:spacing w:val="15"/>
          <w:kern w:val="0"/>
          <w:sz w:val="32"/>
          <w:szCs w:val="32"/>
        </w:rPr>
        <w:t>丰台城管执法</w:t>
      </w:r>
      <w:r>
        <w:rPr>
          <w:rFonts w:hint="eastAsia" w:ascii="仿宋_GB2312" w:hAnsi="宋体" w:eastAsia="仿宋_GB2312" w:cs="宋体"/>
          <w:color w:val="000000"/>
          <w:spacing w:val="15"/>
          <w:kern w:val="0"/>
          <w:sz w:val="32"/>
          <w:szCs w:val="32"/>
          <w:lang w:eastAsia="zh-CN"/>
        </w:rPr>
        <w:t>监察</w:t>
      </w:r>
      <w:r>
        <w:rPr>
          <w:rFonts w:hint="eastAsia" w:ascii="仿宋_GB2312" w:hAnsi="宋体" w:eastAsia="仿宋_GB2312" w:cs="宋体"/>
          <w:color w:val="000000"/>
          <w:spacing w:val="15"/>
          <w:kern w:val="0"/>
          <w:sz w:val="32"/>
          <w:szCs w:val="32"/>
        </w:rPr>
        <w:t>局部门职能主要为</w:t>
      </w:r>
      <w:r>
        <w:rPr>
          <w:rFonts w:hint="eastAsia" w:ascii="仿宋_GB2312" w:hAnsi="宋体" w:eastAsia="仿宋_GB2312" w:cs="宋体"/>
          <w:color w:val="000000"/>
          <w:spacing w:val="15"/>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贯彻落实国家、北京市有关城市管理方面的法律、法规、规章和政策。</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依据国家及北京市有关城市管理方面的法律、法规及规章，参与研究提出完善本区城市管理综合行政执法体制的意见和措施。</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3</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负责依法行使市容环境卫生管理、市政管理、公用事业管理方面的行政处罚权。</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4</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负责依法行使园林绿化管理、环境保护管理、施工现场管理、城市停车管理、交通运输管理方面的有关行政处罚权。</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5</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负责依法行使工商行政管理方面对流动无照经营行为的行政处罚权。</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6</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负责依法行使城市规划管理方面对违法建设的有关行政处罚权。</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7</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负责依法行使旅游管理方面对无导游证从事导游活动行为的行政处罚权。</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8</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负责依法行使市人民政府决定由城管执法机关集中行使的其他行政处罚权。</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9</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负责本区城管执法监察工作的业务指导、统筹协调和指挥调度。</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10</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负责对本区城管执法队伍实行统一管理，并对城管执法队伍进行监督和考核。</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11</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负责本区城管执法监察系统的组织建设、作风建设、队伍建设及党风廉政建设工作。</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12</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承办区政府交办的其他事项。</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lang w:eastAsia="zh-CN"/>
        </w:rPr>
      </w:pPr>
      <w:r>
        <w:rPr>
          <w:rFonts w:hint="eastAsia" w:ascii="仿宋_GB2312" w:hAnsi="宋体" w:eastAsia="仿宋_GB2312" w:cs="宋体"/>
          <w:color w:val="000000"/>
          <w:spacing w:val="15"/>
          <w:kern w:val="0"/>
          <w:sz w:val="32"/>
          <w:szCs w:val="32"/>
          <w:lang w:eastAsia="zh-CN"/>
        </w:rPr>
        <w:t>共包含</w:t>
      </w:r>
      <w:r>
        <w:rPr>
          <w:rFonts w:hint="eastAsia" w:ascii="仿宋_GB2312" w:hAnsi="宋体" w:eastAsia="仿宋_GB2312" w:cs="宋体"/>
          <w:color w:val="000000"/>
          <w:spacing w:val="15"/>
          <w:kern w:val="0"/>
          <w:sz w:val="32"/>
          <w:szCs w:val="32"/>
          <w:lang w:val="en-US" w:eastAsia="zh-CN"/>
        </w:rPr>
        <w:t>13</w:t>
      </w:r>
      <w:r>
        <w:rPr>
          <w:rFonts w:hint="eastAsia" w:ascii="仿宋_GB2312" w:hAnsi="宋体" w:eastAsia="仿宋_GB2312" w:cs="宋体"/>
          <w:color w:val="000000"/>
          <w:spacing w:val="15"/>
          <w:kern w:val="0"/>
          <w:sz w:val="32"/>
          <w:szCs w:val="32"/>
          <w:lang w:eastAsia="zh-CN"/>
        </w:rPr>
        <w:t>个科室，包括：办公室、法制科、执法业务科、装备财务科、宣教科、政工科、治违办公室、科技信息中心、指挥中心、督察队、机关党委、工会、直属执法队。</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截至2018年底，共有行政编制152人，实际127人；事业编制0人；离退休人员81人</w:t>
      </w:r>
      <w:r>
        <w:rPr>
          <w:rFonts w:hint="eastAsia" w:ascii="仿宋_GB2312" w:hAnsi="宋体" w:eastAsia="仿宋_GB2312" w:cs="宋体"/>
          <w:color w:val="000000"/>
          <w:spacing w:val="15"/>
          <w:kern w:val="0"/>
          <w:sz w:val="32"/>
          <w:szCs w:val="32"/>
          <w:lang w:eastAsia="zh-CN"/>
        </w:rPr>
        <w:t>，离休人员</w:t>
      </w:r>
      <w:r>
        <w:rPr>
          <w:rFonts w:hint="eastAsia" w:ascii="仿宋_GB2312" w:hAnsi="宋体" w:eastAsia="仿宋_GB2312" w:cs="宋体"/>
          <w:color w:val="000000"/>
          <w:spacing w:val="15"/>
          <w:kern w:val="0"/>
          <w:sz w:val="32"/>
          <w:szCs w:val="32"/>
          <w:lang w:val="en-US" w:eastAsia="zh-CN"/>
        </w:rPr>
        <w:t>0人，退休人员81人</w:t>
      </w:r>
      <w:r>
        <w:rPr>
          <w:rFonts w:hint="eastAsia" w:ascii="仿宋_GB2312" w:hAnsi="宋体" w:eastAsia="仿宋_GB2312" w:cs="宋体"/>
          <w:color w:val="000000"/>
          <w:spacing w:val="15"/>
          <w:kern w:val="0"/>
          <w:sz w:val="32"/>
          <w:szCs w:val="32"/>
        </w:rPr>
        <w:t>。</w:t>
      </w:r>
    </w:p>
    <w:p>
      <w:pPr>
        <w:keepNext w:val="0"/>
        <w:keepLines w:val="0"/>
        <w:pageBreakBefore w:val="0"/>
        <w:widowControl/>
        <w:kinsoku/>
        <w:wordWrap/>
        <w:overflowPunct/>
        <w:topLinePunct w:val="0"/>
        <w:autoSpaceDE/>
        <w:autoSpaceDN/>
        <w:bidi w:val="0"/>
        <w:adjustRightInd w:val="0"/>
        <w:snapToGrid/>
        <w:spacing w:line="600" w:lineRule="exact"/>
        <w:ind w:firstLine="702" w:firstLineChars="200"/>
        <w:jc w:val="left"/>
        <w:textAlignment w:val="auto"/>
        <w:rPr>
          <w:rFonts w:hint="eastAsia" w:ascii="仿宋_GB2312" w:hAnsi="宋体" w:eastAsia="仿宋_GB2312" w:cs="宋体"/>
          <w:b/>
          <w:color w:val="000000"/>
          <w:spacing w:val="15"/>
          <w:kern w:val="0"/>
          <w:sz w:val="32"/>
          <w:szCs w:val="32"/>
        </w:rPr>
      </w:pPr>
      <w:r>
        <w:rPr>
          <w:rFonts w:hint="eastAsia" w:ascii="黑体" w:hAnsi="宋体" w:eastAsia="黑体" w:cs="宋体"/>
          <w:b/>
          <w:color w:val="000000"/>
          <w:spacing w:val="15"/>
          <w:kern w:val="0"/>
          <w:sz w:val="32"/>
          <w:szCs w:val="32"/>
        </w:rPr>
        <w:t>二、20</w:t>
      </w:r>
      <w:r>
        <w:rPr>
          <w:rFonts w:hint="eastAsia" w:ascii="黑体" w:hAnsi="宋体" w:eastAsia="黑体" w:cs="宋体"/>
          <w:b/>
          <w:color w:val="000000"/>
          <w:spacing w:val="15"/>
          <w:kern w:val="0"/>
          <w:sz w:val="32"/>
          <w:szCs w:val="32"/>
          <w:lang w:val="en-US" w:eastAsia="zh-CN"/>
        </w:rPr>
        <w:t>19</w:t>
      </w:r>
      <w:r>
        <w:rPr>
          <w:rFonts w:hint="eastAsia" w:ascii="黑体" w:hAnsi="宋体" w:eastAsia="黑体" w:cs="宋体"/>
          <w:b/>
          <w:color w:val="000000"/>
          <w:spacing w:val="15"/>
          <w:kern w:val="0"/>
          <w:sz w:val="32"/>
          <w:szCs w:val="32"/>
        </w:rPr>
        <w:t>年收入及支出总体情况</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lang w:eastAsia="zh-CN"/>
        </w:rPr>
      </w:pPr>
      <w:r>
        <w:rPr>
          <w:rFonts w:hint="eastAsia" w:ascii="仿宋_GB2312" w:hAnsi="宋体" w:eastAsia="仿宋_GB2312" w:cs="宋体"/>
          <w:color w:val="000000"/>
          <w:spacing w:val="15"/>
          <w:kern w:val="0"/>
          <w:sz w:val="32"/>
          <w:szCs w:val="32"/>
          <w:lang w:val="en-US" w:eastAsia="zh-CN"/>
        </w:rPr>
        <w:t>2</w:t>
      </w:r>
      <w:r>
        <w:rPr>
          <w:rFonts w:hint="eastAsia" w:ascii="仿宋_GB2312" w:hAnsi="宋体" w:eastAsia="仿宋_GB2312" w:cs="宋体"/>
          <w:color w:val="000000"/>
          <w:spacing w:val="15"/>
          <w:kern w:val="0"/>
          <w:sz w:val="32"/>
          <w:szCs w:val="32"/>
          <w:lang w:eastAsia="zh-CN"/>
        </w:rPr>
        <w:t>019年部门收入预算13251.90万元，同比2018年27028.86万元,减少13776.96万元，减少</w:t>
      </w:r>
      <w:r>
        <w:rPr>
          <w:rFonts w:hint="eastAsia" w:ascii="仿宋_GB2312" w:hAnsi="宋体" w:eastAsia="仿宋_GB2312" w:cs="宋体"/>
          <w:color w:val="000000"/>
          <w:spacing w:val="15"/>
          <w:kern w:val="0"/>
          <w:sz w:val="32"/>
          <w:szCs w:val="32"/>
          <w:lang w:val="en-US" w:eastAsia="zh-CN"/>
        </w:rPr>
        <w:t>50.97</w:t>
      </w:r>
      <w:r>
        <w:rPr>
          <w:rFonts w:hint="eastAsia" w:ascii="仿宋_GB2312" w:hAnsi="宋体" w:eastAsia="仿宋_GB2312" w:cs="宋体"/>
          <w:color w:val="000000"/>
          <w:spacing w:val="15"/>
          <w:kern w:val="0"/>
          <w:sz w:val="32"/>
          <w:szCs w:val="32"/>
          <w:lang w:eastAsia="zh-CN"/>
        </w:rPr>
        <w:t>%，原因：执法重心下沉，人员经费由各街乡负担。其中：财政拨款13251.90万元，上级补助收入0万元，事业收入0万元，经营收入0万元，附属单位缴款0万元，其他收入0万元，用事业基金弥补收支差额0万元，上年结转和结余6.66万元。</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ascii="仿宋_GB2312" w:hAnsi="宋体" w:eastAsia="仿宋_GB2312" w:cs="宋体"/>
          <w:b/>
          <w:color w:val="000000"/>
          <w:spacing w:val="15"/>
          <w:kern w:val="0"/>
          <w:sz w:val="32"/>
          <w:szCs w:val="32"/>
        </w:rPr>
      </w:pPr>
      <w:r>
        <w:rPr>
          <w:rFonts w:hint="eastAsia" w:ascii="仿宋_GB2312" w:hAnsi="宋体" w:eastAsia="仿宋_GB2312" w:cs="宋体"/>
          <w:color w:val="000000"/>
          <w:spacing w:val="15"/>
          <w:kern w:val="0"/>
          <w:sz w:val="32"/>
          <w:szCs w:val="32"/>
          <w:lang w:eastAsia="zh-CN"/>
        </w:rPr>
        <w:t>2019年部门支出预算13251.90万元，同比2018年27028.86万元,减少13776.96万元，减少</w:t>
      </w:r>
      <w:r>
        <w:rPr>
          <w:rFonts w:hint="eastAsia" w:ascii="仿宋_GB2312" w:hAnsi="宋体" w:eastAsia="仿宋_GB2312" w:cs="宋体"/>
          <w:color w:val="000000"/>
          <w:spacing w:val="15"/>
          <w:kern w:val="0"/>
          <w:sz w:val="32"/>
          <w:szCs w:val="32"/>
          <w:lang w:val="en-US" w:eastAsia="zh-CN"/>
        </w:rPr>
        <w:t>50.97</w:t>
      </w:r>
      <w:r>
        <w:rPr>
          <w:rFonts w:hint="eastAsia" w:ascii="仿宋_GB2312" w:hAnsi="宋体" w:eastAsia="仿宋_GB2312" w:cs="宋体"/>
          <w:color w:val="000000"/>
          <w:spacing w:val="15"/>
          <w:kern w:val="0"/>
          <w:sz w:val="32"/>
          <w:szCs w:val="32"/>
          <w:lang w:eastAsia="zh-CN"/>
        </w:rPr>
        <w:t>%，原因：执法重心下沉，人员经费由各街乡负担。其中基本支出预算4444.04万元，项目支出预8807.86</w:t>
      </w:r>
      <w:r>
        <w:rPr>
          <w:rFonts w:hint="eastAsia" w:ascii="仿宋_GB2312" w:hAnsi="宋体" w:eastAsia="仿宋_GB2312" w:cs="宋体"/>
          <w:color w:val="000000"/>
          <w:spacing w:val="15"/>
          <w:kern w:val="0"/>
          <w:sz w:val="32"/>
          <w:szCs w:val="32"/>
        </w:rPr>
        <w:t>万元。按支出功能分类，一般公共服务支出3.75万元,教育支出156.5万元，社会保障和就业支出443.25万元，城乡社区支出11992.60万元,灾害防治及应急管理支出63.66万元,住房保障支出592.13万元。</w:t>
      </w:r>
      <w:r>
        <w:rPr>
          <w:rFonts w:ascii="宋体" w:hAnsi="宋体" w:cs="宋体"/>
          <w:b/>
          <w:color w:val="000000"/>
          <w:spacing w:val="15"/>
          <w:kern w:val="0"/>
          <w:sz w:val="32"/>
          <w:szCs w:val="32"/>
        </w:rPr>
        <w:t xml:space="preserve">  </w:t>
      </w:r>
      <w:r>
        <w:rPr>
          <w:rFonts w:hint="eastAsia" w:ascii="仿宋_GB2312" w:hAnsi="宋体" w:eastAsia="仿宋_GB2312" w:cs="宋体"/>
          <w:b/>
          <w:color w:val="000000"/>
          <w:spacing w:val="15"/>
          <w:kern w:val="0"/>
          <w:sz w:val="32"/>
          <w:szCs w:val="32"/>
        </w:rPr>
        <w:t xml:space="preserve">  </w:t>
      </w:r>
    </w:p>
    <w:p>
      <w:pPr>
        <w:keepNext w:val="0"/>
        <w:keepLines w:val="0"/>
        <w:pageBreakBefore w:val="0"/>
        <w:widowControl/>
        <w:kinsoku/>
        <w:wordWrap/>
        <w:overflowPunct/>
        <w:topLinePunct w:val="0"/>
        <w:autoSpaceDE/>
        <w:autoSpaceDN/>
        <w:bidi w:val="0"/>
        <w:adjustRightInd w:val="0"/>
        <w:snapToGrid/>
        <w:spacing w:line="600" w:lineRule="exact"/>
        <w:ind w:firstLine="702" w:firstLineChars="200"/>
        <w:jc w:val="left"/>
        <w:textAlignment w:val="auto"/>
        <w:rPr>
          <w:rFonts w:hint="eastAsia"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rPr>
        <w:t>三、主要支出内容</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上述支出中，主要用于以下内容：</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1、行政机关人员工资及日常运转经费；</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2、行政机关</w:t>
      </w:r>
      <w:r>
        <w:rPr>
          <w:rFonts w:hint="eastAsia" w:ascii="仿宋_GB2312" w:hAnsi="宋体" w:eastAsia="仿宋_GB2312" w:cs="宋体"/>
          <w:color w:val="000000"/>
          <w:spacing w:val="15"/>
          <w:kern w:val="0"/>
          <w:sz w:val="32"/>
          <w:szCs w:val="32"/>
          <w:lang w:val="en-US" w:eastAsia="zh-CN"/>
        </w:rPr>
        <w:t>教育支出</w:t>
      </w:r>
      <w:r>
        <w:rPr>
          <w:rFonts w:hint="eastAsia" w:ascii="仿宋_GB2312" w:hAnsi="宋体" w:eastAsia="仿宋_GB2312" w:cs="宋体"/>
          <w:color w:val="000000"/>
          <w:spacing w:val="15"/>
          <w:kern w:val="0"/>
          <w:sz w:val="32"/>
          <w:szCs w:val="32"/>
        </w:rPr>
        <w:t>；</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3、行政机关</w:t>
      </w:r>
      <w:r>
        <w:rPr>
          <w:rFonts w:hint="eastAsia" w:ascii="仿宋_GB2312" w:hAnsi="宋体" w:eastAsia="仿宋_GB2312" w:cs="宋体"/>
          <w:color w:val="000000"/>
          <w:spacing w:val="15"/>
          <w:kern w:val="0"/>
          <w:sz w:val="32"/>
          <w:szCs w:val="32"/>
          <w:lang w:val="en-US" w:eastAsia="zh-CN"/>
        </w:rPr>
        <w:t>社会保障和就业支出</w:t>
      </w:r>
      <w:r>
        <w:rPr>
          <w:rFonts w:hint="eastAsia" w:ascii="仿宋_GB2312" w:hAnsi="宋体" w:eastAsia="仿宋_GB2312" w:cs="宋体"/>
          <w:color w:val="000000"/>
          <w:spacing w:val="15"/>
          <w:kern w:val="0"/>
          <w:sz w:val="32"/>
          <w:szCs w:val="32"/>
        </w:rPr>
        <w:t>；</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4、行政机关</w:t>
      </w:r>
      <w:r>
        <w:rPr>
          <w:rFonts w:hint="eastAsia" w:ascii="仿宋_GB2312" w:hAnsi="宋体" w:eastAsia="仿宋_GB2312" w:cs="宋体"/>
          <w:color w:val="000000"/>
          <w:spacing w:val="15"/>
          <w:kern w:val="0"/>
          <w:sz w:val="32"/>
          <w:szCs w:val="32"/>
          <w:lang w:val="en-US" w:eastAsia="zh-CN"/>
        </w:rPr>
        <w:t>城乡社区支出</w:t>
      </w:r>
      <w:r>
        <w:rPr>
          <w:rFonts w:hint="eastAsia" w:ascii="仿宋_GB2312" w:hAnsi="宋体" w:eastAsia="仿宋_GB2312" w:cs="宋体"/>
          <w:color w:val="000000"/>
          <w:spacing w:val="15"/>
          <w:kern w:val="0"/>
          <w:sz w:val="32"/>
          <w:szCs w:val="32"/>
        </w:rPr>
        <w:t>；</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5、行政机关</w:t>
      </w:r>
      <w:r>
        <w:rPr>
          <w:rFonts w:hint="eastAsia" w:ascii="仿宋_GB2312" w:hAnsi="宋体" w:eastAsia="仿宋_GB2312" w:cs="宋体"/>
          <w:color w:val="000000"/>
          <w:spacing w:val="15"/>
          <w:kern w:val="0"/>
          <w:sz w:val="32"/>
          <w:szCs w:val="32"/>
          <w:lang w:val="en-US" w:eastAsia="zh-CN"/>
        </w:rPr>
        <w:t>住房保障支出</w:t>
      </w:r>
      <w:r>
        <w:rPr>
          <w:rFonts w:hint="eastAsia" w:ascii="仿宋_GB2312" w:hAnsi="宋体" w:eastAsia="仿宋_GB2312" w:cs="宋体"/>
          <w:color w:val="000000"/>
          <w:spacing w:val="15"/>
          <w:kern w:val="0"/>
          <w:sz w:val="32"/>
          <w:szCs w:val="32"/>
        </w:rPr>
        <w:t>；</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6、行政机关</w:t>
      </w:r>
      <w:r>
        <w:rPr>
          <w:rFonts w:hint="eastAsia" w:ascii="仿宋_GB2312" w:hAnsi="宋体" w:eastAsia="仿宋_GB2312" w:cs="宋体"/>
          <w:color w:val="000000"/>
          <w:spacing w:val="15"/>
          <w:kern w:val="0"/>
          <w:sz w:val="32"/>
          <w:szCs w:val="32"/>
          <w:lang w:val="en-US" w:eastAsia="zh-CN"/>
        </w:rPr>
        <w:t>灾害防治及应急管理支出</w:t>
      </w:r>
      <w:r>
        <w:rPr>
          <w:rFonts w:hint="eastAsia" w:ascii="仿宋_GB2312" w:hAnsi="宋体" w:eastAsia="仿宋_GB2312" w:cs="宋体"/>
          <w:color w:val="000000"/>
          <w:spacing w:val="15"/>
          <w:kern w:val="0"/>
          <w:sz w:val="32"/>
          <w:szCs w:val="32"/>
        </w:rPr>
        <w:t>；</w:t>
      </w:r>
    </w:p>
    <w:p>
      <w:pPr>
        <w:keepNext w:val="0"/>
        <w:keepLines w:val="0"/>
        <w:pageBreakBefore w:val="0"/>
        <w:widowControl/>
        <w:kinsoku/>
        <w:wordWrap/>
        <w:overflowPunct/>
        <w:topLinePunct w:val="0"/>
        <w:autoSpaceDE/>
        <w:autoSpaceDN/>
        <w:bidi w:val="0"/>
        <w:adjustRightInd w:val="0"/>
        <w:snapToGrid/>
        <w:spacing w:line="600" w:lineRule="exact"/>
        <w:ind w:firstLine="702" w:firstLineChars="200"/>
        <w:jc w:val="left"/>
        <w:textAlignment w:val="auto"/>
        <w:rPr>
          <w:rFonts w:hint="eastAsia"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rPr>
        <w:t>四、政府采购情况说明</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2019年政府采购预算总额为1224.4万元，其中：政府采购货物预算630.48 万元，政府采购工程预算0万元，政府采购服务预算593.92万元。</w:t>
      </w:r>
    </w:p>
    <w:p>
      <w:pPr>
        <w:keepNext w:val="0"/>
        <w:keepLines w:val="0"/>
        <w:pageBreakBefore w:val="0"/>
        <w:widowControl/>
        <w:kinsoku/>
        <w:wordWrap/>
        <w:overflowPunct/>
        <w:topLinePunct w:val="0"/>
        <w:autoSpaceDE/>
        <w:autoSpaceDN/>
        <w:bidi w:val="0"/>
        <w:adjustRightInd w:val="0"/>
        <w:snapToGrid/>
        <w:spacing w:line="600" w:lineRule="exact"/>
        <w:ind w:firstLine="702" w:firstLineChars="200"/>
        <w:jc w:val="left"/>
        <w:textAlignment w:val="auto"/>
        <w:rPr>
          <w:rFonts w:hint="eastAsia"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rPr>
        <w:t>五、机关运行经费财政拨款预算安排说明</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w:t>
      </w:r>
      <w:r>
        <w:rPr>
          <w:rFonts w:hint="eastAsia" w:ascii="仿宋_GB2312" w:hAnsi="宋体" w:eastAsia="仿宋_GB2312" w:cs="宋体"/>
          <w:color w:val="000000"/>
          <w:spacing w:val="15"/>
          <w:kern w:val="0"/>
          <w:sz w:val="32"/>
          <w:szCs w:val="32"/>
          <w:lang w:val="en-US" w:eastAsia="zh-CN"/>
        </w:rPr>
        <w:t>19</w:t>
      </w:r>
      <w:r>
        <w:rPr>
          <w:rFonts w:hint="eastAsia" w:ascii="仿宋_GB2312" w:hAnsi="宋体" w:eastAsia="仿宋_GB2312" w:cs="宋体"/>
          <w:color w:val="000000"/>
          <w:spacing w:val="15"/>
          <w:kern w:val="0"/>
          <w:sz w:val="32"/>
          <w:szCs w:val="32"/>
        </w:rPr>
        <w:t>年本部门行政单位（含参照公务员法管理事业单位）履行一般行政管理职能、维持机关运行，用财政拨款安排的基本支出中的日常公用经费合计440.37万元，主要用于：办公费、印刷费、水电费、邮电费、差旅费、会议费、培训费、公务接待费、工会经费、福利费、其他交通费、维修（护）费等。</w:t>
      </w:r>
    </w:p>
    <w:p>
      <w:pPr>
        <w:keepNext w:val="0"/>
        <w:keepLines w:val="0"/>
        <w:pageBreakBefore w:val="0"/>
        <w:widowControl/>
        <w:kinsoku/>
        <w:wordWrap/>
        <w:overflowPunct/>
        <w:topLinePunct w:val="0"/>
        <w:autoSpaceDE/>
        <w:autoSpaceDN/>
        <w:bidi w:val="0"/>
        <w:adjustRightInd w:val="0"/>
        <w:snapToGrid/>
        <w:spacing w:line="600" w:lineRule="exact"/>
        <w:ind w:firstLine="702" w:firstLineChars="200"/>
        <w:jc w:val="left"/>
        <w:textAlignment w:val="auto"/>
        <w:rPr>
          <w:rFonts w:hint="eastAsia"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rPr>
        <w:t>六、行政事业性收费重点项目信息说明</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2019年本部门行政事业性收费项目主要有：依申请提供政府公开信息收费,文件依据京发改[2010]294号,具体为检索费、复制费、邮寄费。</w:t>
      </w:r>
    </w:p>
    <w:p>
      <w:pPr>
        <w:keepNext w:val="0"/>
        <w:keepLines w:val="0"/>
        <w:pageBreakBefore w:val="0"/>
        <w:widowControl/>
        <w:kinsoku/>
        <w:wordWrap/>
        <w:overflowPunct/>
        <w:topLinePunct w:val="0"/>
        <w:autoSpaceDE/>
        <w:autoSpaceDN/>
        <w:bidi w:val="0"/>
        <w:adjustRightInd w:val="0"/>
        <w:snapToGrid/>
        <w:spacing w:line="600" w:lineRule="exact"/>
        <w:ind w:firstLine="702" w:firstLineChars="200"/>
        <w:jc w:val="left"/>
        <w:textAlignment w:val="auto"/>
        <w:rPr>
          <w:rFonts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rPr>
        <w:t>七、固定资产占用使用情况说明</w:t>
      </w:r>
    </w:p>
    <w:p>
      <w:pPr>
        <w:keepNext w:val="0"/>
        <w:keepLines w:val="0"/>
        <w:pageBreakBefore w:val="0"/>
        <w:widowControl/>
        <w:kinsoku/>
        <w:wordWrap/>
        <w:overflowPunct/>
        <w:topLinePunct w:val="0"/>
        <w:autoSpaceDE/>
        <w:autoSpaceDN/>
        <w:bidi w:val="0"/>
        <w:adjustRightInd w:val="0"/>
        <w:snapToGrid/>
        <w:spacing w:line="600" w:lineRule="exact"/>
        <w:ind w:firstLine="700" w:firstLineChars="200"/>
        <w:jc w:val="left"/>
        <w:textAlignment w:val="auto"/>
        <w:rPr>
          <w:rFonts w:hint="eastAsia" w:ascii="仿宋_GB2312" w:hAnsi="宋体" w:eastAsia="仿宋_GB2312" w:cs="宋体"/>
          <w:b/>
          <w:color w:val="000000"/>
          <w:spacing w:val="15"/>
          <w:kern w:val="0"/>
          <w:sz w:val="32"/>
          <w:szCs w:val="32"/>
        </w:rPr>
      </w:pPr>
      <w:r>
        <w:rPr>
          <w:rFonts w:hint="eastAsia" w:ascii="仿宋_GB2312" w:hAnsi="宋体" w:eastAsia="仿宋_GB2312" w:cs="宋体"/>
          <w:color w:val="000000"/>
          <w:spacing w:val="15"/>
          <w:kern w:val="0"/>
          <w:sz w:val="32"/>
          <w:szCs w:val="32"/>
        </w:rPr>
        <w:t>截止201</w:t>
      </w:r>
      <w:r>
        <w:rPr>
          <w:rFonts w:hint="eastAsia" w:ascii="仿宋_GB2312" w:hAnsi="宋体" w:eastAsia="仿宋_GB2312" w:cs="宋体"/>
          <w:color w:val="000000"/>
          <w:spacing w:val="15"/>
          <w:kern w:val="0"/>
          <w:sz w:val="32"/>
          <w:szCs w:val="32"/>
          <w:lang w:val="en-US" w:eastAsia="zh-CN"/>
        </w:rPr>
        <w:t>8</w:t>
      </w:r>
      <w:r>
        <w:rPr>
          <w:rFonts w:hint="eastAsia" w:ascii="仿宋_GB2312" w:hAnsi="宋体" w:eastAsia="仿宋_GB2312" w:cs="宋体"/>
          <w:color w:val="000000"/>
          <w:spacing w:val="15"/>
          <w:kern w:val="0"/>
          <w:sz w:val="32"/>
          <w:szCs w:val="32"/>
        </w:rPr>
        <w:t>年底，本部门（包括各下属单位）固定资产总额</w:t>
      </w:r>
      <w:r>
        <w:rPr>
          <w:rFonts w:hint="eastAsia" w:ascii="仿宋_GB2312" w:hAnsi="宋体" w:eastAsia="仿宋_GB2312" w:cs="宋体"/>
          <w:color w:val="000000"/>
          <w:spacing w:val="15"/>
          <w:kern w:val="0"/>
          <w:sz w:val="32"/>
          <w:szCs w:val="32"/>
          <w:lang w:val="en-US"/>
        </w:rPr>
        <w:t>3878.44</w:t>
      </w:r>
      <w:r>
        <w:rPr>
          <w:rFonts w:hint="eastAsia" w:ascii="仿宋_GB2312" w:hAnsi="宋体" w:eastAsia="仿宋_GB2312" w:cs="宋体"/>
          <w:color w:val="000000"/>
          <w:spacing w:val="15"/>
          <w:kern w:val="0"/>
          <w:sz w:val="32"/>
          <w:szCs w:val="32"/>
        </w:rPr>
        <w:t>万元，其中：车辆</w:t>
      </w:r>
      <w:r>
        <w:rPr>
          <w:rFonts w:hint="eastAsia" w:ascii="仿宋_GB2312" w:hAnsi="宋体" w:eastAsia="仿宋_GB2312" w:cs="宋体"/>
          <w:color w:val="000000"/>
          <w:spacing w:val="15"/>
          <w:kern w:val="0"/>
          <w:sz w:val="32"/>
          <w:szCs w:val="32"/>
          <w:lang w:val="en-US" w:eastAsia="zh-CN"/>
        </w:rPr>
        <w:t>7</w:t>
      </w:r>
      <w:r>
        <w:rPr>
          <w:rFonts w:hint="eastAsia" w:ascii="仿宋_GB2312" w:hAnsi="宋体" w:eastAsia="仿宋_GB2312" w:cs="宋体"/>
          <w:color w:val="000000"/>
          <w:spacing w:val="15"/>
          <w:kern w:val="0"/>
          <w:sz w:val="32"/>
          <w:szCs w:val="32"/>
        </w:rPr>
        <w:t>台，</w:t>
      </w:r>
      <w:r>
        <w:rPr>
          <w:rFonts w:hint="eastAsia" w:ascii="仿宋_GB2312" w:hAnsi="宋体" w:eastAsia="仿宋_GB2312" w:cs="宋体"/>
          <w:color w:val="000000"/>
          <w:spacing w:val="15"/>
          <w:kern w:val="0"/>
          <w:sz w:val="32"/>
          <w:szCs w:val="32"/>
          <w:lang w:val="en-US" w:eastAsia="zh-CN"/>
        </w:rPr>
        <w:t>73.30</w:t>
      </w:r>
      <w:r>
        <w:rPr>
          <w:rFonts w:hint="eastAsia" w:ascii="仿宋_GB2312" w:hAnsi="宋体" w:eastAsia="仿宋_GB2312" w:cs="宋体"/>
          <w:color w:val="000000"/>
          <w:spacing w:val="15"/>
          <w:kern w:val="0"/>
          <w:sz w:val="32"/>
          <w:szCs w:val="32"/>
        </w:rPr>
        <w:t>万元；单位价值50万元以上的通用设备</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台（套）、</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万元，单位价值100万元以上的专用设备</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台（套）、</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万元。</w:t>
      </w:r>
    </w:p>
    <w:p>
      <w:pPr>
        <w:keepNext w:val="0"/>
        <w:keepLines w:val="0"/>
        <w:pageBreakBefore w:val="0"/>
        <w:widowControl/>
        <w:numPr>
          <w:ilvl w:val="0"/>
          <w:numId w:val="1"/>
        </w:numPr>
        <w:kinsoku/>
        <w:wordWrap/>
        <w:overflowPunct/>
        <w:topLinePunct w:val="0"/>
        <w:autoSpaceDE/>
        <w:autoSpaceDN/>
        <w:bidi w:val="0"/>
        <w:adjustRightInd w:val="0"/>
        <w:snapToGrid/>
        <w:spacing w:line="600" w:lineRule="exact"/>
        <w:ind w:firstLine="702" w:firstLineChars="200"/>
        <w:jc w:val="left"/>
        <w:textAlignment w:val="auto"/>
        <w:rPr>
          <w:rFonts w:hint="eastAsia" w:ascii="黑体" w:hAnsi="宋体" w:eastAsia="黑体" w:cs="宋体"/>
          <w:b/>
          <w:color w:val="000000"/>
          <w:spacing w:val="15"/>
          <w:kern w:val="0"/>
          <w:sz w:val="32"/>
          <w:szCs w:val="32"/>
          <w:lang w:eastAsia="zh-CN"/>
        </w:rPr>
      </w:pPr>
      <w:r>
        <w:rPr>
          <w:rFonts w:hint="eastAsia" w:ascii="黑体" w:hAnsi="宋体" w:eastAsia="黑体" w:cs="宋体"/>
          <w:b/>
          <w:color w:val="000000"/>
          <w:spacing w:val="15"/>
          <w:kern w:val="0"/>
          <w:sz w:val="32"/>
          <w:szCs w:val="32"/>
          <w:lang w:eastAsia="zh-CN"/>
        </w:rPr>
        <w:t>部门“三公”经费财政拨款预算说明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2019年</w:t>
      </w:r>
      <w:r>
        <w:rPr>
          <w:rFonts w:hint="eastAsia" w:ascii="仿宋_GB2312" w:eastAsia="仿宋_GB2312"/>
          <w:sz w:val="32"/>
          <w:szCs w:val="32"/>
        </w:rPr>
        <w:t>因公出国（境）费用、公务接待费、公务用车购置和运行维护费开支单位包括1个所属单位</w:t>
      </w:r>
      <w:r>
        <w:rPr>
          <w:rFonts w:hint="eastAsia" w:ascii="仿宋_GB2312" w:eastAsia="仿宋_GB2312"/>
          <w:sz w:val="32"/>
          <w:szCs w:val="32"/>
          <w:lang w:eastAsia="zh-CN"/>
        </w:rPr>
        <w:t>，</w:t>
      </w:r>
      <w:r>
        <w:rPr>
          <w:rFonts w:hint="eastAsia" w:ascii="仿宋_GB2312" w:eastAsia="仿宋_GB2312"/>
          <w:sz w:val="32"/>
          <w:szCs w:val="32"/>
          <w:lang w:val="en-US" w:eastAsia="zh-CN"/>
        </w:rPr>
        <w:t>财政拨款预算安排10.65万元，与2018年持平。</w:t>
      </w:r>
      <w:r>
        <w:rPr>
          <w:rFonts w:hint="eastAsia" w:ascii="仿宋_GB2312" w:eastAsia="仿宋_GB2312"/>
          <w:sz w:val="32"/>
          <w:szCs w:val="32"/>
        </w:rPr>
        <w:t>其中：</w:t>
      </w:r>
    </w:p>
    <w:p>
      <w:pPr>
        <w:ind w:firstLine="640"/>
        <w:rPr>
          <w:rFonts w:hint="eastAsia" w:ascii="仿宋_GB2312" w:eastAsia="仿宋_GB2312"/>
          <w:sz w:val="32"/>
          <w:szCs w:val="32"/>
        </w:rPr>
      </w:pPr>
      <w:r>
        <w:rPr>
          <w:rFonts w:hint="eastAsia" w:ascii="仿宋_GB2312" w:eastAsia="仿宋_GB2312"/>
          <w:sz w:val="32"/>
          <w:szCs w:val="32"/>
        </w:rPr>
        <w:t>（一）因公出国（境）费用</w:t>
      </w:r>
    </w:p>
    <w:p>
      <w:pPr>
        <w:ind w:firstLine="640"/>
        <w:rPr>
          <w:rFonts w:hint="eastAsia" w:ascii="仿宋_GB2312" w:eastAsia="仿宋_GB2312"/>
          <w:sz w:val="32"/>
          <w:szCs w:val="32"/>
        </w:rPr>
      </w:pPr>
      <w:r>
        <w:rPr>
          <w:rFonts w:hint="eastAsia" w:ascii="仿宋_GB2312" w:eastAsia="仿宋_GB2312"/>
          <w:sz w:val="32"/>
          <w:szCs w:val="32"/>
        </w:rPr>
        <w:t>2019年预算数0万元，</w:t>
      </w:r>
      <w:r>
        <w:rPr>
          <w:rFonts w:hint="eastAsia" w:ascii="仿宋_GB2312" w:eastAsia="仿宋_GB2312"/>
          <w:sz w:val="32"/>
          <w:szCs w:val="32"/>
          <w:lang w:val="en-US" w:eastAsia="zh-CN"/>
        </w:rPr>
        <w:t>与2018年持平</w:t>
      </w:r>
      <w:r>
        <w:rPr>
          <w:rFonts w:hint="eastAsia" w:ascii="仿宋_GB2312" w:eastAsia="仿宋_GB2312"/>
          <w:sz w:val="32"/>
          <w:szCs w:val="32"/>
        </w:rPr>
        <w:t>。</w:t>
      </w:r>
    </w:p>
    <w:p>
      <w:pPr>
        <w:ind w:firstLine="640"/>
        <w:rPr>
          <w:rFonts w:hint="eastAsia" w:ascii="仿宋_GB2312" w:eastAsia="仿宋_GB2312"/>
          <w:sz w:val="32"/>
          <w:szCs w:val="32"/>
        </w:rPr>
      </w:pPr>
      <w:r>
        <w:rPr>
          <w:rFonts w:hint="eastAsia" w:ascii="仿宋_GB2312" w:eastAsia="仿宋_GB2312"/>
          <w:sz w:val="32"/>
          <w:szCs w:val="32"/>
        </w:rPr>
        <w:t>（二）公务接待费</w:t>
      </w:r>
    </w:p>
    <w:p>
      <w:pPr>
        <w:ind w:firstLine="640"/>
        <w:rPr>
          <w:rFonts w:hint="eastAsia" w:ascii="仿宋_GB2312" w:eastAsia="仿宋_GB2312"/>
          <w:sz w:val="32"/>
          <w:szCs w:val="32"/>
          <w:lang w:val="en-US" w:eastAsia="zh-CN"/>
        </w:rPr>
      </w:pPr>
      <w:r>
        <w:rPr>
          <w:rFonts w:hint="eastAsia" w:ascii="仿宋_GB2312" w:eastAsia="仿宋_GB2312"/>
          <w:sz w:val="32"/>
          <w:szCs w:val="32"/>
        </w:rPr>
        <w:t>2019年预算数10.65万元，主要用于公务接待费用，</w:t>
      </w:r>
      <w:r>
        <w:rPr>
          <w:rFonts w:hint="eastAsia" w:ascii="仿宋_GB2312" w:eastAsia="仿宋_GB2312"/>
          <w:sz w:val="32"/>
          <w:szCs w:val="32"/>
          <w:lang w:val="en-US" w:eastAsia="zh-CN"/>
        </w:rPr>
        <w:t>与2018年持平。</w:t>
      </w:r>
    </w:p>
    <w:p>
      <w:pPr>
        <w:ind w:firstLine="640"/>
        <w:rPr>
          <w:rFonts w:hint="eastAsia" w:ascii="仿宋_GB2312" w:eastAsia="仿宋_GB2312"/>
          <w:sz w:val="32"/>
          <w:szCs w:val="32"/>
        </w:rPr>
      </w:pPr>
      <w:r>
        <w:rPr>
          <w:rFonts w:hint="eastAsia" w:ascii="仿宋_GB2312" w:eastAsia="仿宋_GB2312"/>
          <w:sz w:val="32"/>
          <w:szCs w:val="32"/>
        </w:rPr>
        <w:t>（三）公务用车购置和运行维护费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2019年预算数0万元，</w:t>
      </w:r>
      <w:r>
        <w:rPr>
          <w:rFonts w:hint="eastAsia" w:ascii="仿宋_GB2312" w:eastAsia="仿宋_GB2312"/>
          <w:sz w:val="32"/>
          <w:szCs w:val="32"/>
          <w:lang w:val="en-US" w:eastAsia="zh-CN"/>
        </w:rPr>
        <w:t>与2018年持平</w:t>
      </w:r>
      <w:r>
        <w:rPr>
          <w:rFonts w:hint="eastAsia" w:ascii="仿宋_GB2312" w:eastAsia="仿宋_GB2312"/>
          <w:sz w:val="32"/>
          <w:szCs w:val="32"/>
        </w:rPr>
        <w:t>。</w:t>
      </w:r>
      <w:r>
        <w:rPr>
          <w:rFonts w:hint="eastAsia" w:ascii="仿宋_GB2312" w:eastAsia="仿宋_GB2312"/>
          <w:sz w:val="28"/>
          <w:szCs w:val="28"/>
        </w:rPr>
        <w:t>2</w:t>
      </w:r>
      <w:r>
        <w:rPr>
          <w:rFonts w:hint="eastAsia" w:ascii="仿宋_GB2312" w:eastAsia="仿宋_GB2312"/>
          <w:sz w:val="32"/>
          <w:szCs w:val="32"/>
        </w:rPr>
        <w:t>01</w:t>
      </w:r>
      <w:r>
        <w:rPr>
          <w:rFonts w:hint="eastAsia" w:ascii="仿宋_GB2312" w:eastAsia="仿宋_GB2312"/>
          <w:sz w:val="32"/>
          <w:szCs w:val="32"/>
          <w:lang w:val="en-US" w:eastAsia="zh-CN"/>
        </w:rPr>
        <w:t>9</w:t>
      </w:r>
      <w:r>
        <w:rPr>
          <w:rFonts w:hint="eastAsia" w:ascii="仿宋_GB2312" w:eastAsia="仿宋_GB2312"/>
          <w:sz w:val="32"/>
          <w:szCs w:val="32"/>
        </w:rPr>
        <w:t>年公务用车保有量</w:t>
      </w:r>
      <w:r>
        <w:rPr>
          <w:rFonts w:hint="eastAsia" w:ascii="仿宋_GB2312" w:eastAsia="仿宋_GB2312"/>
          <w:sz w:val="32"/>
          <w:szCs w:val="32"/>
          <w:lang w:val="en-US" w:eastAsia="zh-CN"/>
        </w:rPr>
        <w:t>0</w:t>
      </w:r>
      <w:r>
        <w:rPr>
          <w:rFonts w:hint="eastAsia" w:ascii="仿宋_GB2312" w:eastAsia="仿宋_GB2312"/>
          <w:sz w:val="32"/>
          <w:szCs w:val="32"/>
        </w:rPr>
        <w:t>辆，车均运行维护费</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0" w:name="_GoBack"/>
      <w:bookmarkEnd w:id="0"/>
    </w:p>
    <w:p>
      <w:pPr>
        <w:keepNext w:val="0"/>
        <w:keepLines w:val="0"/>
        <w:pageBreakBefore w:val="0"/>
        <w:widowControl/>
        <w:numPr>
          <w:ilvl w:val="0"/>
          <w:numId w:val="1"/>
        </w:numPr>
        <w:kinsoku/>
        <w:wordWrap/>
        <w:overflowPunct/>
        <w:topLinePunct w:val="0"/>
        <w:autoSpaceDE/>
        <w:autoSpaceDN/>
        <w:bidi w:val="0"/>
        <w:adjustRightInd w:val="0"/>
        <w:snapToGrid/>
        <w:spacing w:line="600" w:lineRule="exact"/>
        <w:ind w:left="0" w:leftChars="0" w:firstLine="702" w:firstLineChars="200"/>
        <w:jc w:val="left"/>
        <w:textAlignment w:val="auto"/>
        <w:rPr>
          <w:rFonts w:hint="eastAsia" w:ascii="黑体" w:hAnsi="宋体" w:eastAsia="黑体" w:cs="宋体"/>
          <w:b/>
          <w:color w:val="000000"/>
          <w:spacing w:val="15"/>
          <w:kern w:val="0"/>
          <w:sz w:val="32"/>
          <w:szCs w:val="32"/>
          <w:lang w:eastAsia="zh-CN"/>
        </w:rPr>
      </w:pPr>
      <w:r>
        <w:rPr>
          <w:rFonts w:hint="eastAsia" w:ascii="黑体" w:hAnsi="宋体" w:eastAsia="黑体" w:cs="宋体"/>
          <w:b/>
          <w:color w:val="000000"/>
          <w:spacing w:val="15"/>
          <w:kern w:val="0"/>
          <w:sz w:val="32"/>
          <w:szCs w:val="32"/>
          <w:lang w:eastAsia="zh-CN"/>
        </w:rPr>
        <w:t>预算绩效管理情况说明</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2019年北京市丰台区城市管理综合行政执法监察局填报绩效项目6个，占本部门全部预算项目18个的33.33%。填报绩效目标的项目支出预算7961.42万元，占本部门全部项目支出预算的90.39%</w:t>
      </w:r>
    </w:p>
    <w:p>
      <w:pPr>
        <w:keepNext w:val="0"/>
        <w:keepLines w:val="0"/>
        <w:pageBreakBefore w:val="0"/>
        <w:widowControl/>
        <w:kinsoku/>
        <w:wordWrap/>
        <w:overflowPunct/>
        <w:topLinePunct w:val="0"/>
        <w:autoSpaceDE/>
        <w:autoSpaceDN/>
        <w:bidi w:val="0"/>
        <w:adjustRightInd w:val="0"/>
        <w:snapToGrid/>
        <w:spacing w:line="600" w:lineRule="exact"/>
        <w:ind w:firstLine="702" w:firstLineChars="200"/>
        <w:jc w:val="left"/>
        <w:textAlignment w:val="auto"/>
        <w:rPr>
          <w:rFonts w:hint="eastAsia"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lang w:eastAsia="zh-CN"/>
        </w:rPr>
        <w:t>十、</w:t>
      </w:r>
      <w:r>
        <w:rPr>
          <w:rFonts w:hint="eastAsia" w:ascii="黑体" w:hAnsi="宋体" w:eastAsia="黑体" w:cs="宋体"/>
          <w:b/>
          <w:color w:val="000000"/>
          <w:spacing w:val="15"/>
          <w:kern w:val="0"/>
          <w:sz w:val="32"/>
          <w:szCs w:val="32"/>
        </w:rPr>
        <w:t>其他事项说明</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default" w:ascii="黑体" w:eastAsia="黑体"/>
          <w:b/>
          <w:sz w:val="32"/>
          <w:szCs w:val="32"/>
          <w:lang w:val="en-US" w:eastAsia="zh-CN"/>
        </w:rPr>
      </w:pPr>
      <w:r>
        <w:rPr>
          <w:rFonts w:hint="eastAsia" w:ascii="仿宋_GB2312" w:eastAsia="仿宋_GB2312"/>
          <w:sz w:val="32"/>
          <w:szCs w:val="32"/>
          <w:lang w:val="en-US" w:eastAsia="zh-CN"/>
        </w:rPr>
        <w:t>我单位本次公开范围仅包含使用丰台区财政资金安排的预算收支情况。</w:t>
      </w:r>
    </w:p>
    <w:p>
      <w:pPr>
        <w:keepNext w:val="0"/>
        <w:keepLines w:val="0"/>
        <w:pageBreakBefore w:val="0"/>
        <w:widowControl/>
        <w:kinsoku/>
        <w:wordWrap/>
        <w:overflowPunct/>
        <w:topLinePunct w:val="0"/>
        <w:autoSpaceDE/>
        <w:autoSpaceDN/>
        <w:bidi w:val="0"/>
        <w:adjustRightInd w:val="0"/>
        <w:snapToGrid/>
        <w:spacing w:line="600" w:lineRule="exact"/>
        <w:ind w:firstLine="702" w:firstLineChars="200"/>
        <w:jc w:val="both"/>
        <w:textAlignment w:val="auto"/>
        <w:rPr>
          <w:rFonts w:hint="eastAsia"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lang w:eastAsia="zh-CN"/>
        </w:rPr>
        <w:t>十一、</w:t>
      </w:r>
      <w:r>
        <w:rPr>
          <w:rFonts w:hint="eastAsia" w:ascii="黑体" w:hAnsi="宋体" w:eastAsia="黑体" w:cs="宋体"/>
          <w:b/>
          <w:color w:val="000000"/>
          <w:spacing w:val="15"/>
          <w:kern w:val="0"/>
          <w:sz w:val="32"/>
          <w:szCs w:val="32"/>
        </w:rPr>
        <w:t>专业名词解释</w:t>
      </w:r>
    </w:p>
    <w:p>
      <w:pPr>
        <w:keepNext w:val="0"/>
        <w:keepLines w:val="0"/>
        <w:pageBreakBefore w:val="0"/>
        <w:numPr>
          <w:ilvl w:val="0"/>
          <w:numId w:val="0"/>
        </w:numPr>
        <w:kinsoku/>
        <w:wordWrap/>
        <w:overflowPunct/>
        <w:topLinePunct w:val="0"/>
        <w:autoSpaceDE/>
        <w:autoSpaceDN/>
        <w:bidi w:val="0"/>
        <w:snapToGrid/>
        <w:spacing w:line="60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预算：</w:t>
      </w:r>
      <w:r>
        <w:rPr>
          <w:rFonts w:hint="eastAsia" w:ascii="仿宋_GB2312" w:eastAsia="仿宋_GB2312"/>
          <w:sz w:val="32"/>
          <w:szCs w:val="32"/>
          <w:lang w:val="en-US" w:eastAsia="zh-CN"/>
        </w:rPr>
        <w:t>指遵循统筹兼顾、勤俭节约、量力而行、讲求绩效和收支平衡的原则编制，经法定程序审核批准的国家年度集中性财政收支计划。政府的全部收入和支出都应当纳入预算，地方各级预算一般不列赤字。</w:t>
      </w:r>
    </w:p>
    <w:p>
      <w:pPr>
        <w:keepNext w:val="0"/>
        <w:keepLines w:val="0"/>
        <w:pageBreakBefore w:val="0"/>
        <w:numPr>
          <w:ilvl w:val="0"/>
          <w:numId w:val="0"/>
        </w:numPr>
        <w:kinsoku/>
        <w:wordWrap/>
        <w:overflowPunct/>
        <w:topLinePunct w:val="0"/>
        <w:autoSpaceDE/>
        <w:autoSpaceDN/>
        <w:bidi w:val="0"/>
        <w:snapToGrid/>
        <w:spacing w:line="60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一般公共预算：</w:t>
      </w:r>
      <w:r>
        <w:rPr>
          <w:rFonts w:hint="eastAsia" w:ascii="仿宋_GB2312" w:eastAsia="仿宋_GB2312"/>
          <w:sz w:val="32"/>
          <w:szCs w:val="32"/>
          <w:lang w:val="en-US" w:eastAsia="zh-CN"/>
        </w:rPr>
        <w:t>对以税收为主体的财政收入，安排用于保障和改善民生、推动经济社会发展、维护国家安全、维持国家机构正常运转等方面的收支预算。</w:t>
      </w:r>
    </w:p>
    <w:p>
      <w:pPr>
        <w:keepNext w:val="0"/>
        <w:keepLines w:val="0"/>
        <w:pageBreakBefore w:val="0"/>
        <w:numPr>
          <w:ilvl w:val="0"/>
          <w:numId w:val="0"/>
        </w:numPr>
        <w:kinsoku/>
        <w:wordWrap/>
        <w:overflowPunct/>
        <w:topLinePunct w:val="0"/>
        <w:autoSpaceDE/>
        <w:autoSpaceDN/>
        <w:bidi w:val="0"/>
        <w:snapToGrid/>
        <w:spacing w:line="60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一般性转移支付：</w:t>
      </w:r>
      <w:r>
        <w:rPr>
          <w:rFonts w:hint="eastAsia" w:ascii="仿宋_GB2312" w:eastAsia="仿宋_GB2312"/>
          <w:sz w:val="32"/>
          <w:szCs w:val="32"/>
          <w:lang w:val="en-US" w:eastAsia="zh-CN"/>
        </w:rPr>
        <w:t>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pPr>
        <w:keepNext w:val="0"/>
        <w:keepLines w:val="0"/>
        <w:pageBreakBefore w:val="0"/>
        <w:numPr>
          <w:ilvl w:val="0"/>
          <w:numId w:val="0"/>
        </w:numPr>
        <w:kinsoku/>
        <w:wordWrap/>
        <w:overflowPunct/>
        <w:topLinePunct w:val="0"/>
        <w:autoSpaceDE/>
        <w:autoSpaceDN/>
        <w:bidi w:val="0"/>
        <w:snapToGrid/>
        <w:spacing w:line="60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结余结转资金</w:t>
      </w:r>
      <w:r>
        <w:rPr>
          <w:rFonts w:hint="eastAsia" w:ascii="仿宋_GB2312" w:eastAsia="仿宋_GB2312"/>
          <w:sz w:val="32"/>
          <w:szCs w:val="32"/>
          <w:lang w:val="en-US" w:eastAsia="zh-CN"/>
        </w:rPr>
        <w:t>：指当年预算已执行但工作目标未完成，或者因故未执行，下一年度需要按原用途继续使用的资金。</w:t>
      </w:r>
    </w:p>
    <w:p>
      <w:pPr>
        <w:keepNext w:val="0"/>
        <w:keepLines w:val="0"/>
        <w:pageBreakBefore w:val="0"/>
        <w:numPr>
          <w:ilvl w:val="0"/>
          <w:numId w:val="0"/>
        </w:numPr>
        <w:kinsoku/>
        <w:wordWrap/>
        <w:overflowPunct/>
        <w:topLinePunct w:val="0"/>
        <w:autoSpaceDE/>
        <w:autoSpaceDN/>
        <w:bidi w:val="0"/>
        <w:snapToGrid/>
        <w:spacing w:line="60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部门预算:</w:t>
      </w:r>
      <w:r>
        <w:rPr>
          <w:rFonts w:hint="eastAsia" w:ascii="仿宋_GB2312" w:eastAsia="仿宋_GB2312"/>
          <w:sz w:val="32"/>
          <w:szCs w:val="32"/>
          <w:lang w:val="en-US" w:eastAsia="zh-CN"/>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keepNext w:val="0"/>
        <w:keepLines w:val="0"/>
        <w:pageBreakBefore w:val="0"/>
        <w:numPr>
          <w:ilvl w:val="0"/>
          <w:numId w:val="0"/>
        </w:numPr>
        <w:kinsoku/>
        <w:wordWrap/>
        <w:overflowPunct/>
        <w:topLinePunct w:val="0"/>
        <w:autoSpaceDE/>
        <w:autoSpaceDN/>
        <w:bidi w:val="0"/>
        <w:snapToGrid/>
        <w:spacing w:line="60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政府采购:</w:t>
      </w:r>
      <w:r>
        <w:rPr>
          <w:rFonts w:hint="eastAsia" w:ascii="仿宋_GB2312" w:eastAsia="仿宋_GB2312"/>
          <w:sz w:val="32"/>
          <w:szCs w:val="32"/>
          <w:lang w:val="en-US" w:eastAsia="zh-CN"/>
        </w:rPr>
        <w:t xml:space="preserve"> 指各级国家机关、事业单位和团体组织，使用财政性资金采购依法制定的集中采购目录以内的或者采购限额标准以上的货物、工程和服务的行为。政府采购是规范财政支出管理和强化预算约束的有效措施。</w:t>
      </w:r>
    </w:p>
    <w:p>
      <w:pPr>
        <w:keepNext w:val="0"/>
        <w:keepLines w:val="0"/>
        <w:pageBreakBefore w:val="0"/>
        <w:numPr>
          <w:ilvl w:val="0"/>
          <w:numId w:val="0"/>
        </w:numPr>
        <w:kinsoku/>
        <w:wordWrap/>
        <w:overflowPunct/>
        <w:topLinePunct w:val="0"/>
        <w:autoSpaceDE/>
        <w:autoSpaceDN/>
        <w:bidi w:val="0"/>
        <w:snapToGrid/>
        <w:spacing w:line="60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预算绩效管理：</w:t>
      </w:r>
      <w:r>
        <w:rPr>
          <w:rFonts w:hint="eastAsia" w:ascii="仿宋_GB2312" w:eastAsia="仿宋_GB2312"/>
          <w:sz w:val="32"/>
          <w:szCs w:val="32"/>
          <w:lang w:val="en-US" w:eastAsia="zh-CN"/>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keepNext w:val="0"/>
        <w:keepLines w:val="0"/>
        <w:pageBreakBefore w:val="0"/>
        <w:numPr>
          <w:ilvl w:val="0"/>
          <w:numId w:val="0"/>
        </w:numPr>
        <w:kinsoku/>
        <w:wordWrap/>
        <w:overflowPunct/>
        <w:topLinePunct w:val="0"/>
        <w:autoSpaceDE/>
        <w:autoSpaceDN/>
        <w:bidi w:val="0"/>
        <w:snapToGrid/>
        <w:spacing w:line="60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“三公”经费：</w:t>
      </w:r>
      <w:r>
        <w:rPr>
          <w:rFonts w:hint="eastAsia" w:ascii="仿宋_GB2312" w:eastAsia="仿宋_GB2312"/>
          <w:sz w:val="32"/>
          <w:szCs w:val="32"/>
          <w:lang w:val="en-US" w:eastAsia="zh-CN"/>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keepNext w:val="0"/>
        <w:keepLines w:val="0"/>
        <w:pageBreakBefore w:val="0"/>
        <w:numPr>
          <w:ilvl w:val="0"/>
          <w:numId w:val="0"/>
        </w:numPr>
        <w:kinsoku/>
        <w:wordWrap/>
        <w:overflowPunct/>
        <w:topLinePunct w:val="0"/>
        <w:autoSpaceDE/>
        <w:autoSpaceDN/>
        <w:bidi w:val="0"/>
        <w:snapToGrid/>
        <w:spacing w:line="60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政府购买服务：</w:t>
      </w:r>
      <w:r>
        <w:rPr>
          <w:rFonts w:hint="eastAsia" w:ascii="仿宋_GB2312" w:eastAsia="仿宋_GB2312"/>
          <w:sz w:val="32"/>
          <w:szCs w:val="32"/>
          <w:lang w:val="en-US" w:eastAsia="zh-CN"/>
        </w:rPr>
        <w:t>指通过发挥市场机制作用，把政府直接向社会公众提供的公共服务等事项，按照一定的方式和程序，交由具备条件的社会力量承担，并由政府根据服务数量和质量向其支付费用。</w:t>
      </w:r>
    </w:p>
    <w:p>
      <w:pPr>
        <w:keepNext w:val="0"/>
        <w:keepLines w:val="0"/>
        <w:pageBreakBefore w:val="0"/>
        <w:numPr>
          <w:ilvl w:val="0"/>
          <w:numId w:val="0"/>
        </w:numPr>
        <w:kinsoku/>
        <w:wordWrap/>
        <w:overflowPunct/>
        <w:topLinePunct w:val="0"/>
        <w:autoSpaceDE/>
        <w:autoSpaceDN/>
        <w:bidi w:val="0"/>
        <w:snapToGrid/>
        <w:spacing w:line="60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机关运行经费：</w:t>
      </w:r>
      <w:r>
        <w:rPr>
          <w:rFonts w:hint="eastAsia" w:ascii="仿宋_GB2312" w:eastAsia="仿宋_GB2312"/>
          <w:sz w:val="32"/>
          <w:szCs w:val="32"/>
          <w:lang w:val="en-US" w:eastAsia="zh-CN"/>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numPr>
          <w:ilvl w:val="0"/>
          <w:numId w:val="0"/>
        </w:numPr>
        <w:kinsoku/>
        <w:wordWrap/>
        <w:overflowPunct/>
        <w:topLinePunct w:val="0"/>
        <w:autoSpaceDE/>
        <w:autoSpaceDN/>
        <w:bidi w:val="0"/>
        <w:snapToGrid/>
        <w:spacing w:line="60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部门整体支出绩效评价：</w:t>
      </w:r>
      <w:r>
        <w:rPr>
          <w:rFonts w:hint="eastAsia" w:ascii="仿宋_GB2312" w:eastAsia="仿宋_GB2312"/>
          <w:sz w:val="32"/>
          <w:szCs w:val="32"/>
          <w:lang w:val="en-US" w:eastAsia="zh-CN"/>
        </w:rPr>
        <w:t>是对包括部门整体基本支出和项目支出在内的整体预算支出的绩效评价，评价以项目支出为重点。一般以预算年度为周期，对跨年度的重点项目可根据项目支出完成情况实施阶段性评价。</w:t>
      </w:r>
    </w:p>
    <w:p>
      <w:pPr>
        <w:keepNext w:val="0"/>
        <w:keepLines w:val="0"/>
        <w:pageBreakBefore w:val="0"/>
        <w:numPr>
          <w:ilvl w:val="0"/>
          <w:numId w:val="0"/>
        </w:numPr>
        <w:kinsoku/>
        <w:wordWrap/>
        <w:overflowPunct/>
        <w:topLinePunct w:val="0"/>
        <w:autoSpaceDE/>
        <w:autoSpaceDN/>
        <w:bidi w:val="0"/>
        <w:snapToGrid/>
        <w:spacing w:line="600" w:lineRule="exact"/>
        <w:ind w:firstLine="642" w:firstLineChars="200"/>
        <w:textAlignment w:val="auto"/>
        <w:rPr>
          <w:rFonts w:ascii="宋体" w:hAnsi="宋体" w:cs="宋体"/>
          <w:b/>
          <w:color w:val="000000"/>
          <w:spacing w:val="15"/>
          <w:kern w:val="0"/>
          <w:sz w:val="36"/>
          <w:szCs w:val="36"/>
        </w:rPr>
      </w:pPr>
      <w:r>
        <w:rPr>
          <w:rFonts w:hint="eastAsia" w:ascii="仿宋_GB2312" w:eastAsia="仿宋_GB2312"/>
          <w:b/>
          <w:bCs/>
          <w:sz w:val="32"/>
          <w:szCs w:val="32"/>
          <w:lang w:val="en-US" w:eastAsia="zh-CN"/>
        </w:rPr>
        <w:t>行政事业性收费:</w:t>
      </w:r>
      <w:r>
        <w:rPr>
          <w:rFonts w:hint="eastAsia" w:ascii="仿宋_GB2312" w:eastAsia="仿宋_GB2312"/>
          <w:sz w:val="32"/>
          <w:szCs w:val="32"/>
          <w:lang w:val="en-US" w:eastAsia="zh-CN"/>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604030504040204"/>
    <w:charset w:val="86"/>
    <w:family w:val="auto"/>
    <w:pitch w:val="default"/>
    <w:sig w:usb0="F7FFAEFF" w:usb1="F9DFFFFF" w:usb2="001FFDF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DBB8A"/>
    <w:multiLevelType w:val="singleLevel"/>
    <w:tmpl w:val="AE7DBB8A"/>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DB35D1"/>
    <w:rsid w:val="B7DB35D1"/>
    <w:rsid w:val="F5FB890B"/>
    <w:rsid w:val="FFFE5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2021-06-16T18:40:00Z</dcterms:created>
  <dc:creator>uos</dc:creator>
  <cp:lastModifiedBy>uos</cp:lastModifiedBy>
  <dcterms:modified xsi:type="dcterms:W3CDTF">2021-06-16T10:43:17Z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