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D16F" w14:textId="77777777" w:rsidR="004D0F74" w:rsidRDefault="004D0F74">
      <w:pPr>
        <w:widowControl/>
        <w:spacing w:line="560" w:lineRule="exact"/>
        <w:jc w:val="center"/>
        <w:rPr>
          <w:rFonts w:cs="宋体"/>
          <w:b/>
          <w:color w:val="000000"/>
          <w:spacing w:val="15"/>
          <w:kern w:val="0"/>
          <w:sz w:val="36"/>
          <w:szCs w:val="36"/>
        </w:rPr>
      </w:pPr>
    </w:p>
    <w:p w14:paraId="48FD3277" w14:textId="77777777" w:rsidR="004D0F74" w:rsidRDefault="00E248CE">
      <w:pPr>
        <w:widowControl/>
        <w:spacing w:line="560" w:lineRule="exact"/>
        <w:jc w:val="center"/>
        <w:rPr>
          <w:rFonts w:ascii="宋体" w:hAnsi="宋体" w:cs="宋体"/>
          <w:b/>
          <w:color w:val="000000"/>
          <w:spacing w:val="15"/>
          <w:kern w:val="0"/>
          <w:sz w:val="44"/>
          <w:szCs w:val="44"/>
        </w:rPr>
      </w:pPr>
      <w:r>
        <w:rPr>
          <w:rFonts w:ascii="宋体" w:hAnsi="宋体" w:cs="宋体" w:hint="eastAsia"/>
          <w:b/>
          <w:color w:val="000000"/>
          <w:spacing w:val="15"/>
          <w:kern w:val="0"/>
          <w:sz w:val="44"/>
          <w:szCs w:val="44"/>
        </w:rPr>
        <w:t>北京市丰台区南苑乡人民政府</w:t>
      </w:r>
    </w:p>
    <w:p w14:paraId="3485E057" w14:textId="77777777" w:rsidR="004D0F74" w:rsidRDefault="00E248CE">
      <w:pPr>
        <w:widowControl/>
        <w:spacing w:line="560" w:lineRule="exact"/>
        <w:jc w:val="center"/>
        <w:rPr>
          <w:rFonts w:ascii="宋体" w:hAnsi="宋体" w:cs="宋体"/>
          <w:b/>
          <w:color w:val="000000"/>
          <w:spacing w:val="15"/>
          <w:kern w:val="0"/>
          <w:sz w:val="44"/>
          <w:szCs w:val="44"/>
        </w:rPr>
      </w:pPr>
      <w:r>
        <w:rPr>
          <w:rFonts w:ascii="宋体" w:hAnsi="宋体" w:cs="宋体" w:hint="eastAsia"/>
          <w:b/>
          <w:color w:val="000000"/>
          <w:spacing w:val="15"/>
          <w:kern w:val="0"/>
          <w:sz w:val="44"/>
          <w:szCs w:val="44"/>
        </w:rPr>
        <w:t>20</w:t>
      </w:r>
      <w:r>
        <w:rPr>
          <w:rFonts w:ascii="宋体" w:hAnsi="宋体" w:cs="宋体" w:hint="eastAsia"/>
          <w:b/>
          <w:color w:val="000000"/>
          <w:spacing w:val="15"/>
          <w:kern w:val="0"/>
          <w:sz w:val="44"/>
          <w:szCs w:val="44"/>
        </w:rPr>
        <w:t>19</w:t>
      </w:r>
      <w:r>
        <w:rPr>
          <w:rFonts w:cs="宋体" w:hint="eastAsia"/>
          <w:b/>
          <w:color w:val="000000"/>
          <w:spacing w:val="15"/>
          <w:kern w:val="0"/>
          <w:sz w:val="44"/>
          <w:szCs w:val="44"/>
        </w:rPr>
        <w:t>年部门预算编制说明</w:t>
      </w:r>
    </w:p>
    <w:p w14:paraId="0EFC2CAB" w14:textId="77777777" w:rsidR="004D0F74" w:rsidRDefault="004D0F74">
      <w:pPr>
        <w:widowControl/>
        <w:spacing w:line="560" w:lineRule="exact"/>
        <w:jc w:val="left"/>
        <w:rPr>
          <w:rFonts w:ascii="宋体" w:hAnsi="宋体" w:cs="宋体"/>
          <w:color w:val="000000"/>
          <w:spacing w:val="15"/>
          <w:kern w:val="0"/>
          <w:sz w:val="32"/>
          <w:szCs w:val="32"/>
        </w:rPr>
      </w:pPr>
    </w:p>
    <w:p w14:paraId="791DA838" w14:textId="77777777" w:rsidR="006743E2" w:rsidRPr="006743E2" w:rsidRDefault="00E248CE" w:rsidP="006743E2">
      <w:pPr>
        <w:pStyle w:val="a9"/>
        <w:spacing w:before="0" w:beforeAutospacing="0" w:after="0" w:afterAutospacing="0" w:line="560" w:lineRule="atLeast"/>
        <w:rPr>
          <w:color w:val="000000"/>
          <w:sz w:val="21"/>
          <w:szCs w:val="21"/>
        </w:rPr>
      </w:pPr>
      <w:r>
        <w:rPr>
          <w:b/>
          <w:color w:val="000000"/>
          <w:spacing w:val="15"/>
        </w:rPr>
        <w:t xml:space="preserve"> </w:t>
      </w:r>
      <w:r w:rsidR="006743E2" w:rsidRPr="006743E2">
        <w:rPr>
          <w:rFonts w:hint="eastAsia"/>
          <w:b/>
          <w:bCs/>
          <w:color w:val="000000"/>
          <w:spacing w:val="15"/>
        </w:rPr>
        <w:t>一、北京市丰台区南苑乡人民政府基本情况</w:t>
      </w:r>
    </w:p>
    <w:p w14:paraId="01CB6548"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北京市丰台区南苑乡人民政府主要职责是：</w:t>
      </w:r>
    </w:p>
    <w:p w14:paraId="72F93539"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 贯彻执行党的路线、方针、政策和国家的法律、法规；执行本级人民代表大会的决议和上级国家行政机关的决定和命令。</w:t>
      </w:r>
    </w:p>
    <w:p w14:paraId="5D7BC325"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2. 负责制定本乡经济社会发展规划并组织实施；负责本乡产业结构调整、投资项目引进的指导与服务； 负责本乡企业管理与服务、科技创新、信息产业发展。</w:t>
      </w:r>
    </w:p>
    <w:p w14:paraId="6FFA4186"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3. 负责本乡财政预算、决算和收支管理，协助组织税收、内部审计、农村金融管理。</w:t>
      </w:r>
    </w:p>
    <w:p w14:paraId="6EB09EC6"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4. 负责农村改革发展、农村土地承包管理、农民负担监督管理、农村集体资产财务、村级账务管理和审计监督等工作。</w:t>
      </w:r>
    </w:p>
    <w:p w14:paraId="08C7FDC1"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5. 负责统筹、协调、监督本乡安全工作，加强社会管理、社会治安综合治理、安全生产、民防、交通安全、 消防安全、流动人口和出租房屋的管理工作。</w:t>
      </w:r>
    </w:p>
    <w:p w14:paraId="7B5E9746"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6. 负责乡村建设发展、市政基础设施建设与管理、市容环境卫生管理、违法建设查处、环境保护工作。</w:t>
      </w:r>
    </w:p>
    <w:p w14:paraId="76DE412D"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7. 负责人口计划生育管理工作。</w:t>
      </w:r>
    </w:p>
    <w:p w14:paraId="47775927"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8. 负责社会保障、社会福利、拥军优属、殡葬管理等社会事务管理工作；负责辖区内劳动者权益保护工作；负责民族、宗教、侨务工作。</w:t>
      </w:r>
    </w:p>
    <w:p w14:paraId="48A4061C"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lastRenderedPageBreak/>
        <w:t>9. 负责开展教育、科普、卫生、体育以及群众性文化工作。</w:t>
      </w:r>
    </w:p>
    <w:p w14:paraId="578B2AF3"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10. 负责农业、林业、水务、畜牧产业的管理工作；负责旅游、防汛抗旱、新农村建设工作。</w:t>
      </w:r>
    </w:p>
    <w:p w14:paraId="10FB90C2"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11. 负责社区建设、发展、管理与服务工作。</w:t>
      </w:r>
    </w:p>
    <w:p w14:paraId="1DED2C35"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12. 负责村民（居民）自治组织和村级政权建设。</w:t>
      </w:r>
    </w:p>
    <w:p w14:paraId="2EC5BCE7"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13. 负责民事调解和普法教育工作。</w:t>
      </w:r>
    </w:p>
    <w:p w14:paraId="72ECC6FA"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14. 办理人民群众来信来访，反映人民群众的意见和要求。</w:t>
      </w:r>
    </w:p>
    <w:p w14:paraId="009A5597"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15. 承办区政府交办的其他事项。</w:t>
      </w:r>
    </w:p>
    <w:p w14:paraId="3BD24391"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共包含行政单位1个（含行政执法机构0个），事业单位4个。截至2019年底，共有行政编制94人，实际88人；事业编制57人，实际43人；离退休人员51人。</w:t>
      </w:r>
    </w:p>
    <w:p w14:paraId="0C76F6FC" w14:textId="77777777" w:rsidR="006743E2" w:rsidRPr="006743E2" w:rsidRDefault="006743E2" w:rsidP="006743E2">
      <w:pPr>
        <w:widowControl/>
        <w:spacing w:line="560" w:lineRule="atLeast"/>
        <w:ind w:firstLine="703"/>
        <w:jc w:val="left"/>
        <w:rPr>
          <w:rFonts w:ascii="宋体" w:hAnsi="宋体" w:cs="宋体" w:hint="eastAsia"/>
          <w:color w:val="000000"/>
          <w:kern w:val="0"/>
          <w:szCs w:val="21"/>
        </w:rPr>
      </w:pPr>
      <w:r w:rsidRPr="006743E2">
        <w:rPr>
          <w:rFonts w:ascii="宋体" w:hAnsi="宋体" w:cs="宋体" w:hint="eastAsia"/>
          <w:b/>
          <w:bCs/>
          <w:color w:val="000000"/>
          <w:spacing w:val="15"/>
          <w:kern w:val="0"/>
          <w:sz w:val="24"/>
        </w:rPr>
        <w:t>二、2020年收入及支出总体情况</w:t>
      </w:r>
    </w:p>
    <w:p w14:paraId="4AEDD04D" w14:textId="77777777" w:rsidR="006743E2" w:rsidRPr="006743E2" w:rsidRDefault="006743E2" w:rsidP="006743E2">
      <w:pPr>
        <w:widowControl/>
        <w:spacing w:line="44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2019年部门收入预算13209.70万元，同比2018年增加5657.19万元，增长74.75%，其中：财政拨款13209.70万元，上级补助收入0万元，事业收入0万元，经营收入0万元，附属单位缴款0万元，其他收入</w:t>
      </w:r>
      <w:r w:rsidRPr="006743E2">
        <w:rPr>
          <w:rFonts w:ascii="宋体" w:hAnsi="宋体" w:cs="宋体" w:hint="eastAsia"/>
          <w:color w:val="000000"/>
          <w:spacing w:val="15"/>
          <w:kern w:val="0"/>
          <w:sz w:val="24"/>
        </w:rPr>
        <w:t> </w:t>
      </w:r>
      <w:r w:rsidRPr="006743E2">
        <w:rPr>
          <w:rFonts w:ascii="宋体" w:hAnsi="宋体" w:cs="宋体" w:hint="eastAsia"/>
          <w:color w:val="000000"/>
          <w:spacing w:val="15"/>
          <w:kern w:val="0"/>
          <w:sz w:val="24"/>
        </w:rPr>
        <w:t> 万元，用事业基金弥补收支差额0万元，上年结转和结余0万元。</w:t>
      </w:r>
    </w:p>
    <w:p w14:paraId="205D0100" w14:textId="77777777" w:rsidR="006743E2" w:rsidRPr="006743E2" w:rsidRDefault="006743E2" w:rsidP="006743E2">
      <w:pPr>
        <w:widowControl/>
        <w:spacing w:line="44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2019年部门支出预算13209.70万元，比2018年增加5641.65万元，增长74.55%，其中基本支出预算4497.57万元，项目支出预算8712.13万元。按支出功能分类，一般公共服务支出6439.95万元，国防支出15.39万元，公共安全支出23.34万元，教育支出5.35万元，文化体育与传媒支出40.80万元，社会保障和就业支出1681.45万元，卫生健康支出306.09万元，节能环保13.75万元，城乡社区支出4087.52万元，农林水支出1.78万元，住房保障支出473.40万元，灾害防治及应急管理支出120.90万元。</w:t>
      </w:r>
    </w:p>
    <w:p w14:paraId="2AFC2D79" w14:textId="77777777" w:rsidR="006743E2" w:rsidRPr="006743E2" w:rsidRDefault="006743E2" w:rsidP="006743E2">
      <w:pPr>
        <w:widowControl/>
        <w:spacing w:line="560" w:lineRule="atLeast"/>
        <w:ind w:firstLine="703"/>
        <w:jc w:val="left"/>
        <w:rPr>
          <w:rFonts w:ascii="宋体" w:hAnsi="宋体" w:cs="宋体" w:hint="eastAsia"/>
          <w:color w:val="000000"/>
          <w:kern w:val="0"/>
          <w:szCs w:val="21"/>
        </w:rPr>
      </w:pPr>
      <w:r w:rsidRPr="006743E2">
        <w:rPr>
          <w:rFonts w:ascii="宋体" w:hAnsi="宋体" w:cs="宋体" w:hint="eastAsia"/>
          <w:b/>
          <w:bCs/>
          <w:color w:val="000000"/>
          <w:spacing w:val="15"/>
          <w:kern w:val="0"/>
          <w:sz w:val="24"/>
        </w:rPr>
        <w:t>三、主要支出内容</w:t>
      </w:r>
    </w:p>
    <w:p w14:paraId="276957F2" w14:textId="77777777" w:rsidR="006743E2" w:rsidRPr="006743E2" w:rsidRDefault="006743E2" w:rsidP="006743E2">
      <w:pPr>
        <w:widowControl/>
        <w:spacing w:line="440" w:lineRule="atLeast"/>
        <w:jc w:val="left"/>
        <w:rPr>
          <w:rFonts w:ascii="宋体" w:hAnsi="宋体" w:cs="宋体" w:hint="eastAsia"/>
          <w:color w:val="000000"/>
          <w:kern w:val="0"/>
          <w:szCs w:val="21"/>
        </w:rPr>
      </w:pPr>
      <w:r w:rsidRPr="006743E2">
        <w:rPr>
          <w:rFonts w:ascii="宋体" w:hAnsi="宋体" w:cs="宋体" w:hint="eastAsia"/>
          <w:color w:val="000000"/>
          <w:spacing w:val="15"/>
          <w:kern w:val="0"/>
          <w:sz w:val="24"/>
        </w:rPr>
        <w:t> </w:t>
      </w:r>
      <w:r w:rsidRPr="006743E2">
        <w:rPr>
          <w:rFonts w:ascii="宋体" w:hAnsi="宋体" w:cs="宋体" w:hint="eastAsia"/>
          <w:color w:val="000000"/>
          <w:spacing w:val="15"/>
          <w:kern w:val="0"/>
          <w:sz w:val="24"/>
        </w:rPr>
        <w:t> </w:t>
      </w:r>
      <w:r w:rsidRPr="006743E2">
        <w:rPr>
          <w:rFonts w:ascii="宋体" w:hAnsi="宋体" w:cs="宋体" w:hint="eastAsia"/>
          <w:color w:val="000000"/>
          <w:spacing w:val="15"/>
          <w:kern w:val="0"/>
          <w:sz w:val="24"/>
        </w:rPr>
        <w:t> </w:t>
      </w:r>
      <w:r w:rsidRPr="006743E2">
        <w:rPr>
          <w:rFonts w:ascii="宋体" w:hAnsi="宋体" w:cs="宋体" w:hint="eastAsia"/>
          <w:color w:val="000000"/>
          <w:spacing w:val="15"/>
          <w:kern w:val="0"/>
          <w:sz w:val="24"/>
        </w:rPr>
        <w:t> </w:t>
      </w:r>
      <w:r w:rsidRPr="006743E2">
        <w:rPr>
          <w:rFonts w:ascii="宋体" w:hAnsi="宋体" w:cs="宋体" w:hint="eastAsia"/>
          <w:color w:val="000000"/>
          <w:spacing w:val="15"/>
          <w:kern w:val="0"/>
          <w:sz w:val="24"/>
        </w:rPr>
        <w:t> </w:t>
      </w:r>
      <w:r w:rsidRPr="006743E2">
        <w:rPr>
          <w:rFonts w:ascii="宋体" w:hAnsi="宋体" w:cs="宋体" w:hint="eastAsia"/>
          <w:color w:val="000000"/>
          <w:spacing w:val="15"/>
          <w:kern w:val="0"/>
          <w:sz w:val="24"/>
        </w:rPr>
        <w:t>上述支出中，主要用于以下内容：</w:t>
      </w:r>
    </w:p>
    <w:p w14:paraId="0F5FA25A" w14:textId="77777777" w:rsidR="006743E2" w:rsidRPr="006743E2" w:rsidRDefault="006743E2" w:rsidP="006743E2">
      <w:pPr>
        <w:widowControl/>
        <w:spacing w:line="440" w:lineRule="atLeast"/>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1、行政机关、事业单位人员工资及日常运转经费；</w:t>
      </w:r>
    </w:p>
    <w:p w14:paraId="62E41C74"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lastRenderedPageBreak/>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2、城乡社区支出</w:t>
      </w:r>
    </w:p>
    <w:p w14:paraId="64246C19"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3、社会保障和就业支出</w:t>
      </w:r>
    </w:p>
    <w:p w14:paraId="6453F2BE"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4、卫生健康支出</w:t>
      </w:r>
    </w:p>
    <w:p w14:paraId="03943FF0"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5、文化体育与传媒支出</w:t>
      </w:r>
    </w:p>
    <w:p w14:paraId="696596A7"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6、卫生健康支出</w:t>
      </w:r>
    </w:p>
    <w:p w14:paraId="795174E8"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7、节能环保支出</w:t>
      </w:r>
    </w:p>
    <w:p w14:paraId="44FEEC3B"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8、灾害防治及应急管理支出</w:t>
      </w:r>
    </w:p>
    <w:p w14:paraId="02B96855"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b/>
          <w:bCs/>
          <w:color w:val="000000"/>
          <w:spacing w:val="15"/>
          <w:kern w:val="0"/>
          <w:sz w:val="24"/>
        </w:rPr>
        <w:t>四、政府采购情况说明</w:t>
      </w:r>
    </w:p>
    <w:p w14:paraId="1DE430A4"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2019年政府采购预算总额为900.00万元，其中：政府采购货物预算200.00万元，政府采购工程预算0.00万元，政府采购服务预算700.00万元。</w:t>
      </w:r>
    </w:p>
    <w:p w14:paraId="562ABA0D" w14:textId="77777777" w:rsidR="006743E2" w:rsidRPr="006743E2" w:rsidRDefault="006743E2" w:rsidP="006743E2">
      <w:pPr>
        <w:widowControl/>
        <w:spacing w:line="560" w:lineRule="atLeast"/>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b/>
          <w:bCs/>
          <w:color w:val="000000"/>
          <w:spacing w:val="15"/>
          <w:kern w:val="0"/>
          <w:sz w:val="24"/>
        </w:rPr>
        <w:t>五、机关运行经费财政拨款预算安排说明</w:t>
      </w:r>
    </w:p>
    <w:p w14:paraId="40307797" w14:textId="77777777" w:rsidR="006743E2" w:rsidRPr="006743E2" w:rsidRDefault="006743E2" w:rsidP="006743E2">
      <w:pPr>
        <w:widowControl/>
        <w:spacing w:line="440" w:lineRule="atLeast"/>
        <w:ind w:left="160"/>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rPr>
        <w:t>2019年本部门行政单位（含参照公务员法管理事业单位）履行一般行政管理职能、维持机关运行，用财政拨款安排的基本支出中的日常公用经费合计4497.57万元，主要用于：水电费、通讯费、办公用品购置、公车运行维护费、以及其他相关机关运行经费的等支出等。</w:t>
      </w:r>
    </w:p>
    <w:p w14:paraId="1E68A0CB" w14:textId="77777777" w:rsidR="006743E2" w:rsidRPr="006743E2" w:rsidRDefault="006743E2" w:rsidP="006743E2">
      <w:pPr>
        <w:widowControl/>
        <w:spacing w:line="560" w:lineRule="atLeast"/>
        <w:jc w:val="lef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b/>
          <w:bCs/>
          <w:color w:val="000000"/>
          <w:spacing w:val="15"/>
          <w:kern w:val="0"/>
          <w:sz w:val="24"/>
        </w:rPr>
        <w:t> </w:t>
      </w:r>
      <w:r w:rsidRPr="006743E2">
        <w:rPr>
          <w:rFonts w:ascii="宋体" w:hAnsi="宋体" w:cs="宋体" w:hint="eastAsia"/>
          <w:b/>
          <w:bCs/>
          <w:color w:val="000000"/>
          <w:spacing w:val="15"/>
          <w:kern w:val="0"/>
          <w:sz w:val="24"/>
        </w:rPr>
        <w:t>六、行政事业性收费重点项目信息说明</w:t>
      </w:r>
    </w:p>
    <w:p w14:paraId="2EED436B"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本单位不涉及此项内容。</w:t>
      </w:r>
    </w:p>
    <w:p w14:paraId="5F403823" w14:textId="77777777" w:rsidR="006743E2" w:rsidRPr="006743E2" w:rsidRDefault="006743E2" w:rsidP="006743E2">
      <w:pPr>
        <w:widowControl/>
        <w:spacing w:line="560" w:lineRule="atLeast"/>
        <w:ind w:firstLine="703"/>
        <w:jc w:val="left"/>
        <w:rPr>
          <w:rFonts w:ascii="宋体" w:hAnsi="宋体" w:cs="宋体" w:hint="eastAsia"/>
          <w:color w:val="000000"/>
          <w:kern w:val="0"/>
          <w:szCs w:val="21"/>
        </w:rPr>
      </w:pPr>
      <w:r w:rsidRPr="006743E2">
        <w:rPr>
          <w:rFonts w:ascii="宋体" w:hAnsi="宋体" w:cs="宋体" w:hint="eastAsia"/>
          <w:b/>
          <w:bCs/>
          <w:color w:val="000000"/>
          <w:spacing w:val="15"/>
          <w:kern w:val="0"/>
          <w:sz w:val="24"/>
        </w:rPr>
        <w:t>七、固定资产占用使用情况说明</w:t>
      </w:r>
    </w:p>
    <w:p w14:paraId="3DB66F81" w14:textId="77777777" w:rsidR="006743E2" w:rsidRPr="006743E2" w:rsidRDefault="006743E2" w:rsidP="006743E2">
      <w:pPr>
        <w:widowControl/>
        <w:spacing w:line="560" w:lineRule="atLeast"/>
        <w:ind w:firstLine="700"/>
        <w:jc w:val="left"/>
        <w:rPr>
          <w:rFonts w:ascii="宋体" w:hAnsi="宋体" w:cs="宋体" w:hint="eastAsia"/>
          <w:color w:val="000000"/>
          <w:kern w:val="0"/>
          <w:szCs w:val="21"/>
        </w:rPr>
      </w:pPr>
      <w:r w:rsidRPr="006743E2">
        <w:rPr>
          <w:rFonts w:ascii="宋体" w:hAnsi="宋体" w:cs="宋体" w:hint="eastAsia"/>
          <w:color w:val="000000"/>
          <w:spacing w:val="15"/>
          <w:kern w:val="0"/>
          <w:sz w:val="24"/>
        </w:rPr>
        <w:t>截止2019年底，本部门（包括各下属单位）固定资产总额2172.15万元，其中：车辆4台，26.66万元；单位价值50万元以上的通用设备0台（套）、0万元，单位价值100万元以上的专用设备0台（套）、0万元。</w:t>
      </w:r>
    </w:p>
    <w:p w14:paraId="1AE08B12" w14:textId="77777777" w:rsidR="006743E2" w:rsidRPr="006743E2" w:rsidRDefault="006743E2" w:rsidP="006743E2">
      <w:pPr>
        <w:widowControl/>
        <w:spacing w:line="440" w:lineRule="atLeast"/>
        <w:ind w:firstLine="703"/>
        <w:jc w:val="left"/>
        <w:rPr>
          <w:rFonts w:ascii="宋体" w:hAnsi="宋体" w:cs="宋体" w:hint="eastAsia"/>
          <w:color w:val="000000"/>
          <w:kern w:val="0"/>
          <w:szCs w:val="21"/>
        </w:rPr>
      </w:pPr>
      <w:r w:rsidRPr="006743E2">
        <w:rPr>
          <w:rFonts w:ascii="宋体" w:hAnsi="宋体" w:cs="宋体" w:hint="eastAsia"/>
          <w:b/>
          <w:bCs/>
          <w:color w:val="000000"/>
          <w:spacing w:val="15"/>
          <w:kern w:val="0"/>
          <w:sz w:val="24"/>
        </w:rPr>
        <w:t>八、部门“三公”经费财政拨款预算说明</w:t>
      </w:r>
    </w:p>
    <w:p w14:paraId="3343F7E6"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北京市丰台区南苑乡人民政府因公出国（境）费用、公务接待费、公务用车购置和运行维护费开支单位包括4个所属单位。北京市丰台区南苑乡人民政府因公出国（境）费用、公务接待费、公务用车购置和运行维护费，开支单位包括4个所属单位。</w:t>
      </w:r>
    </w:p>
    <w:p w14:paraId="5189FB89"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2019年“三公经费”财政拨款预算2.15万元，其中：</w:t>
      </w:r>
    </w:p>
    <w:p w14:paraId="35838D76"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（一）因公出国（境）费用</w:t>
      </w:r>
    </w:p>
    <w:p w14:paraId="12D6C7C7"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lastRenderedPageBreak/>
        <w:t>2019年预算数2.15万元，主要用于单位公务出国（境）的国际旅费、国外城市间交通费、住宿费、伙食费、培训费、公杂费等支出，同比下降（增长）0.00%，无变动。</w:t>
      </w:r>
    </w:p>
    <w:p w14:paraId="54BAE3F3"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（二）公务接待费</w:t>
      </w:r>
    </w:p>
    <w:p w14:paraId="20C7C622"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2019年预算数2.15万元，单位按规定开支的各类公务接待费用，同比下降（增长）0.00%，无变动。</w:t>
      </w:r>
    </w:p>
    <w:p w14:paraId="2B08CC90"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（三）公务用车购置和运行维护费</w:t>
      </w:r>
    </w:p>
    <w:p w14:paraId="0B9C6B5C"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2018年预算数0.00万元，同比下降（增长）0.00%，其中：公务用车购置费2017年预算数0.00万元，同比下降（增长）0.00%，无变动；公务用车运行维护费2018年预算数0.00万元，同比下降（增长）0.00%，无变动。</w:t>
      </w:r>
    </w:p>
    <w:p w14:paraId="0ACF60FF" w14:textId="77777777" w:rsidR="006743E2" w:rsidRPr="006743E2" w:rsidRDefault="006743E2" w:rsidP="006743E2">
      <w:pPr>
        <w:widowControl/>
        <w:ind w:firstLine="703"/>
        <w:rPr>
          <w:rFonts w:ascii="宋体" w:hAnsi="宋体" w:cs="宋体" w:hint="eastAsia"/>
          <w:color w:val="000000"/>
          <w:kern w:val="0"/>
          <w:szCs w:val="21"/>
        </w:rPr>
      </w:pPr>
      <w:r w:rsidRPr="006743E2">
        <w:rPr>
          <w:rFonts w:ascii="宋体" w:hAnsi="宋体" w:cs="宋体" w:hint="eastAsia"/>
          <w:b/>
          <w:bCs/>
          <w:color w:val="000000"/>
          <w:spacing w:val="15"/>
          <w:kern w:val="0"/>
          <w:sz w:val="24"/>
        </w:rPr>
        <w:t>九、预算绩效管理情况说明</w:t>
      </w:r>
    </w:p>
    <w:p w14:paraId="50C8CF6F"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丰台区南苑乡人民政府对2018年度部门项目支出实施绩效评价，评价项目3个，涉及金额186,373,840元，占项目金额（448,585,773.89元）的41.5%。评价项目中，采取简易程序评价的2个，开展一般程序评价的1个。现将工作开展情况概述如下：</w:t>
      </w:r>
    </w:p>
    <w:p w14:paraId="42CAA306"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一、工作开展情况</w:t>
      </w:r>
    </w:p>
    <w:p w14:paraId="72DD04E1" w14:textId="77777777" w:rsidR="006743E2" w:rsidRPr="006743E2" w:rsidRDefault="006743E2" w:rsidP="006743E2">
      <w:pPr>
        <w:widowControl/>
        <w:rPr>
          <w:rFonts w:ascii="宋体" w:hAnsi="宋体" w:cs="宋体" w:hint="eastAsia"/>
          <w:color w:val="000000"/>
          <w:kern w:val="0"/>
          <w:szCs w:val="21"/>
        </w:rPr>
      </w:pP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（一）组织机构</w:t>
      </w:r>
    </w:p>
    <w:p w14:paraId="24111491"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为确保2018年部门财政预算绩效自评工作（以下简称“部门自评”）的顺利开展，我乡成立了绩效自评领导小组，组长由常务副乡长王健担任，副组长由财政科科长徐君担任，成员由各科室负责人组成。领导小组全面负责部门自评工作，包括审定部门自评工作方案、确定评价对象、审定绩效评价报告等。领导小组下设办公室，办公室设在财政科，负责自评工作的具体组织实施，职责包括制定工作方案、业务培训、资料收集及初审、指导评价对象开展评价工作，形成绩效评价报告等。</w:t>
      </w:r>
    </w:p>
    <w:p w14:paraId="3E4EB6A6" w14:textId="77777777" w:rsidR="006743E2" w:rsidRPr="006743E2" w:rsidRDefault="006743E2" w:rsidP="006743E2">
      <w:pPr>
        <w:widowControl/>
        <w:rPr>
          <w:rFonts w:ascii="宋体" w:hAnsi="宋体" w:cs="宋体" w:hint="eastAsia"/>
          <w:color w:val="000000"/>
          <w:kern w:val="0"/>
          <w:szCs w:val="21"/>
        </w:rPr>
      </w:pP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（二）实施情况</w:t>
      </w:r>
    </w:p>
    <w:p w14:paraId="6CC1CC14" w14:textId="77777777" w:rsidR="006743E2" w:rsidRPr="006743E2" w:rsidRDefault="006743E2" w:rsidP="006743E2">
      <w:pPr>
        <w:widowControl/>
        <w:ind w:firstLine="640"/>
        <w:jc w:val="left"/>
        <w:rPr>
          <w:rFonts w:ascii="宋体" w:hAnsi="宋体" w:cs="宋体" w:hint="eastAsia"/>
          <w:color w:val="000000"/>
          <w:kern w:val="0"/>
          <w:szCs w:val="21"/>
        </w:rPr>
      </w:pPr>
      <w:r w:rsidRPr="006743E2">
        <w:rPr>
          <w:rFonts w:ascii="宋体" w:hAnsi="宋体" w:cs="宋体" w:hint="eastAsia"/>
          <w:color w:val="000000"/>
          <w:kern w:val="0"/>
          <w:sz w:val="24"/>
        </w:rPr>
        <w:t>按照《丰台区财政局关于2019年度区级预算部门自行开展绩效评价工作的通知》（丰财绩效〔2019〕550 号 ）要求，乡绩效领导小组周密筹划，认真部署，确定自评工作方案，从项目重要性、民生相关度、项目资金量三个维度综合考量，选定了2018年项目绩效考核名单，名单见表1。</w:t>
      </w:r>
    </w:p>
    <w:p w14:paraId="61BF09EF"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根据工作安排，绩效领导小组于6月初召集相关科室召开部门自评部署培训会。会上首先传达了市、区财政局开展绩效自评工作的文件精神，要求各科室认真领会绩效评价工作的重要意义；其次对简要评价程序和一般评价程序进行了讲解，重点介绍了《自评表》的填写要求；最后要求各科室明确工作任务，积极配合财政科上报各类材料。会后开展简要评价程序的各科室均积极行动，认真填报《项目支出绩效自评表》，经审核后由财政科汇总上报，相关文件见附表2-7。</w:t>
      </w:r>
    </w:p>
    <w:p w14:paraId="78ECFA9A" w14:textId="77777777" w:rsidR="006743E2" w:rsidRPr="006743E2" w:rsidRDefault="006743E2" w:rsidP="006743E2">
      <w:pPr>
        <w:widowControl/>
        <w:ind w:firstLine="643"/>
        <w:rPr>
          <w:rFonts w:ascii="宋体" w:hAnsi="宋体" w:cs="宋体" w:hint="eastAsia"/>
          <w:color w:val="000000"/>
          <w:kern w:val="0"/>
          <w:szCs w:val="21"/>
        </w:rPr>
      </w:pPr>
      <w:r w:rsidRPr="006743E2">
        <w:rPr>
          <w:rFonts w:ascii="宋体" w:hAnsi="宋体" w:cs="宋体" w:hint="eastAsia"/>
          <w:b/>
          <w:bCs/>
          <w:color w:val="000000"/>
          <w:kern w:val="0"/>
          <w:sz w:val="24"/>
        </w:rPr>
        <w:t>二、部门自评结果</w:t>
      </w:r>
    </w:p>
    <w:p w14:paraId="3656CB8D" w14:textId="77777777" w:rsidR="006743E2" w:rsidRPr="006743E2" w:rsidRDefault="006743E2" w:rsidP="006743E2">
      <w:pPr>
        <w:widowControl/>
        <w:ind w:left="420"/>
        <w:rPr>
          <w:rFonts w:ascii="宋体" w:hAnsi="宋体" w:cs="宋体" w:hint="eastAsia"/>
          <w:color w:val="000000"/>
          <w:kern w:val="0"/>
          <w:szCs w:val="21"/>
        </w:rPr>
      </w:pP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（一）简易程序评价项目</w:t>
      </w:r>
    </w:p>
    <w:p w14:paraId="3ACB9F63" w14:textId="77777777" w:rsidR="006743E2" w:rsidRPr="006743E2" w:rsidRDefault="006743E2" w:rsidP="006743E2">
      <w:pPr>
        <w:widowControl/>
        <w:spacing w:line="315" w:lineRule="atLeast"/>
        <w:ind w:firstLine="640"/>
        <w:rPr>
          <w:rFonts w:ascii="宋体" w:hAnsi="宋体" w:cs="宋体" w:hint="eastAsia"/>
          <w:color w:val="000000"/>
          <w:kern w:val="0"/>
          <w:szCs w:val="21"/>
        </w:rPr>
      </w:pPr>
      <w:r w:rsidRPr="006743E2">
        <w:rPr>
          <w:rFonts w:ascii="宋体" w:hAnsi="宋体" w:cs="宋体" w:hint="eastAsia"/>
          <w:color w:val="000000"/>
          <w:kern w:val="0"/>
          <w:sz w:val="24"/>
        </w:rPr>
        <w:t>截至2019年6月28日，2个简易程序评价项目中得分100-90的项目1个、得分90-80的项目1个，各占比50%。平均分88.5，总体结果为“良好”。</w:t>
      </w:r>
    </w:p>
    <w:tbl>
      <w:tblPr>
        <w:tblW w:w="9150" w:type="dxa"/>
        <w:tblCellMar>
          <w:left w:w="0" w:type="dxa"/>
          <w:right w:w="0" w:type="dxa"/>
        </w:tblCellMar>
        <w:tblLook w:val="04A0" w:firstRow="1" w:lastRow="0" w:firstColumn="1" w:lastColumn="0" w:noHBand="0" w:noVBand="1"/>
      </w:tblPr>
      <w:tblGrid>
        <w:gridCol w:w="600"/>
        <w:gridCol w:w="4065"/>
        <w:gridCol w:w="1155"/>
        <w:gridCol w:w="1080"/>
        <w:gridCol w:w="2250"/>
      </w:tblGrid>
      <w:tr w:rsidR="006743E2" w:rsidRPr="006743E2" w14:paraId="302C325D" w14:textId="77777777" w:rsidTr="006743E2">
        <w:trPr>
          <w:trHeight w:val="1136"/>
        </w:trPr>
        <w:tc>
          <w:tcPr>
            <w:tcW w:w="9150" w:type="dxa"/>
            <w:gridSpan w:val="5"/>
            <w:tcMar>
              <w:top w:w="15" w:type="dxa"/>
              <w:left w:w="15" w:type="dxa"/>
              <w:bottom w:w="15" w:type="dxa"/>
              <w:right w:w="15" w:type="dxa"/>
            </w:tcMar>
            <w:vAlign w:val="center"/>
            <w:hideMark/>
          </w:tcPr>
          <w:p w14:paraId="7F6352E0" w14:textId="77777777" w:rsidR="006743E2" w:rsidRDefault="006743E2" w:rsidP="006743E2">
            <w:pPr>
              <w:widowControl/>
              <w:jc w:val="center"/>
              <w:textAlignment w:val="center"/>
              <w:rPr>
                <w:rFonts w:ascii="宋体" w:hAnsi="宋体" w:cs="宋体"/>
                <w:color w:val="000000"/>
                <w:kern w:val="0"/>
                <w:sz w:val="24"/>
              </w:rPr>
            </w:pPr>
          </w:p>
          <w:p w14:paraId="0F7C1109" w14:textId="77777777" w:rsidR="006743E2" w:rsidRDefault="006743E2" w:rsidP="006743E2">
            <w:pPr>
              <w:widowControl/>
              <w:jc w:val="center"/>
              <w:textAlignment w:val="center"/>
              <w:rPr>
                <w:rFonts w:ascii="宋体" w:hAnsi="宋体" w:cs="宋体"/>
                <w:color w:val="000000"/>
                <w:kern w:val="0"/>
                <w:sz w:val="24"/>
              </w:rPr>
            </w:pPr>
          </w:p>
          <w:p w14:paraId="73221BA7" w14:textId="77777777" w:rsidR="006743E2" w:rsidRDefault="006743E2" w:rsidP="006743E2">
            <w:pPr>
              <w:widowControl/>
              <w:jc w:val="center"/>
              <w:textAlignment w:val="center"/>
              <w:rPr>
                <w:rFonts w:ascii="宋体" w:hAnsi="宋体" w:cs="宋体"/>
                <w:color w:val="000000"/>
                <w:kern w:val="0"/>
                <w:sz w:val="24"/>
              </w:rPr>
            </w:pPr>
          </w:p>
          <w:p w14:paraId="552E429E" w14:textId="77777777" w:rsidR="006743E2" w:rsidRDefault="006743E2" w:rsidP="006743E2">
            <w:pPr>
              <w:widowControl/>
              <w:jc w:val="center"/>
              <w:textAlignment w:val="center"/>
              <w:rPr>
                <w:rFonts w:ascii="宋体" w:hAnsi="宋体" w:cs="宋体"/>
                <w:color w:val="000000"/>
                <w:kern w:val="0"/>
                <w:sz w:val="24"/>
              </w:rPr>
            </w:pPr>
          </w:p>
          <w:p w14:paraId="2B53BD1B" w14:textId="77777777" w:rsidR="006743E2" w:rsidRDefault="006743E2" w:rsidP="006743E2">
            <w:pPr>
              <w:widowControl/>
              <w:jc w:val="center"/>
              <w:textAlignment w:val="center"/>
              <w:rPr>
                <w:rFonts w:ascii="宋体" w:hAnsi="宋体" w:cs="宋体"/>
                <w:color w:val="000000"/>
                <w:kern w:val="0"/>
                <w:sz w:val="24"/>
              </w:rPr>
            </w:pPr>
          </w:p>
          <w:p w14:paraId="30AE7787" w14:textId="6ABE8DD3"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lastRenderedPageBreak/>
              <w:t>南苑乡2018年绩效评价简易程序自评结果</w:t>
            </w:r>
          </w:p>
        </w:tc>
      </w:tr>
      <w:tr w:rsidR="006743E2" w:rsidRPr="006743E2" w14:paraId="0B88B877" w14:textId="77777777" w:rsidTr="006743E2">
        <w:trPr>
          <w:trHeight w:val="944"/>
        </w:trPr>
        <w:tc>
          <w:tcPr>
            <w:tcW w:w="60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4D5BB"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lastRenderedPageBreak/>
              <w:t>序号</w:t>
            </w:r>
          </w:p>
        </w:tc>
        <w:tc>
          <w:tcPr>
            <w:tcW w:w="406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AD82666"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项目名称</w:t>
            </w:r>
          </w:p>
        </w:tc>
        <w:tc>
          <w:tcPr>
            <w:tcW w:w="1155"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145EB20"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执行率</w:t>
            </w:r>
          </w:p>
        </w:tc>
        <w:tc>
          <w:tcPr>
            <w:tcW w:w="108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259FCD3"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得分</w:t>
            </w:r>
          </w:p>
        </w:tc>
        <w:tc>
          <w:tcPr>
            <w:tcW w:w="225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144E818"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备注</w:t>
            </w:r>
          </w:p>
        </w:tc>
      </w:tr>
      <w:tr w:rsidR="006743E2" w:rsidRPr="006743E2" w14:paraId="4DCA4BC1" w14:textId="77777777" w:rsidTr="006743E2">
        <w:trPr>
          <w:trHeight w:val="641"/>
        </w:trPr>
        <w:tc>
          <w:tcPr>
            <w:tcW w:w="60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19553F"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1</w:t>
            </w:r>
          </w:p>
        </w:tc>
        <w:tc>
          <w:tcPr>
            <w:tcW w:w="40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E80536" w14:textId="77777777" w:rsidR="006743E2" w:rsidRPr="006743E2" w:rsidRDefault="006743E2" w:rsidP="006743E2">
            <w:pPr>
              <w:widowControl/>
              <w:jc w:val="left"/>
              <w:textAlignment w:val="center"/>
              <w:rPr>
                <w:rFonts w:ascii="宋体" w:hAnsi="宋体" w:cs="宋体" w:hint="eastAsia"/>
                <w:kern w:val="0"/>
                <w:szCs w:val="21"/>
              </w:rPr>
            </w:pPr>
            <w:r w:rsidRPr="006743E2">
              <w:rPr>
                <w:rFonts w:ascii="宋体" w:hAnsi="宋体" w:cs="宋体" w:hint="eastAsia"/>
                <w:color w:val="000000"/>
                <w:kern w:val="0"/>
                <w:sz w:val="24"/>
              </w:rPr>
              <w:t>木樨园长途客运站疏解资金</w:t>
            </w:r>
          </w:p>
        </w:tc>
        <w:tc>
          <w:tcPr>
            <w:tcW w:w="115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1CD2B6"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100%</w:t>
            </w:r>
          </w:p>
        </w:tc>
        <w:tc>
          <w:tcPr>
            <w:tcW w:w="10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CC981C"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90</w:t>
            </w:r>
          </w:p>
        </w:tc>
        <w:tc>
          <w:tcPr>
            <w:tcW w:w="22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F45E17" w14:textId="77777777" w:rsidR="006743E2" w:rsidRPr="006743E2" w:rsidRDefault="006743E2" w:rsidP="006743E2">
            <w:pPr>
              <w:widowControl/>
              <w:rPr>
                <w:rFonts w:ascii="宋体" w:hAnsi="宋体" w:cs="宋体" w:hint="eastAsia"/>
                <w:kern w:val="0"/>
                <w:szCs w:val="21"/>
              </w:rPr>
            </w:pPr>
            <w:r w:rsidRPr="006743E2">
              <w:rPr>
                <w:rFonts w:ascii="宋体" w:hAnsi="宋体" w:cs="宋体" w:hint="eastAsia"/>
                <w:color w:val="000000"/>
                <w:kern w:val="0"/>
                <w:sz w:val="24"/>
              </w:rPr>
              <w:t> </w:t>
            </w:r>
          </w:p>
        </w:tc>
      </w:tr>
      <w:tr w:rsidR="006743E2" w:rsidRPr="006743E2" w14:paraId="48C5BFE4" w14:textId="77777777" w:rsidTr="006743E2">
        <w:trPr>
          <w:trHeight w:val="716"/>
        </w:trPr>
        <w:tc>
          <w:tcPr>
            <w:tcW w:w="600"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C91C2E"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2</w:t>
            </w:r>
          </w:p>
        </w:tc>
        <w:tc>
          <w:tcPr>
            <w:tcW w:w="406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4AEE39" w14:textId="77777777" w:rsidR="006743E2" w:rsidRPr="006743E2" w:rsidRDefault="006743E2" w:rsidP="006743E2">
            <w:pPr>
              <w:widowControl/>
              <w:jc w:val="left"/>
              <w:textAlignment w:val="center"/>
              <w:rPr>
                <w:rFonts w:ascii="宋体" w:hAnsi="宋体" w:cs="宋体" w:hint="eastAsia"/>
                <w:kern w:val="0"/>
                <w:szCs w:val="21"/>
              </w:rPr>
            </w:pPr>
            <w:r w:rsidRPr="006743E2">
              <w:rPr>
                <w:rFonts w:ascii="宋体" w:hAnsi="宋体" w:cs="宋体" w:hint="eastAsia"/>
                <w:color w:val="000000"/>
                <w:kern w:val="0"/>
                <w:sz w:val="24"/>
              </w:rPr>
              <w:t>区域性市场及仓储物流设施疏解专项资金</w:t>
            </w:r>
          </w:p>
        </w:tc>
        <w:tc>
          <w:tcPr>
            <w:tcW w:w="115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A1CE8E"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100%</w:t>
            </w:r>
          </w:p>
        </w:tc>
        <w:tc>
          <w:tcPr>
            <w:tcW w:w="10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7E1339"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87</w:t>
            </w:r>
          </w:p>
        </w:tc>
        <w:tc>
          <w:tcPr>
            <w:tcW w:w="22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8B4524A" w14:textId="77777777" w:rsidR="006743E2" w:rsidRPr="006743E2" w:rsidRDefault="006743E2" w:rsidP="006743E2">
            <w:pPr>
              <w:widowControl/>
              <w:rPr>
                <w:rFonts w:ascii="宋体" w:hAnsi="宋体" w:cs="宋体" w:hint="eastAsia"/>
                <w:kern w:val="0"/>
                <w:szCs w:val="21"/>
              </w:rPr>
            </w:pPr>
            <w:r w:rsidRPr="006743E2">
              <w:rPr>
                <w:rFonts w:ascii="宋体" w:hAnsi="宋体" w:cs="宋体" w:hint="eastAsia"/>
                <w:color w:val="000000"/>
                <w:kern w:val="0"/>
                <w:sz w:val="24"/>
              </w:rPr>
              <w:t> </w:t>
            </w:r>
          </w:p>
        </w:tc>
      </w:tr>
      <w:tr w:rsidR="006743E2" w:rsidRPr="006743E2" w14:paraId="57D7B6D1" w14:textId="77777777" w:rsidTr="006743E2">
        <w:trPr>
          <w:trHeight w:val="480"/>
        </w:trPr>
        <w:tc>
          <w:tcPr>
            <w:tcW w:w="466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55F73F4"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平均分</w:t>
            </w:r>
          </w:p>
        </w:tc>
        <w:tc>
          <w:tcPr>
            <w:tcW w:w="115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9F04796" w14:textId="77777777" w:rsidR="006743E2" w:rsidRPr="006743E2" w:rsidRDefault="006743E2" w:rsidP="006743E2">
            <w:pPr>
              <w:widowControl/>
              <w:jc w:val="center"/>
              <w:rPr>
                <w:rFonts w:ascii="宋体" w:hAnsi="宋体" w:cs="宋体" w:hint="eastAsia"/>
                <w:kern w:val="0"/>
                <w:szCs w:val="21"/>
              </w:rPr>
            </w:pPr>
            <w:r w:rsidRPr="006743E2">
              <w:rPr>
                <w:rFonts w:ascii="宋体" w:hAnsi="宋体" w:cs="宋体" w:hint="eastAsia"/>
                <w:color w:val="000000"/>
                <w:kern w:val="0"/>
                <w:sz w:val="24"/>
              </w:rPr>
              <w:t>100%</w:t>
            </w:r>
          </w:p>
        </w:tc>
        <w:tc>
          <w:tcPr>
            <w:tcW w:w="108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F70735" w14:textId="77777777" w:rsidR="006743E2" w:rsidRPr="006743E2" w:rsidRDefault="006743E2" w:rsidP="006743E2">
            <w:pPr>
              <w:widowControl/>
              <w:jc w:val="center"/>
              <w:textAlignment w:val="center"/>
              <w:rPr>
                <w:rFonts w:ascii="宋体" w:hAnsi="宋体" w:cs="宋体" w:hint="eastAsia"/>
                <w:kern w:val="0"/>
                <w:szCs w:val="21"/>
              </w:rPr>
            </w:pPr>
            <w:r w:rsidRPr="006743E2">
              <w:rPr>
                <w:rFonts w:ascii="宋体" w:hAnsi="宋体" w:cs="宋体" w:hint="eastAsia"/>
                <w:color w:val="000000"/>
                <w:kern w:val="0"/>
                <w:sz w:val="24"/>
              </w:rPr>
              <w:t>88.5</w:t>
            </w:r>
          </w:p>
        </w:tc>
        <w:tc>
          <w:tcPr>
            <w:tcW w:w="22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DC3B31" w14:textId="77777777" w:rsidR="006743E2" w:rsidRPr="006743E2" w:rsidRDefault="006743E2" w:rsidP="006743E2">
            <w:pPr>
              <w:widowControl/>
              <w:rPr>
                <w:rFonts w:ascii="宋体" w:hAnsi="宋体" w:cs="宋体" w:hint="eastAsia"/>
                <w:kern w:val="0"/>
                <w:szCs w:val="21"/>
              </w:rPr>
            </w:pPr>
            <w:r w:rsidRPr="006743E2">
              <w:rPr>
                <w:rFonts w:ascii="宋体" w:hAnsi="宋体" w:cs="宋体" w:hint="eastAsia"/>
                <w:color w:val="000000"/>
                <w:kern w:val="0"/>
                <w:sz w:val="24"/>
              </w:rPr>
              <w:t> </w:t>
            </w:r>
          </w:p>
        </w:tc>
      </w:tr>
    </w:tbl>
    <w:p w14:paraId="0F841126" w14:textId="77777777" w:rsidR="006743E2" w:rsidRPr="006743E2" w:rsidRDefault="006743E2" w:rsidP="006743E2">
      <w:pPr>
        <w:widowControl/>
        <w:rPr>
          <w:rFonts w:ascii="宋体" w:hAnsi="宋体" w:cs="宋体" w:hint="eastAsia"/>
          <w:color w:val="000000"/>
          <w:kern w:val="0"/>
          <w:szCs w:val="21"/>
        </w:rPr>
      </w:pPr>
      <w:r w:rsidRPr="006743E2">
        <w:rPr>
          <w:rFonts w:ascii="宋体" w:hAnsi="宋体" w:cs="宋体" w:hint="eastAsia"/>
          <w:color w:val="000000"/>
          <w:kern w:val="0"/>
          <w:sz w:val="24"/>
        </w:rPr>
        <w:t> </w:t>
      </w:r>
    </w:p>
    <w:p w14:paraId="5892A4B6" w14:textId="77777777" w:rsidR="006743E2" w:rsidRPr="006743E2" w:rsidRDefault="006743E2" w:rsidP="006743E2">
      <w:pPr>
        <w:widowControl/>
        <w:ind w:left="420"/>
        <w:rPr>
          <w:rFonts w:ascii="宋体" w:hAnsi="宋体" w:cs="宋体" w:hint="eastAsia"/>
          <w:color w:val="000000"/>
          <w:kern w:val="0"/>
          <w:szCs w:val="21"/>
        </w:rPr>
      </w:pP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（二）一般程序评价项目</w:t>
      </w:r>
    </w:p>
    <w:p w14:paraId="0CC5C604" w14:textId="77777777" w:rsidR="006743E2" w:rsidRPr="006743E2" w:rsidRDefault="006743E2" w:rsidP="006743E2">
      <w:pPr>
        <w:widowControl/>
        <w:ind w:firstLine="640"/>
        <w:rPr>
          <w:rFonts w:ascii="宋体" w:hAnsi="宋体" w:cs="宋体" w:hint="eastAsia"/>
          <w:color w:val="000000"/>
          <w:kern w:val="0"/>
          <w:szCs w:val="21"/>
        </w:rPr>
      </w:pPr>
      <w:r w:rsidRPr="006743E2">
        <w:rPr>
          <w:rFonts w:ascii="宋体" w:hAnsi="宋体" w:cs="宋体" w:hint="eastAsia"/>
          <w:color w:val="000000"/>
          <w:kern w:val="0"/>
          <w:sz w:val="24"/>
        </w:rPr>
        <w:t>为突出财政资金绩效考评意义，经绩效领导小组研究决定，2018年一般程序评价项目选定为“大红门服装商贸城三期关停补贴”项目，项目资金15,351.24万元。绩效领导小组认真学习《丰台区财政局绩效评价工作手册》及《北京市财政支出绩效评价实施细则》等相关文件，本着节约、经济、高效的原则，决定由乡处级领导组成专家评价组，严格按照专家绩效评价会程序组织评价，最终评定该项目得分为84.57分，等级为“良好”。相关情况详见附件4《丰台区财政支出项目绩效评价报告（“大红门服装商贸城三期关停补贴”项目）》。</w:t>
      </w:r>
    </w:p>
    <w:p w14:paraId="1A4A5083" w14:textId="77777777" w:rsidR="006743E2" w:rsidRPr="006743E2" w:rsidRDefault="006743E2" w:rsidP="006743E2">
      <w:pPr>
        <w:widowControl/>
        <w:spacing w:line="560" w:lineRule="atLeast"/>
        <w:ind w:firstLine="640"/>
        <w:jc w:val="left"/>
        <w:rPr>
          <w:rFonts w:ascii="宋体" w:hAnsi="宋体" w:cs="宋体" w:hint="eastAsia"/>
          <w:color w:val="000000"/>
          <w:kern w:val="0"/>
          <w:szCs w:val="21"/>
        </w:rPr>
      </w:pPr>
      <w:r w:rsidRPr="006743E2">
        <w:rPr>
          <w:rFonts w:ascii="宋体" w:hAnsi="宋体" w:cs="宋体" w:hint="eastAsia"/>
          <w:b/>
          <w:bCs/>
          <w:color w:val="000000"/>
          <w:kern w:val="0"/>
          <w:sz w:val="24"/>
        </w:rPr>
        <w:t>十、</w:t>
      </w:r>
      <w:r w:rsidRPr="006743E2">
        <w:rPr>
          <w:rFonts w:ascii="宋体" w:hAnsi="宋体" w:cs="宋体" w:hint="eastAsia"/>
          <w:b/>
          <w:bCs/>
          <w:color w:val="000000"/>
          <w:spacing w:val="15"/>
          <w:kern w:val="0"/>
          <w:sz w:val="24"/>
        </w:rPr>
        <w:t>其他事项说明</w:t>
      </w:r>
    </w:p>
    <w:p w14:paraId="2FFF68E3" w14:textId="77777777" w:rsidR="006743E2" w:rsidRPr="006743E2" w:rsidRDefault="006743E2" w:rsidP="006743E2">
      <w:pPr>
        <w:widowControl/>
        <w:spacing w:line="560" w:lineRule="atLeast"/>
        <w:ind w:firstLine="640"/>
        <w:jc w:val="left"/>
        <w:rPr>
          <w:rFonts w:ascii="宋体" w:hAnsi="宋体" w:cs="宋体" w:hint="eastAsia"/>
          <w:color w:val="000000"/>
          <w:kern w:val="0"/>
          <w:szCs w:val="21"/>
        </w:rPr>
      </w:pPr>
      <w:r w:rsidRPr="006743E2">
        <w:rPr>
          <w:rFonts w:ascii="宋体" w:hAnsi="宋体" w:cs="宋体" w:hint="eastAsia"/>
          <w:color w:val="000000"/>
          <w:spacing w:val="15"/>
          <w:kern w:val="0"/>
          <w:sz w:val="24"/>
        </w:rPr>
        <w:t>无</w:t>
      </w:r>
    </w:p>
    <w:p w14:paraId="7467A840" w14:textId="77777777" w:rsidR="006743E2" w:rsidRPr="006743E2" w:rsidRDefault="006743E2" w:rsidP="006743E2">
      <w:pPr>
        <w:widowControl/>
        <w:spacing w:line="440" w:lineRule="atLeast"/>
        <w:rPr>
          <w:rFonts w:ascii="宋体" w:hAnsi="宋体" w:cs="宋体" w:hint="eastAsia"/>
          <w:color w:val="000000"/>
          <w:kern w:val="0"/>
          <w:szCs w:val="21"/>
        </w:rPr>
      </w:pP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color w:val="000000"/>
          <w:spacing w:val="15"/>
          <w:kern w:val="0"/>
          <w:sz w:val="24"/>
          <w:shd w:val="clear" w:color="auto" w:fill="FFFFFF"/>
        </w:rPr>
        <w:t> </w:t>
      </w:r>
      <w:r w:rsidRPr="006743E2">
        <w:rPr>
          <w:rFonts w:ascii="宋体" w:hAnsi="宋体" w:cs="宋体" w:hint="eastAsia"/>
          <w:b/>
          <w:bCs/>
          <w:color w:val="000000"/>
          <w:spacing w:val="15"/>
          <w:kern w:val="0"/>
          <w:sz w:val="24"/>
        </w:rPr>
        <w:t>十一、专业名词解释</w:t>
      </w:r>
    </w:p>
    <w:p w14:paraId="47AE8CA5" w14:textId="77777777" w:rsidR="006743E2" w:rsidRPr="006743E2" w:rsidRDefault="006743E2" w:rsidP="006743E2">
      <w:pPr>
        <w:widowControl/>
        <w:spacing w:line="480" w:lineRule="atLeast"/>
        <w:rPr>
          <w:rFonts w:ascii="宋体" w:hAnsi="宋体" w:cs="宋体" w:hint="eastAsia"/>
          <w:color w:val="000000"/>
          <w:kern w:val="0"/>
          <w:szCs w:val="21"/>
        </w:rPr>
      </w:pP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预算：</w:t>
      </w:r>
      <w:r w:rsidRPr="006743E2">
        <w:rPr>
          <w:rFonts w:ascii="宋体" w:hAnsi="宋体" w:cs="宋体" w:hint="eastAsia"/>
          <w:color w:val="000000"/>
          <w:kern w:val="0"/>
          <w:sz w:val="24"/>
        </w:rPr>
        <w:t>指遵循统筹兼顾、勤俭节约、量力而行、讲求绩效和收支平衡的原则编制，经法定程序审核批准的国家年度集中性财政收支计划。政府的全部收入和支出都应当纳入预算，地方各级预算一般不列赤字。</w:t>
      </w:r>
    </w:p>
    <w:p w14:paraId="0E567747"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政府预算体系：</w:t>
      </w:r>
      <w:r w:rsidRPr="006743E2">
        <w:rPr>
          <w:rFonts w:ascii="宋体" w:hAnsi="宋体" w:cs="宋体" w:hint="eastAsia"/>
          <w:color w:val="000000"/>
          <w:kern w:val="0"/>
          <w:sz w:val="24"/>
        </w:rPr>
        <w:t>由一般公共预算、政府性基金预算、国有资本经营预算和社会保险基金预算共同组成。四本预算保持完整、独立并相衔接，全面反映政府收支总量、结构和管理活动。</w:t>
      </w:r>
    </w:p>
    <w:p w14:paraId="262A9066"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一般公共预算：</w:t>
      </w:r>
      <w:r w:rsidRPr="006743E2">
        <w:rPr>
          <w:rFonts w:ascii="宋体" w:hAnsi="宋体" w:cs="宋体" w:hint="eastAsia"/>
          <w:color w:val="000000"/>
          <w:kern w:val="0"/>
          <w:sz w:val="24"/>
        </w:rPr>
        <w:t>对以税收为主体的财政收入，安排用于保障和改善民生、推动经济社会发展、维护国家安全、维持国家机构正常运转等方面的收支预算。</w:t>
      </w:r>
    </w:p>
    <w:p w14:paraId="49F255F9"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政府性基金预算：</w:t>
      </w:r>
      <w:r w:rsidRPr="006743E2">
        <w:rPr>
          <w:rFonts w:ascii="宋体" w:hAnsi="宋体" w:cs="宋体" w:hint="eastAsia"/>
          <w:color w:val="000000"/>
          <w:kern w:val="0"/>
          <w:sz w:val="24"/>
        </w:rPr>
        <w:t>对依照法律、行政法规的规定在一定期限内向特定对象征收、收取或者以其他方式筹集的资金，专项用于特定公共事业发展的收支预算。</w:t>
      </w:r>
      <w:r w:rsidRPr="006743E2">
        <w:rPr>
          <w:rFonts w:ascii="宋体" w:hAnsi="宋体" w:cs="宋体" w:hint="eastAsia"/>
          <w:color w:val="000000"/>
          <w:kern w:val="0"/>
          <w:sz w:val="24"/>
        </w:rPr>
        <w:lastRenderedPageBreak/>
        <w:t>政府性基金预算应当根据基金项目收入情况和实际支出需要，按基金项目编制，做到以收定支。</w:t>
      </w:r>
    </w:p>
    <w:p w14:paraId="70D8FEC8"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部门预算:</w:t>
      </w:r>
      <w:r w:rsidRPr="006743E2">
        <w:rPr>
          <w:rFonts w:ascii="宋体" w:hAnsi="宋体" w:cs="宋体" w:hint="eastAsia"/>
          <w:color w:val="000000"/>
          <w:kern w:val="0"/>
          <w:sz w:val="24"/>
        </w:rPr>
        <w:t>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14:paraId="4FB329E1"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政府采购: </w:t>
      </w:r>
      <w:r w:rsidRPr="006743E2">
        <w:rPr>
          <w:rFonts w:ascii="宋体" w:hAnsi="宋体" w:cs="宋体" w:hint="eastAsia"/>
          <w:color w:val="000000"/>
          <w:kern w:val="0"/>
          <w:sz w:val="24"/>
        </w:rPr>
        <w:t>指各级国家机关、事业单位和团体组织，使用财政性资金采购依法制定的集中采购目录以内的或者采购限额标准以上的货物、工程和服务的行为。政府采购是规范财政支出管理和强化预算约束的有效措施。</w:t>
      </w:r>
    </w:p>
    <w:p w14:paraId="275A73E2"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预算绩效管理：</w:t>
      </w:r>
      <w:r w:rsidRPr="006743E2">
        <w:rPr>
          <w:rFonts w:ascii="宋体" w:hAnsi="宋体" w:cs="宋体" w:hint="eastAsia"/>
          <w:color w:val="000000"/>
          <w:kern w:val="0"/>
          <w:sz w:val="24"/>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14:paraId="541C6218"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财政投资评审：</w:t>
      </w:r>
      <w:r w:rsidRPr="006743E2">
        <w:rPr>
          <w:rFonts w:ascii="宋体" w:hAnsi="宋体" w:cs="宋体" w:hint="eastAsia"/>
          <w:color w:val="000000"/>
          <w:kern w:val="0"/>
          <w:sz w:val="24"/>
        </w:rPr>
        <w:t>指财政部门为加强财政资金管理，提高财政预算编制的科学性、准确性，运用技术手段对财政性资金投资项目预、决（结）算进行评价审查和专项检查的行为。财政投资评审是财政部门项目支出预算编制的重要环节和手段。</w:t>
      </w:r>
    </w:p>
    <w:p w14:paraId="5FEC0703"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“三公”经费：</w:t>
      </w:r>
      <w:r w:rsidRPr="006743E2">
        <w:rPr>
          <w:rFonts w:ascii="宋体" w:hAnsi="宋体" w:cs="宋体" w:hint="eastAsia"/>
          <w:color w:val="000000"/>
          <w:kern w:val="0"/>
          <w:sz w:val="24"/>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14:paraId="7CD5E530"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政府购买服务：</w:t>
      </w:r>
      <w:r w:rsidRPr="006743E2">
        <w:rPr>
          <w:rFonts w:ascii="宋体" w:hAnsi="宋体" w:cs="宋体" w:hint="eastAsia"/>
          <w:color w:val="000000"/>
          <w:kern w:val="0"/>
          <w:sz w:val="24"/>
        </w:rPr>
        <w:t>指通过发挥市场机制作用，把政府直接向社会公众提供的公共服务等事项，按照一定的方式和程序，交由具备条件的社会力量承担，并由政府根据服务数量和质量向其支付费用。</w:t>
      </w:r>
    </w:p>
    <w:p w14:paraId="34C6603E"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lastRenderedPageBreak/>
        <w:t>机关运行经费：</w:t>
      </w:r>
      <w:r w:rsidRPr="006743E2">
        <w:rPr>
          <w:rFonts w:ascii="宋体" w:hAnsi="宋体" w:cs="宋体" w:hint="eastAsia"/>
          <w:color w:val="000000"/>
          <w:kern w:val="0"/>
          <w:sz w:val="24"/>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9670377" w14:textId="77777777" w:rsidR="006743E2" w:rsidRPr="006743E2" w:rsidRDefault="006743E2" w:rsidP="006743E2">
      <w:pPr>
        <w:widowControl/>
        <w:spacing w:line="480" w:lineRule="atLeast"/>
        <w:ind w:firstLine="602"/>
        <w:rPr>
          <w:rFonts w:ascii="宋体" w:hAnsi="宋体" w:cs="宋体" w:hint="eastAsia"/>
          <w:color w:val="000000"/>
          <w:kern w:val="0"/>
          <w:szCs w:val="21"/>
        </w:rPr>
      </w:pPr>
      <w:r w:rsidRPr="006743E2">
        <w:rPr>
          <w:rFonts w:ascii="宋体" w:hAnsi="宋体" w:cs="宋体" w:hint="eastAsia"/>
          <w:b/>
          <w:bCs/>
          <w:color w:val="000000"/>
          <w:kern w:val="0"/>
          <w:sz w:val="24"/>
        </w:rPr>
        <w:t>部门整体支出绩效评价：</w:t>
      </w:r>
      <w:r w:rsidRPr="006743E2">
        <w:rPr>
          <w:rFonts w:ascii="宋体" w:hAnsi="宋体" w:cs="宋体" w:hint="eastAsia"/>
          <w:color w:val="000000"/>
          <w:kern w:val="0"/>
          <w:sz w:val="24"/>
        </w:rPr>
        <w:t>是对包括部门整体基本支出和项目支出在内的整体预算支出的绩效评价，评价以项目支出为重点。一般以预算年度为周期，对跨年度的重点项目可根据项目支出完成情况实施阶段性评价。</w:t>
      </w:r>
    </w:p>
    <w:p w14:paraId="3FFCB702" w14:textId="77777777" w:rsidR="006743E2" w:rsidRPr="006743E2" w:rsidRDefault="006743E2" w:rsidP="006743E2">
      <w:pPr>
        <w:widowControl/>
        <w:spacing w:line="480" w:lineRule="atLeast"/>
        <w:ind w:firstLine="602"/>
        <w:rPr>
          <w:rFonts w:ascii="宋体" w:hAnsi="宋体" w:cs="宋体" w:hint="eastAsia"/>
          <w:color w:val="000000"/>
          <w:kern w:val="0"/>
          <w:szCs w:val="21"/>
        </w:rPr>
      </w:pPr>
    </w:p>
    <w:p w14:paraId="5D05AC34" w14:textId="77777777" w:rsidR="006743E2" w:rsidRPr="006743E2" w:rsidRDefault="006743E2" w:rsidP="006743E2">
      <w:pPr>
        <w:widowControl/>
        <w:spacing w:line="560" w:lineRule="atLeast"/>
        <w:jc w:val="center"/>
        <w:rPr>
          <w:rFonts w:ascii="宋体" w:hAnsi="宋体" w:cs="宋体" w:hint="eastAsia"/>
          <w:color w:val="000000"/>
          <w:kern w:val="0"/>
          <w:szCs w:val="21"/>
        </w:rPr>
      </w:pPr>
      <w:r w:rsidRPr="006743E2">
        <w:rPr>
          <w:rFonts w:ascii="宋体" w:hAnsi="宋体" w:cs="宋体" w:hint="eastAsia"/>
          <w:b/>
          <w:bCs/>
          <w:color w:val="000000"/>
          <w:kern w:val="0"/>
          <w:sz w:val="24"/>
        </w:rPr>
        <w:t>第二部分</w:t>
      </w:r>
      <w:r w:rsidRPr="006743E2">
        <w:rPr>
          <w:rFonts w:ascii="宋体" w:hAnsi="宋体" w:cs="宋体" w:hint="eastAsia"/>
          <w:b/>
          <w:bCs/>
          <w:color w:val="000000"/>
          <w:kern w:val="0"/>
          <w:sz w:val="24"/>
        </w:rPr>
        <w:t> </w:t>
      </w:r>
      <w:r w:rsidRPr="006743E2">
        <w:rPr>
          <w:rFonts w:ascii="宋体" w:hAnsi="宋体" w:cs="宋体" w:hint="eastAsia"/>
          <w:b/>
          <w:bCs/>
          <w:color w:val="000000"/>
          <w:kern w:val="0"/>
          <w:sz w:val="24"/>
        </w:rPr>
        <w:t>2019年部门预算表</w:t>
      </w:r>
    </w:p>
    <w:p w14:paraId="04925036" w14:textId="3DAC36FC" w:rsidR="004D0F74" w:rsidRDefault="004D0F74" w:rsidP="006743E2">
      <w:pPr>
        <w:widowControl/>
        <w:adjustRightInd w:val="0"/>
        <w:spacing w:line="560" w:lineRule="atLeast"/>
        <w:jc w:val="left"/>
        <w:rPr>
          <w:rFonts w:ascii="仿宋_GB2312" w:eastAsia="仿宋_GB2312" w:hAnsi="Calibri"/>
          <w:sz w:val="30"/>
          <w:szCs w:val="30"/>
        </w:rPr>
      </w:pPr>
    </w:p>
    <w:p w14:paraId="7C1BC968" w14:textId="77777777" w:rsidR="004D0F74" w:rsidRDefault="004D0F74">
      <w:pPr>
        <w:widowControl/>
        <w:adjustRightInd w:val="0"/>
        <w:spacing w:line="560" w:lineRule="exact"/>
        <w:ind w:firstLineChars="200" w:firstLine="700"/>
        <w:jc w:val="left"/>
        <w:rPr>
          <w:rFonts w:ascii="仿宋_GB2312" w:eastAsia="仿宋_GB2312" w:hAnsi="宋体" w:cs="宋体"/>
          <w:color w:val="000000"/>
          <w:spacing w:val="15"/>
          <w:kern w:val="0"/>
          <w:sz w:val="32"/>
          <w:szCs w:val="32"/>
        </w:rPr>
      </w:pPr>
    </w:p>
    <w:sectPr w:rsidR="004D0F7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777B" w14:textId="77777777" w:rsidR="00E248CE" w:rsidRDefault="00E248CE">
      <w:r>
        <w:separator/>
      </w:r>
    </w:p>
  </w:endnote>
  <w:endnote w:type="continuationSeparator" w:id="0">
    <w:p w14:paraId="420C18D3" w14:textId="77777777" w:rsidR="00E248CE" w:rsidRDefault="00E2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C135" w14:textId="77777777" w:rsidR="004D0F74" w:rsidRDefault="00E248C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D631427" w14:textId="77777777" w:rsidR="004D0F74" w:rsidRDefault="004D0F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974C" w14:textId="77777777" w:rsidR="004D0F74" w:rsidRDefault="00E248C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w:t>
    </w:r>
    <w:r>
      <w:rPr>
        <w:rStyle w:val="a8"/>
      </w:rPr>
      <w:fldChar w:fldCharType="end"/>
    </w:r>
  </w:p>
  <w:p w14:paraId="6BC5252F" w14:textId="77777777" w:rsidR="004D0F74" w:rsidRDefault="004D0F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6248" w14:textId="77777777" w:rsidR="00E248CE" w:rsidRDefault="00E248CE">
      <w:r>
        <w:separator/>
      </w:r>
    </w:p>
  </w:footnote>
  <w:footnote w:type="continuationSeparator" w:id="0">
    <w:p w14:paraId="75F0D414" w14:textId="77777777" w:rsidR="00E248CE" w:rsidRDefault="00E2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E3135"/>
    <w:multiLevelType w:val="singleLevel"/>
    <w:tmpl w:val="A3AE3135"/>
    <w:lvl w:ilvl="0">
      <w:start w:val="1"/>
      <w:numFmt w:val="chineseCounting"/>
      <w:suff w:val="nothing"/>
      <w:lvlText w:val="%1、"/>
      <w:lvlJc w:val="left"/>
      <w:rPr>
        <w:rFonts w:hint="eastAsia"/>
      </w:rPr>
    </w:lvl>
  </w:abstractNum>
  <w:abstractNum w:abstractNumId="1" w15:restartNumberingAfterBreak="0">
    <w:nsid w:val="DE3591DA"/>
    <w:multiLevelType w:val="singleLevel"/>
    <w:tmpl w:val="DE3591DA"/>
    <w:lvl w:ilvl="0">
      <w:start w:val="9"/>
      <w:numFmt w:val="chineseCounting"/>
      <w:suff w:val="nothing"/>
      <w:lvlText w:val="%1、"/>
      <w:lvlJc w:val="left"/>
      <w:rPr>
        <w:rFonts w:hint="eastAsia"/>
      </w:rPr>
    </w:lvl>
  </w:abstractNum>
  <w:abstractNum w:abstractNumId="2" w15:restartNumberingAfterBreak="0">
    <w:nsid w:val="51CD151F"/>
    <w:multiLevelType w:val="singleLevel"/>
    <w:tmpl w:val="51CD151F"/>
    <w:lvl w:ilvl="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6CA"/>
    <w:rsid w:val="00006093"/>
    <w:rsid w:val="0002206B"/>
    <w:rsid w:val="0005310A"/>
    <w:rsid w:val="00053526"/>
    <w:rsid w:val="000716D8"/>
    <w:rsid w:val="000753D3"/>
    <w:rsid w:val="000847A3"/>
    <w:rsid w:val="000A7926"/>
    <w:rsid w:val="000B45CC"/>
    <w:rsid w:val="000D4F2D"/>
    <w:rsid w:val="000D5B6A"/>
    <w:rsid w:val="000E2F77"/>
    <w:rsid w:val="000E7FB5"/>
    <w:rsid w:val="00117039"/>
    <w:rsid w:val="00121660"/>
    <w:rsid w:val="00123870"/>
    <w:rsid w:val="00124752"/>
    <w:rsid w:val="00142EB2"/>
    <w:rsid w:val="001462CB"/>
    <w:rsid w:val="00151199"/>
    <w:rsid w:val="00161E80"/>
    <w:rsid w:val="001C4FDB"/>
    <w:rsid w:val="001F2007"/>
    <w:rsid w:val="00212936"/>
    <w:rsid w:val="0023098B"/>
    <w:rsid w:val="00231621"/>
    <w:rsid w:val="00234471"/>
    <w:rsid w:val="002401C0"/>
    <w:rsid w:val="0024417E"/>
    <w:rsid w:val="00270FF9"/>
    <w:rsid w:val="00271EBC"/>
    <w:rsid w:val="00273DC9"/>
    <w:rsid w:val="00293FF3"/>
    <w:rsid w:val="002A69A3"/>
    <w:rsid w:val="002A6CAD"/>
    <w:rsid w:val="002A7284"/>
    <w:rsid w:val="0031191E"/>
    <w:rsid w:val="00324967"/>
    <w:rsid w:val="00343486"/>
    <w:rsid w:val="003B0F4C"/>
    <w:rsid w:val="003B247C"/>
    <w:rsid w:val="003C01E4"/>
    <w:rsid w:val="003C064B"/>
    <w:rsid w:val="003C1FE2"/>
    <w:rsid w:val="003D026D"/>
    <w:rsid w:val="003D174B"/>
    <w:rsid w:val="003E0662"/>
    <w:rsid w:val="003E3F40"/>
    <w:rsid w:val="004249F5"/>
    <w:rsid w:val="004257F5"/>
    <w:rsid w:val="00440E34"/>
    <w:rsid w:val="00440E8E"/>
    <w:rsid w:val="00447425"/>
    <w:rsid w:val="004709DD"/>
    <w:rsid w:val="00483669"/>
    <w:rsid w:val="00496C6B"/>
    <w:rsid w:val="004A470E"/>
    <w:rsid w:val="004D0F74"/>
    <w:rsid w:val="004F4E38"/>
    <w:rsid w:val="00506A0A"/>
    <w:rsid w:val="0055299C"/>
    <w:rsid w:val="00554C47"/>
    <w:rsid w:val="00564DF9"/>
    <w:rsid w:val="005911E9"/>
    <w:rsid w:val="00597F2A"/>
    <w:rsid w:val="005A791A"/>
    <w:rsid w:val="005B2187"/>
    <w:rsid w:val="005B4B1C"/>
    <w:rsid w:val="005C7051"/>
    <w:rsid w:val="005D6229"/>
    <w:rsid w:val="005E420A"/>
    <w:rsid w:val="005E75AE"/>
    <w:rsid w:val="005F1980"/>
    <w:rsid w:val="006135D2"/>
    <w:rsid w:val="0066493A"/>
    <w:rsid w:val="006666B4"/>
    <w:rsid w:val="006743E2"/>
    <w:rsid w:val="00675693"/>
    <w:rsid w:val="00682731"/>
    <w:rsid w:val="00684C8E"/>
    <w:rsid w:val="00694C46"/>
    <w:rsid w:val="006A4177"/>
    <w:rsid w:val="006B1EF0"/>
    <w:rsid w:val="006B3148"/>
    <w:rsid w:val="006D4BF4"/>
    <w:rsid w:val="006E0D3D"/>
    <w:rsid w:val="007006D0"/>
    <w:rsid w:val="00707A00"/>
    <w:rsid w:val="00720828"/>
    <w:rsid w:val="00732307"/>
    <w:rsid w:val="007335BC"/>
    <w:rsid w:val="007400E0"/>
    <w:rsid w:val="00741070"/>
    <w:rsid w:val="00747F9E"/>
    <w:rsid w:val="0075226A"/>
    <w:rsid w:val="00763056"/>
    <w:rsid w:val="00790A99"/>
    <w:rsid w:val="007A2FFD"/>
    <w:rsid w:val="007A47FC"/>
    <w:rsid w:val="007B44E6"/>
    <w:rsid w:val="007C0A32"/>
    <w:rsid w:val="007C7153"/>
    <w:rsid w:val="007D4A54"/>
    <w:rsid w:val="007D67BC"/>
    <w:rsid w:val="00822793"/>
    <w:rsid w:val="00830F65"/>
    <w:rsid w:val="0083537F"/>
    <w:rsid w:val="00861DE2"/>
    <w:rsid w:val="00870491"/>
    <w:rsid w:val="008738F8"/>
    <w:rsid w:val="008833B1"/>
    <w:rsid w:val="008B3FBB"/>
    <w:rsid w:val="00902E43"/>
    <w:rsid w:val="00916833"/>
    <w:rsid w:val="0093100A"/>
    <w:rsid w:val="009348A5"/>
    <w:rsid w:val="00945800"/>
    <w:rsid w:val="009500E8"/>
    <w:rsid w:val="00950600"/>
    <w:rsid w:val="009534F9"/>
    <w:rsid w:val="009737A6"/>
    <w:rsid w:val="00985CC1"/>
    <w:rsid w:val="009911EC"/>
    <w:rsid w:val="009934B2"/>
    <w:rsid w:val="009A2285"/>
    <w:rsid w:val="009A6932"/>
    <w:rsid w:val="009A7476"/>
    <w:rsid w:val="009B3EAF"/>
    <w:rsid w:val="009B6C26"/>
    <w:rsid w:val="009E443E"/>
    <w:rsid w:val="009E5351"/>
    <w:rsid w:val="009E7BE4"/>
    <w:rsid w:val="00A005AE"/>
    <w:rsid w:val="00A11341"/>
    <w:rsid w:val="00A44116"/>
    <w:rsid w:val="00A60B77"/>
    <w:rsid w:val="00A746E8"/>
    <w:rsid w:val="00A86284"/>
    <w:rsid w:val="00A868F4"/>
    <w:rsid w:val="00AA1784"/>
    <w:rsid w:val="00AA4A56"/>
    <w:rsid w:val="00AB2D9C"/>
    <w:rsid w:val="00AC26D8"/>
    <w:rsid w:val="00AC2D7D"/>
    <w:rsid w:val="00AD0EB4"/>
    <w:rsid w:val="00AD2AE5"/>
    <w:rsid w:val="00AD745E"/>
    <w:rsid w:val="00AF300D"/>
    <w:rsid w:val="00AF462E"/>
    <w:rsid w:val="00B04186"/>
    <w:rsid w:val="00B0727F"/>
    <w:rsid w:val="00B216CA"/>
    <w:rsid w:val="00B3738E"/>
    <w:rsid w:val="00B44F4B"/>
    <w:rsid w:val="00B66751"/>
    <w:rsid w:val="00B81B7E"/>
    <w:rsid w:val="00B82585"/>
    <w:rsid w:val="00B8684D"/>
    <w:rsid w:val="00B86AB2"/>
    <w:rsid w:val="00BA47E3"/>
    <w:rsid w:val="00BC7F77"/>
    <w:rsid w:val="00BD4403"/>
    <w:rsid w:val="00BE0D19"/>
    <w:rsid w:val="00BF2B46"/>
    <w:rsid w:val="00BF3019"/>
    <w:rsid w:val="00C01321"/>
    <w:rsid w:val="00C111E3"/>
    <w:rsid w:val="00C142E2"/>
    <w:rsid w:val="00C220C2"/>
    <w:rsid w:val="00C27ACE"/>
    <w:rsid w:val="00C32DF3"/>
    <w:rsid w:val="00C3437A"/>
    <w:rsid w:val="00C35B99"/>
    <w:rsid w:val="00C65F37"/>
    <w:rsid w:val="00C712E1"/>
    <w:rsid w:val="00C9244E"/>
    <w:rsid w:val="00CA6D6A"/>
    <w:rsid w:val="00CB76FF"/>
    <w:rsid w:val="00CE0DE2"/>
    <w:rsid w:val="00CE2E9A"/>
    <w:rsid w:val="00CF307C"/>
    <w:rsid w:val="00D06AAA"/>
    <w:rsid w:val="00D13B03"/>
    <w:rsid w:val="00D56B79"/>
    <w:rsid w:val="00D57ED7"/>
    <w:rsid w:val="00D6094E"/>
    <w:rsid w:val="00D70225"/>
    <w:rsid w:val="00DB24A4"/>
    <w:rsid w:val="00DC1647"/>
    <w:rsid w:val="00DC1D93"/>
    <w:rsid w:val="00DC6C1B"/>
    <w:rsid w:val="00DD0642"/>
    <w:rsid w:val="00DF7F3C"/>
    <w:rsid w:val="00E02DDB"/>
    <w:rsid w:val="00E20AD7"/>
    <w:rsid w:val="00E248CE"/>
    <w:rsid w:val="00E40E6F"/>
    <w:rsid w:val="00E41AAF"/>
    <w:rsid w:val="00E4570A"/>
    <w:rsid w:val="00E549B7"/>
    <w:rsid w:val="00E56BFB"/>
    <w:rsid w:val="00E61E3D"/>
    <w:rsid w:val="00E65E31"/>
    <w:rsid w:val="00E9181B"/>
    <w:rsid w:val="00E9454D"/>
    <w:rsid w:val="00E94588"/>
    <w:rsid w:val="00EA1A30"/>
    <w:rsid w:val="00EA7F9D"/>
    <w:rsid w:val="00EB317B"/>
    <w:rsid w:val="00EC2246"/>
    <w:rsid w:val="00EC7D78"/>
    <w:rsid w:val="00ED654F"/>
    <w:rsid w:val="00F22786"/>
    <w:rsid w:val="00F23B33"/>
    <w:rsid w:val="00F24415"/>
    <w:rsid w:val="00F429D8"/>
    <w:rsid w:val="00F701E1"/>
    <w:rsid w:val="00F90AE6"/>
    <w:rsid w:val="00F94CDD"/>
    <w:rsid w:val="00FB1E62"/>
    <w:rsid w:val="00FC3945"/>
    <w:rsid w:val="00FF5747"/>
    <w:rsid w:val="00FF767F"/>
    <w:rsid w:val="02332D8E"/>
    <w:rsid w:val="025E14E9"/>
    <w:rsid w:val="06A83863"/>
    <w:rsid w:val="2B2D64D0"/>
    <w:rsid w:val="43D06074"/>
    <w:rsid w:val="4B022032"/>
    <w:rsid w:val="6466199B"/>
    <w:rsid w:val="65B719BB"/>
    <w:rsid w:val="676A0921"/>
    <w:rsid w:val="678508E4"/>
    <w:rsid w:val="6D43005D"/>
    <w:rsid w:val="73135A68"/>
    <w:rsid w:val="76081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8E50"/>
  <w15:docId w15:val="{FAC6C6F7-4E7D-4F61-92DD-0D54D155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a7">
    <w:name w:val="页眉 字符"/>
    <w:link w:val="a6"/>
    <w:qFormat/>
    <w:rPr>
      <w:kern w:val="2"/>
      <w:sz w:val="18"/>
      <w:szCs w:val="18"/>
    </w:rPr>
  </w:style>
  <w:style w:type="character" w:customStyle="1" w:styleId="a4">
    <w:name w:val="批注框文本 字符"/>
    <w:link w:val="a3"/>
    <w:qFormat/>
    <w:rPr>
      <w:kern w:val="2"/>
      <w:sz w:val="18"/>
      <w:szCs w:val="18"/>
    </w:rPr>
  </w:style>
  <w:style w:type="paragraph" w:styleId="a9">
    <w:name w:val="Normal (Web)"/>
    <w:basedOn w:val="a"/>
    <w:uiPriority w:val="99"/>
    <w:unhideWhenUsed/>
    <w:rsid w:val="006743E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3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贾志芳</dc:creator>
  <cp:lastModifiedBy>张 硕</cp:lastModifiedBy>
  <cp:revision>43</cp:revision>
  <cp:lastPrinted>2019-01-18T07:47:00Z</cp:lastPrinted>
  <dcterms:created xsi:type="dcterms:W3CDTF">2016-12-08T01:57:00Z</dcterms:created>
  <dcterms:modified xsi:type="dcterms:W3CDTF">2021-06-29T03:44:00Z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DC404E8AD17846AA97CD38F1420CDA13</vt:lpwstr>
  </property>
</Properties>
</file>