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Style w:val="5"/>
          <w:rFonts w:hint="eastAsia" w:asciiTheme="majorEastAsia" w:hAnsiTheme="majorEastAsia" w:eastAsiaTheme="majorEastAsia" w:cstheme="majorEastAsia"/>
          <w:color w:val="404040"/>
          <w:sz w:val="32"/>
          <w:szCs w:val="32"/>
          <w:shd w:val="clear" w:color="auto" w:fill="FFFFFF"/>
        </w:rPr>
      </w:pPr>
      <w:r>
        <w:rPr>
          <w:rStyle w:val="5"/>
          <w:rFonts w:hint="eastAsia" w:asciiTheme="majorEastAsia" w:hAnsiTheme="majorEastAsia" w:eastAsiaTheme="majorEastAsia" w:cstheme="majorEastAsia"/>
          <w:color w:val="404040"/>
          <w:sz w:val="32"/>
          <w:szCs w:val="32"/>
          <w:shd w:val="clear" w:color="auto" w:fill="FFFFFF"/>
        </w:rPr>
        <w:t>2020年部门</w:t>
      </w:r>
      <w:r>
        <w:rPr>
          <w:rStyle w:val="5"/>
          <w:rFonts w:hint="eastAsia" w:asciiTheme="majorEastAsia" w:hAnsiTheme="majorEastAsia" w:eastAsiaTheme="majorEastAsia" w:cstheme="majorEastAsia"/>
          <w:color w:val="404040"/>
          <w:sz w:val="32"/>
          <w:szCs w:val="32"/>
          <w:shd w:val="clear" w:color="auto" w:fill="FFFFFF"/>
          <w:lang w:val="en-US" w:eastAsia="zh-CN"/>
        </w:rPr>
        <w:t>预算编制</w:t>
      </w:r>
      <w:r>
        <w:rPr>
          <w:rStyle w:val="5"/>
          <w:rFonts w:hint="eastAsia" w:asciiTheme="majorEastAsia" w:hAnsiTheme="majorEastAsia" w:eastAsiaTheme="majorEastAsia" w:cstheme="majorEastAsia"/>
          <w:color w:val="404040"/>
          <w:sz w:val="32"/>
          <w:szCs w:val="32"/>
          <w:shd w:val="clear" w:color="auto" w:fill="FFFFFF"/>
        </w:rPr>
        <w:t>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eastAsia" w:asciiTheme="majorEastAsia" w:hAnsiTheme="majorEastAsia" w:eastAsiaTheme="majorEastAsia" w:cstheme="majorEastAsia"/>
          <w:b/>
          <w:bCs/>
          <w:i w:val="0"/>
          <w:iCs w:val="0"/>
          <w:caps w:val="0"/>
          <w:color w:val="404040"/>
          <w:spacing w:val="15"/>
          <w:sz w:val="28"/>
          <w:szCs w:val="28"/>
          <w:u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eastAsia" w:asciiTheme="majorEastAsia" w:hAnsiTheme="majorEastAsia" w:eastAsiaTheme="majorEastAsia" w:cstheme="majorEastAsia"/>
          <w:b/>
          <w:bCs/>
          <w:i w:val="0"/>
          <w:iCs w:val="0"/>
          <w:caps w:val="0"/>
          <w:color w:val="404040"/>
          <w:spacing w:val="0"/>
          <w:sz w:val="28"/>
          <w:szCs w:val="28"/>
          <w:u w:val="none"/>
        </w:rPr>
      </w:pPr>
      <w:r>
        <w:rPr>
          <w:rFonts w:hint="eastAsia" w:asciiTheme="majorEastAsia" w:hAnsiTheme="majorEastAsia" w:eastAsiaTheme="majorEastAsia" w:cstheme="majorEastAsia"/>
          <w:b/>
          <w:bCs/>
          <w:i w:val="0"/>
          <w:iCs w:val="0"/>
          <w:caps w:val="0"/>
          <w:color w:val="404040"/>
          <w:spacing w:val="15"/>
          <w:sz w:val="28"/>
          <w:szCs w:val="28"/>
          <w:u w:val="none"/>
          <w:shd w:val="clear" w:fill="FFFFFF"/>
        </w:rPr>
        <w:t>一、部门基本情况</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丰台区文化和旅游局为2019年3月新组建单位，其职能主要为：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1.贯彻落实国家和北京市关于文化、文物、广播电视和旅游工作的法律法规、规章和政策，推进文化和旅游融合发展及体制机制改革，统筹规划本区公共文化、文博事业、文化市场和旅游产业的发展，拟订发展规划和年度计划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2.参与国家、北京市旅游整体形象的对外宣传和重大推广活动，促进旅游产业对外合作和市场推广，负责制定本区旅游市场开发战略并组织实施，指导、推进全域旅游；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3.负责本区公共文化事业和旅游产业发展，管理本区重大文化和旅游活动，指导公共文化设施和旅游设施建设，推进文化和旅游公共服务体系建设，深入实施文化惠民工程，统筹推进基本公共文化服务标准化、均等化和旅游服务标准化、便利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4.指导、管理本区文艺事业，指导艺术创作生产，扶持体现社会主义核心价值观、具有导向性代表性示范性和鲜明地区性的文艺作品，推动群众文化各门类艺术、各艺术品种发展；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5.指导、推进本区文化和旅游与科技融合创新发展，推进文化和旅游行业信息化、标准化建设；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6.负责本区非物质文化遗产保护、保存，推动非物质文化遗产的保护、传承、传播和发展，组织实施非物质文化遗产保护和优秀民族文化普及工作；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7.组织实施文化和旅游资源普查、挖掘、保护和利用工作，促进文化事业和旅游产业融合发展；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8.指导本区文化和旅游市场发展，负责对文化和旅游市场经营进行行业监管，推进文化和旅游业信用体系建设，依法规范文化和旅游市场；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9.负责推动完善文物和博物馆公共服务体系建设；负责本区文物保护管理，会同有关部门负责历史文化名城保护和监督管理工作；负责考古调查、勘探和发掘工作；负责本区文物保护的宣传工作；指导本区博物馆的业务 工作；指导相关专业人员的科研、培训和交流活动；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10.负责本区文化、文物、广播电视和旅游监管方面行政审批工作。负责制定本区行政审批项目办理流程、审批标准并组织实施；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11.负责文化、文物、旅游安全工作的综合协调和监督管理。协调文化、文物、旅游重大安全突发事件应急处置工作；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12.协助区委宣传部指导本区文化市场综合执法，组织查处全区文化、文物、出版、广播电视、电影、旅游等市场的违法行为，维护市场秩序；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13.完成区委、区政府交办的其他任务。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000000"/>
          <w:spacing w:val="15"/>
          <w:sz w:val="28"/>
          <w:szCs w:val="28"/>
          <w:u w:val="none"/>
          <w:shd w:val="clear" w:fill="FFFFFF"/>
        </w:rPr>
      </w:pPr>
      <w:r>
        <w:rPr>
          <w:rFonts w:hint="eastAsia" w:asciiTheme="majorEastAsia" w:hAnsiTheme="majorEastAsia" w:eastAsiaTheme="majorEastAsia" w:cstheme="majorEastAsia"/>
          <w:i w:val="0"/>
          <w:iCs w:val="0"/>
          <w:caps w:val="0"/>
          <w:color w:val="000000"/>
          <w:spacing w:val="15"/>
          <w:sz w:val="28"/>
          <w:szCs w:val="28"/>
          <w:u w:val="none"/>
          <w:shd w:val="clear" w:fill="FFFFFF"/>
        </w:rPr>
        <w:t>丰台区文化和旅游局</w:t>
      </w: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设办公室、法制宣传科、公共服务科、文物管理科、行业监督管理科、产业发展科、资源开发科和组织人事科，包括丰台区文化委员会行政执法队、丰台区图书馆、丰台区文化馆、丰台区文物管理所和丰台区旅游服务中心5个下属单位</w:t>
      </w:r>
      <w:r>
        <w:rPr>
          <w:rFonts w:hint="eastAsia" w:asciiTheme="majorEastAsia" w:hAnsiTheme="majorEastAsia" w:eastAsiaTheme="majorEastAsia" w:cstheme="majorEastAsia"/>
          <w:i w:val="0"/>
          <w:iCs w:val="0"/>
          <w:caps w:val="0"/>
          <w:color w:val="000000"/>
          <w:spacing w:val="15"/>
          <w:sz w:val="28"/>
          <w:szCs w:val="28"/>
          <w:u w:val="none"/>
          <w:shd w:val="clear" w:fill="FFFFFF"/>
        </w:rPr>
        <w:t>。截至2019年底，共有行政编制58人，实际49人；事业编制138人，实际113人；离退休人员115人。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eastAsia" w:asciiTheme="majorEastAsia" w:hAnsiTheme="majorEastAsia" w:eastAsiaTheme="majorEastAsia" w:cstheme="majorEastAsia"/>
          <w:b/>
          <w:bCs/>
          <w:i w:val="0"/>
          <w:iCs w:val="0"/>
          <w:caps w:val="0"/>
          <w:color w:val="404040"/>
          <w:spacing w:val="15"/>
          <w:sz w:val="28"/>
          <w:szCs w:val="28"/>
          <w:u w:val="none"/>
          <w:shd w:val="clear" w:fill="FFFFFF"/>
        </w:rPr>
      </w:pPr>
      <w:r>
        <w:rPr>
          <w:rFonts w:hint="eastAsia" w:asciiTheme="majorEastAsia" w:hAnsiTheme="majorEastAsia" w:eastAsiaTheme="majorEastAsia" w:cstheme="majorEastAsia"/>
          <w:b/>
          <w:bCs/>
          <w:i w:val="0"/>
          <w:iCs w:val="0"/>
          <w:caps w:val="0"/>
          <w:color w:val="404040"/>
          <w:spacing w:val="15"/>
          <w:sz w:val="28"/>
          <w:szCs w:val="28"/>
          <w:u w:val="none"/>
          <w:shd w:val="clear" w:fill="FFFFFF"/>
        </w:rPr>
        <w:t>二、2020年收入及支出总体情况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7"/>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2020年部门收入预算11,937.22万元，同比2019年增加11,937.22万元，增长100%，</w:t>
      </w: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原因是：</w:t>
      </w:r>
      <w:r>
        <w:rPr>
          <w:rFonts w:hint="eastAsia" w:asciiTheme="majorEastAsia" w:hAnsiTheme="majorEastAsia" w:eastAsiaTheme="majorEastAsia" w:cstheme="majorEastAsia"/>
          <w:i w:val="0"/>
          <w:iCs w:val="0"/>
          <w:caps w:val="0"/>
          <w:color w:val="000000"/>
          <w:spacing w:val="15"/>
          <w:sz w:val="28"/>
          <w:szCs w:val="28"/>
          <w:u w:val="none"/>
          <w:shd w:val="clear" w:fill="FFFFFF"/>
        </w:rPr>
        <w:t>丰台区文化和旅游局为2019年3月新组建单位</w:t>
      </w:r>
      <w:r>
        <w:rPr>
          <w:rFonts w:hint="eastAsia" w:asciiTheme="majorEastAsia" w:hAnsiTheme="majorEastAsia" w:eastAsiaTheme="majorEastAsia" w:cstheme="majorEastAsia"/>
          <w:i w:val="0"/>
          <w:iCs w:val="0"/>
          <w:caps w:val="0"/>
          <w:color w:val="000000"/>
          <w:spacing w:val="15"/>
          <w:sz w:val="28"/>
          <w:szCs w:val="28"/>
          <w:u w:val="none"/>
          <w:shd w:val="clear" w:fill="FFFFFF"/>
          <w:lang w:eastAsia="zh-CN"/>
        </w:rPr>
        <w:t>，</w:t>
      </w: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2019年初无</w:t>
      </w:r>
      <w:r>
        <w:rPr>
          <w:rFonts w:hint="eastAsia" w:asciiTheme="majorEastAsia" w:hAnsiTheme="majorEastAsia" w:eastAsiaTheme="majorEastAsia" w:cstheme="majorEastAsia"/>
          <w:i w:val="0"/>
          <w:iCs w:val="0"/>
          <w:caps w:val="0"/>
          <w:color w:val="000000"/>
          <w:spacing w:val="15"/>
          <w:sz w:val="28"/>
          <w:szCs w:val="28"/>
          <w:u w:val="none"/>
          <w:shd w:val="clear" w:fill="FFFFFF"/>
        </w:rPr>
        <w:t>部门收入预算</w:t>
      </w: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w:t>
      </w:r>
      <w:r>
        <w:rPr>
          <w:rFonts w:hint="eastAsia" w:asciiTheme="majorEastAsia" w:hAnsiTheme="majorEastAsia" w:eastAsiaTheme="majorEastAsia" w:cstheme="majorEastAsia"/>
          <w:i w:val="0"/>
          <w:iCs w:val="0"/>
          <w:caps w:val="0"/>
          <w:color w:val="000000"/>
          <w:spacing w:val="15"/>
          <w:sz w:val="28"/>
          <w:szCs w:val="28"/>
          <w:u w:val="none"/>
          <w:shd w:val="clear" w:fill="FFFFFF"/>
        </w:rPr>
        <w:t>其中：财政拨款11,932.90万元，上级补助收入0万元，事业收入0万元，经营收入0万元，附属单位缴款0万元，其他收入0万元，用事业基金弥补收支差额0万元，上年结转和结余4.32万元。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7"/>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2020年部门支出预算11,937.22万元，比2019年增加11,937.22万元，增长100%，</w:t>
      </w: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原因是：</w:t>
      </w:r>
      <w:r>
        <w:rPr>
          <w:rFonts w:hint="eastAsia" w:asciiTheme="majorEastAsia" w:hAnsiTheme="majorEastAsia" w:eastAsiaTheme="majorEastAsia" w:cstheme="majorEastAsia"/>
          <w:i w:val="0"/>
          <w:iCs w:val="0"/>
          <w:caps w:val="0"/>
          <w:color w:val="000000"/>
          <w:spacing w:val="15"/>
          <w:sz w:val="28"/>
          <w:szCs w:val="28"/>
          <w:u w:val="none"/>
          <w:shd w:val="clear" w:fill="FFFFFF"/>
        </w:rPr>
        <w:t>丰台区文化和旅游局为2019年3月新组建单位</w:t>
      </w:r>
      <w:r>
        <w:rPr>
          <w:rFonts w:hint="eastAsia" w:asciiTheme="majorEastAsia" w:hAnsiTheme="majorEastAsia" w:eastAsiaTheme="majorEastAsia" w:cstheme="majorEastAsia"/>
          <w:i w:val="0"/>
          <w:iCs w:val="0"/>
          <w:caps w:val="0"/>
          <w:color w:val="000000"/>
          <w:spacing w:val="15"/>
          <w:sz w:val="28"/>
          <w:szCs w:val="28"/>
          <w:u w:val="none"/>
          <w:shd w:val="clear" w:fill="FFFFFF"/>
          <w:lang w:eastAsia="zh-CN"/>
        </w:rPr>
        <w:t>，</w:t>
      </w: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2019年初无</w:t>
      </w:r>
      <w:r>
        <w:rPr>
          <w:rFonts w:hint="eastAsia" w:asciiTheme="majorEastAsia" w:hAnsiTheme="majorEastAsia" w:eastAsiaTheme="majorEastAsia" w:cstheme="majorEastAsia"/>
          <w:i w:val="0"/>
          <w:iCs w:val="0"/>
          <w:caps w:val="0"/>
          <w:color w:val="000000"/>
          <w:spacing w:val="15"/>
          <w:sz w:val="28"/>
          <w:szCs w:val="28"/>
          <w:u w:val="none"/>
          <w:shd w:val="clear" w:fill="FFFFFF"/>
        </w:rPr>
        <w:t>部门</w:t>
      </w: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支出</w:t>
      </w:r>
      <w:r>
        <w:rPr>
          <w:rFonts w:hint="eastAsia" w:asciiTheme="majorEastAsia" w:hAnsiTheme="majorEastAsia" w:eastAsiaTheme="majorEastAsia" w:cstheme="majorEastAsia"/>
          <w:i w:val="0"/>
          <w:iCs w:val="0"/>
          <w:caps w:val="0"/>
          <w:color w:val="000000"/>
          <w:spacing w:val="15"/>
          <w:sz w:val="28"/>
          <w:szCs w:val="28"/>
          <w:u w:val="none"/>
          <w:shd w:val="clear" w:fill="FFFFFF"/>
        </w:rPr>
        <w:t>预算</w:t>
      </w:r>
      <w:r>
        <w:rPr>
          <w:rFonts w:hint="eastAsia" w:asciiTheme="majorEastAsia" w:hAnsiTheme="majorEastAsia" w:eastAsiaTheme="majorEastAsia" w:cstheme="majorEastAsia"/>
          <w:i w:val="0"/>
          <w:iCs w:val="0"/>
          <w:caps w:val="0"/>
          <w:color w:val="000000"/>
          <w:spacing w:val="15"/>
          <w:sz w:val="28"/>
          <w:szCs w:val="28"/>
          <w:u w:val="none"/>
          <w:shd w:val="clear" w:fill="FFFFFF"/>
          <w:lang w:eastAsia="zh-CN"/>
        </w:rPr>
        <w:t>。</w:t>
      </w:r>
      <w:r>
        <w:rPr>
          <w:rFonts w:hint="eastAsia" w:asciiTheme="majorEastAsia" w:hAnsiTheme="majorEastAsia" w:eastAsiaTheme="majorEastAsia" w:cstheme="majorEastAsia"/>
          <w:i w:val="0"/>
          <w:iCs w:val="0"/>
          <w:caps w:val="0"/>
          <w:color w:val="000000"/>
          <w:spacing w:val="15"/>
          <w:sz w:val="28"/>
          <w:szCs w:val="28"/>
          <w:u w:val="none"/>
          <w:shd w:val="clear" w:fill="FFFFFF"/>
        </w:rPr>
        <w:t>其中</w:t>
      </w:r>
      <w:r>
        <w:rPr>
          <w:rFonts w:hint="eastAsia" w:asciiTheme="majorEastAsia" w:hAnsiTheme="majorEastAsia" w:eastAsiaTheme="majorEastAsia" w:cstheme="majorEastAsia"/>
          <w:i w:val="0"/>
          <w:iCs w:val="0"/>
          <w:caps w:val="0"/>
          <w:color w:val="000000"/>
          <w:spacing w:val="15"/>
          <w:sz w:val="28"/>
          <w:szCs w:val="28"/>
          <w:u w:val="none"/>
          <w:shd w:val="clear" w:fill="FFFFFF"/>
          <w:lang w:eastAsia="zh-CN"/>
        </w:rPr>
        <w:t>：</w:t>
      </w:r>
      <w:r>
        <w:rPr>
          <w:rFonts w:hint="eastAsia" w:asciiTheme="majorEastAsia" w:hAnsiTheme="majorEastAsia" w:eastAsiaTheme="majorEastAsia" w:cstheme="majorEastAsia"/>
          <w:i w:val="0"/>
          <w:iCs w:val="0"/>
          <w:caps w:val="0"/>
          <w:color w:val="000000"/>
          <w:spacing w:val="15"/>
          <w:sz w:val="28"/>
          <w:szCs w:val="28"/>
          <w:u w:val="none"/>
          <w:shd w:val="clear" w:fill="FFFFFF"/>
        </w:rPr>
        <w:t>基本支出预算5,185.62万元，项目支出预算6,751.60万元。按支出功能分类，一般公共服务支出4.32万元；教育支出12.42万元；文化旅游体育与传媒支出10,300.24万元；社会保障和就业支出721.65万元；卫生健康支出45.00万元；商业服务业等支出14.06万元；住房保障支出764.69万元；灾害防治及应急管理支出74.84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eastAsia" w:asciiTheme="majorEastAsia" w:hAnsiTheme="majorEastAsia" w:eastAsiaTheme="majorEastAsia" w:cstheme="majorEastAsia"/>
          <w:b/>
          <w:bCs/>
          <w:i w:val="0"/>
          <w:iCs w:val="0"/>
          <w:caps w:val="0"/>
          <w:color w:val="404040"/>
          <w:spacing w:val="15"/>
          <w:sz w:val="28"/>
          <w:szCs w:val="28"/>
          <w:u w:val="none"/>
          <w:shd w:val="clear" w:fill="FFFFFF"/>
        </w:rPr>
      </w:pPr>
      <w:r>
        <w:rPr>
          <w:rFonts w:hint="eastAsia" w:asciiTheme="majorEastAsia" w:hAnsiTheme="majorEastAsia" w:eastAsiaTheme="majorEastAsia" w:cstheme="majorEastAsia"/>
          <w:b/>
          <w:bCs/>
          <w:i w:val="0"/>
          <w:iCs w:val="0"/>
          <w:caps w:val="0"/>
          <w:color w:val="404040"/>
          <w:spacing w:val="15"/>
          <w:sz w:val="28"/>
          <w:szCs w:val="28"/>
          <w:u w:val="none"/>
          <w:shd w:val="clear" w:fill="FFFFFF"/>
        </w:rPr>
        <w:t>三、主要支出内容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上述支出中，主要用于以下内容：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1、行政机关、事业单位人员工资及日常运转经费；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2、全区文化设施建设及系列文化活动经费等；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3、举办声乐、舞蹈、书法、文化活动策划与组织协调等各类培训经费；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4、农村文艺演出“星火工程”及周末场演出等文化惠民工程经费等；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5、文化信息资源共享工程基层点维护、文化设施设备运维经费等；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6、基层图书网点建设及图书购置经费；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7、文化市场监管工作经费等；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8、区文物修缮与非物质文化遗产保护经费等。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eastAsia" w:asciiTheme="majorEastAsia" w:hAnsiTheme="majorEastAsia" w:eastAsiaTheme="majorEastAsia" w:cstheme="majorEastAsia"/>
          <w:b/>
          <w:bCs/>
          <w:i w:val="0"/>
          <w:iCs w:val="0"/>
          <w:caps w:val="0"/>
          <w:color w:val="404040"/>
          <w:spacing w:val="15"/>
          <w:sz w:val="28"/>
          <w:szCs w:val="28"/>
          <w:u w:val="none"/>
          <w:shd w:val="clear" w:fill="FFFFFF"/>
        </w:rPr>
      </w:pPr>
      <w:r>
        <w:rPr>
          <w:rFonts w:hint="eastAsia" w:asciiTheme="majorEastAsia" w:hAnsiTheme="majorEastAsia" w:eastAsiaTheme="majorEastAsia" w:cstheme="majorEastAsia"/>
          <w:b/>
          <w:bCs/>
          <w:i w:val="0"/>
          <w:iCs w:val="0"/>
          <w:caps w:val="0"/>
          <w:color w:val="404040"/>
          <w:spacing w:val="15"/>
          <w:sz w:val="28"/>
          <w:szCs w:val="28"/>
          <w:u w:val="none"/>
          <w:shd w:val="clear" w:fill="FFFFFF"/>
        </w:rPr>
        <w:t>四、政府采购情况说明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2020年政府采购预算总额为2,456.40万元，其中：政府采购货物预算629.35万元，政府采购工程预算167.57万元，政府采购服务预算1,659.48万元。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eastAsia" w:asciiTheme="majorEastAsia" w:hAnsiTheme="majorEastAsia" w:eastAsiaTheme="majorEastAsia" w:cstheme="majorEastAsia"/>
          <w:b/>
          <w:bCs/>
          <w:i w:val="0"/>
          <w:iCs w:val="0"/>
          <w:caps w:val="0"/>
          <w:color w:val="404040"/>
          <w:spacing w:val="15"/>
          <w:sz w:val="28"/>
          <w:szCs w:val="28"/>
          <w:u w:val="none"/>
          <w:shd w:val="clear" w:fill="FFFFFF"/>
        </w:rPr>
      </w:pPr>
      <w:r>
        <w:rPr>
          <w:rFonts w:hint="eastAsia" w:asciiTheme="majorEastAsia" w:hAnsiTheme="majorEastAsia" w:eastAsiaTheme="majorEastAsia" w:cstheme="majorEastAsia"/>
          <w:b/>
          <w:bCs/>
          <w:i w:val="0"/>
          <w:iCs w:val="0"/>
          <w:caps w:val="0"/>
          <w:color w:val="404040"/>
          <w:spacing w:val="15"/>
          <w:sz w:val="28"/>
          <w:szCs w:val="28"/>
          <w:u w:val="none"/>
          <w:shd w:val="clear" w:fill="FFFFFF"/>
        </w:rPr>
        <w:t>五、机关运行经费财政拨款预算安排说明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2020年本部门行政单位（含参照公务员法管理事业单位）履行一般行政管理职能、维持机关运行，用财政拨款安排的基本支出中的日常公用经费合计361万元，主要用于：保障机关正常运转所需的办公及印刷费、邮电费、差旅费、会议费、福利费、日常维修费、办公用房水电费、办公用房取暖费、公务用车运行维护费以及其他费用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eastAsia" w:asciiTheme="majorEastAsia" w:hAnsiTheme="majorEastAsia" w:eastAsiaTheme="majorEastAsia" w:cstheme="majorEastAsia"/>
          <w:b/>
          <w:bCs/>
          <w:i w:val="0"/>
          <w:iCs w:val="0"/>
          <w:caps w:val="0"/>
          <w:color w:val="404040"/>
          <w:spacing w:val="15"/>
          <w:sz w:val="28"/>
          <w:szCs w:val="28"/>
          <w:u w:val="none"/>
          <w:shd w:val="clear" w:fill="FFFFFF"/>
        </w:rPr>
      </w:pPr>
      <w:r>
        <w:rPr>
          <w:rFonts w:hint="eastAsia" w:asciiTheme="majorEastAsia" w:hAnsiTheme="majorEastAsia" w:eastAsiaTheme="majorEastAsia" w:cstheme="majorEastAsia"/>
          <w:b/>
          <w:bCs/>
          <w:i w:val="0"/>
          <w:iCs w:val="0"/>
          <w:caps w:val="0"/>
          <w:color w:val="404040"/>
          <w:spacing w:val="15"/>
          <w:sz w:val="28"/>
          <w:szCs w:val="28"/>
          <w:u w:val="none"/>
          <w:shd w:val="clear" w:fill="FFFFFF"/>
        </w:rPr>
        <w:t>六、行政事业性收费重点项目信息说明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i w:val="0"/>
          <w:iCs w:val="0"/>
          <w:caps w:val="0"/>
          <w:color w:val="000000"/>
          <w:spacing w:val="15"/>
          <w:sz w:val="28"/>
          <w:szCs w:val="28"/>
          <w:u w:val="none"/>
          <w:shd w:val="clear" w:fill="FFFFFF"/>
        </w:rPr>
        <w:t>2020年本部门行政事业性收费项目是依据《中华人民共和国文物保护法》、《中华人民共和国文物保护法实施条例》、《北京市实施﹤中华人民共和国文物保护法﹥办法》、《北京市文化娱乐场所经营单位安全生产规定》、《互联网上网服务营业场所管理条例》、《互联网文化管理暂行规定》、《营业性演出管理条例》、《娱乐场所管理条例》等法律法规，对违反相关规定的行为进行的罚款、没收经营所得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eastAsia" w:asciiTheme="majorEastAsia" w:hAnsiTheme="majorEastAsia" w:eastAsiaTheme="majorEastAsia" w:cstheme="majorEastAsia"/>
          <w:b/>
          <w:bCs/>
          <w:i w:val="0"/>
          <w:iCs w:val="0"/>
          <w:caps w:val="0"/>
          <w:color w:val="404040"/>
          <w:spacing w:val="15"/>
          <w:sz w:val="28"/>
          <w:szCs w:val="28"/>
          <w:u w:val="none"/>
          <w:shd w:val="clear" w:fill="FFFFFF"/>
        </w:rPr>
      </w:pPr>
      <w:r>
        <w:rPr>
          <w:rFonts w:hint="eastAsia" w:asciiTheme="majorEastAsia" w:hAnsiTheme="majorEastAsia" w:eastAsiaTheme="majorEastAsia" w:cstheme="majorEastAsia"/>
          <w:b/>
          <w:bCs/>
          <w:i w:val="0"/>
          <w:iCs w:val="0"/>
          <w:caps w:val="0"/>
          <w:color w:val="404040"/>
          <w:spacing w:val="15"/>
          <w:sz w:val="28"/>
          <w:szCs w:val="28"/>
          <w:u w:val="none"/>
          <w:shd w:val="clear" w:fill="FFFFFF"/>
        </w:rPr>
        <w:t>七、固定资产占用使用情况说明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color w:val="000000"/>
          <w:spacing w:val="15"/>
          <w:sz w:val="28"/>
          <w:szCs w:val="28"/>
        </w:rPr>
      </w:pPr>
      <w:r>
        <w:rPr>
          <w:rFonts w:hint="eastAsia" w:asciiTheme="majorEastAsia" w:hAnsiTheme="majorEastAsia" w:eastAsiaTheme="majorEastAsia" w:cstheme="majorEastAsia"/>
          <w:i w:val="0"/>
          <w:iCs w:val="0"/>
          <w:caps w:val="0"/>
          <w:color w:val="000000"/>
          <w:spacing w:val="15"/>
          <w:sz w:val="28"/>
          <w:szCs w:val="28"/>
          <w:u w:val="none"/>
          <w:shd w:val="clear" w:fill="FFFFFF"/>
        </w:rPr>
        <w:t>截止2019年底，本部门（包括各下属单位）固定资产总额4,113.53万元，其中：车辆6台，78.75万元；单位价值50万元以上的通用设备1台（套）、56.61万元，单位价值100万元以上的专用设备0台（套）、0万元。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2" w:firstLineChars="200"/>
        <w:jc w:val="both"/>
        <w:textAlignment w:val="auto"/>
        <w:rPr>
          <w:rFonts w:hint="eastAsia" w:asciiTheme="majorEastAsia" w:hAnsiTheme="majorEastAsia" w:eastAsiaTheme="majorEastAsia" w:cstheme="majorEastAsia"/>
          <w:b/>
          <w:bCs/>
          <w:i w:val="0"/>
          <w:iCs w:val="0"/>
          <w:caps w:val="0"/>
          <w:color w:val="404040"/>
          <w:spacing w:val="15"/>
          <w:sz w:val="28"/>
          <w:szCs w:val="28"/>
          <w:u w:val="none"/>
          <w:shd w:val="clear" w:fill="FFFFFF"/>
        </w:rPr>
      </w:pPr>
      <w:r>
        <w:rPr>
          <w:rFonts w:hint="eastAsia" w:asciiTheme="majorEastAsia" w:hAnsiTheme="majorEastAsia" w:eastAsiaTheme="majorEastAsia" w:cstheme="majorEastAsia"/>
          <w:b/>
          <w:bCs/>
          <w:i w:val="0"/>
          <w:iCs w:val="0"/>
          <w:caps w:val="0"/>
          <w:color w:val="404040"/>
          <w:spacing w:val="15"/>
          <w:sz w:val="28"/>
          <w:szCs w:val="28"/>
          <w:u w:val="none"/>
          <w:shd w:val="clear" w:fill="FFFFFF"/>
          <w:lang w:val="en-US" w:eastAsia="zh-CN"/>
        </w:rPr>
        <w:t>八、</w:t>
      </w:r>
      <w:r>
        <w:rPr>
          <w:rFonts w:hint="eastAsia" w:asciiTheme="majorEastAsia" w:hAnsiTheme="majorEastAsia" w:eastAsiaTheme="majorEastAsia" w:cstheme="majorEastAsia"/>
          <w:b/>
          <w:bCs/>
          <w:i w:val="0"/>
          <w:iCs w:val="0"/>
          <w:caps w:val="0"/>
          <w:color w:val="404040"/>
          <w:spacing w:val="15"/>
          <w:sz w:val="28"/>
          <w:szCs w:val="28"/>
          <w:u w:val="none"/>
          <w:shd w:val="clear" w:fill="FFFFFF"/>
        </w:rPr>
        <w:t>部门"三公"经费财政拨款预算说明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20" w:firstLineChars="200"/>
        <w:jc w:val="both"/>
        <w:textAlignment w:val="auto"/>
        <w:rPr>
          <w:rFonts w:hint="eastAsia" w:asciiTheme="majorEastAsia" w:hAnsiTheme="majorEastAsia" w:eastAsiaTheme="majorEastAsia" w:cstheme="majorEastAsia"/>
          <w:b w:val="0"/>
          <w:bCs w:val="0"/>
          <w:i w:val="0"/>
          <w:iCs w:val="0"/>
          <w:caps w:val="0"/>
          <w:color w:val="404040"/>
          <w:spacing w:val="15"/>
          <w:sz w:val="28"/>
          <w:szCs w:val="28"/>
          <w:u w:val="none"/>
          <w:shd w:val="clear" w:fill="FFFFFF"/>
        </w:rPr>
      </w:pPr>
      <w:r>
        <w:rPr>
          <w:rFonts w:hint="eastAsia" w:asciiTheme="majorEastAsia" w:hAnsiTheme="majorEastAsia" w:eastAsiaTheme="majorEastAsia" w:cstheme="majorEastAsia"/>
          <w:b w:val="0"/>
          <w:bCs w:val="0"/>
          <w:i w:val="0"/>
          <w:iCs w:val="0"/>
          <w:caps w:val="0"/>
          <w:color w:val="404040"/>
          <w:spacing w:val="15"/>
          <w:sz w:val="28"/>
          <w:szCs w:val="28"/>
          <w:u w:val="none"/>
          <w:shd w:val="clear" w:fill="FFFFFF"/>
        </w:rPr>
        <w:t>2020年部门预算“三公”经费财政拨款预算安排14.05万元，比2019年“三公”经费财政拨款预算增加14.05万元。其中：</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000000"/>
          <w:spacing w:val="15"/>
          <w:sz w:val="28"/>
          <w:szCs w:val="28"/>
          <w:u w:val="none"/>
          <w:shd w:val="clear" w:fill="FFFFFF"/>
        </w:rPr>
      </w:pPr>
      <w:r>
        <w:rPr>
          <w:rFonts w:hint="eastAsia" w:asciiTheme="majorEastAsia" w:hAnsiTheme="majorEastAsia" w:eastAsiaTheme="majorEastAsia" w:cstheme="majorEastAsia"/>
          <w:i w:val="0"/>
          <w:iCs w:val="0"/>
          <w:caps w:val="0"/>
          <w:color w:val="000000"/>
          <w:spacing w:val="15"/>
          <w:sz w:val="28"/>
          <w:szCs w:val="28"/>
          <w:u w:val="none"/>
          <w:shd w:val="clear" w:fill="FFFFFF"/>
        </w:rPr>
        <w:t>因公出国（境）费用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700" w:leftChars="0" w:right="0" w:rightChars="0"/>
        <w:jc w:val="both"/>
        <w:textAlignment w:val="auto"/>
        <w:rPr>
          <w:rFonts w:hint="eastAsia" w:asciiTheme="majorEastAsia" w:hAnsiTheme="majorEastAsia" w:eastAsiaTheme="majorEastAsia" w:cstheme="majorEastAsia"/>
          <w:i w:val="0"/>
          <w:iCs w:val="0"/>
          <w:caps w:val="0"/>
          <w:color w:val="000000"/>
          <w:spacing w:val="15"/>
          <w:sz w:val="28"/>
          <w:szCs w:val="28"/>
          <w:u w:val="none"/>
          <w:shd w:val="clear" w:fill="FFFFFF"/>
        </w:rPr>
      </w:pPr>
      <w:r>
        <w:rPr>
          <w:rFonts w:hint="eastAsia" w:asciiTheme="majorEastAsia" w:hAnsiTheme="majorEastAsia" w:eastAsiaTheme="majorEastAsia" w:cstheme="majorEastAsia"/>
          <w:i w:val="0"/>
          <w:iCs w:val="0"/>
          <w:caps w:val="0"/>
          <w:color w:val="000000"/>
          <w:spacing w:val="15"/>
          <w:sz w:val="28"/>
          <w:szCs w:val="28"/>
          <w:u w:val="none"/>
          <w:shd w:val="clear" w:fill="FFFFFF"/>
        </w:rPr>
        <w:t>2020年度无因公出国（境）费用预算。</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000000"/>
          <w:spacing w:val="15"/>
          <w:sz w:val="28"/>
          <w:szCs w:val="28"/>
          <w:u w:val="none"/>
          <w:shd w:val="clear" w:fill="FFFFFF"/>
        </w:rPr>
      </w:pPr>
      <w:r>
        <w:rPr>
          <w:rFonts w:hint="eastAsia" w:asciiTheme="majorEastAsia" w:hAnsiTheme="majorEastAsia" w:eastAsiaTheme="majorEastAsia" w:cstheme="majorEastAsia"/>
          <w:i w:val="0"/>
          <w:iCs w:val="0"/>
          <w:caps w:val="0"/>
          <w:color w:val="000000"/>
          <w:spacing w:val="15"/>
          <w:sz w:val="28"/>
          <w:szCs w:val="28"/>
          <w:u w:val="none"/>
          <w:shd w:val="clear" w:fill="FFFFFF"/>
        </w:rPr>
        <w:t>公务接待费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000000"/>
          <w:spacing w:val="15"/>
          <w:sz w:val="28"/>
          <w:szCs w:val="28"/>
          <w:u w:val="none"/>
          <w:shd w:val="clear" w:fill="FFFFFF"/>
        </w:rPr>
      </w:pPr>
      <w:r>
        <w:rPr>
          <w:rFonts w:hint="eastAsia" w:asciiTheme="majorEastAsia" w:hAnsiTheme="majorEastAsia" w:eastAsiaTheme="majorEastAsia" w:cstheme="majorEastAsia"/>
          <w:i w:val="0"/>
          <w:iCs w:val="0"/>
          <w:caps w:val="0"/>
          <w:color w:val="000000"/>
          <w:spacing w:val="15"/>
          <w:sz w:val="28"/>
          <w:szCs w:val="28"/>
          <w:u w:val="none"/>
          <w:shd w:val="clear" w:fill="FFFFFF"/>
        </w:rPr>
        <w:t>2020年财政拨款预算安排</w:t>
      </w: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1.45</w:t>
      </w:r>
      <w:r>
        <w:rPr>
          <w:rFonts w:hint="eastAsia" w:asciiTheme="majorEastAsia" w:hAnsiTheme="majorEastAsia" w:eastAsiaTheme="majorEastAsia" w:cstheme="majorEastAsia"/>
          <w:i w:val="0"/>
          <w:iCs w:val="0"/>
          <w:caps w:val="0"/>
          <w:color w:val="000000"/>
          <w:spacing w:val="15"/>
          <w:sz w:val="28"/>
          <w:szCs w:val="28"/>
          <w:u w:val="none"/>
          <w:shd w:val="clear" w:fill="FFFFFF"/>
        </w:rPr>
        <w:t>万元，与2019年财政拨款预算安排数增加</w:t>
      </w: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1.45</w:t>
      </w:r>
      <w:r>
        <w:rPr>
          <w:rFonts w:hint="eastAsia" w:asciiTheme="majorEastAsia" w:hAnsiTheme="majorEastAsia" w:eastAsiaTheme="majorEastAsia" w:cstheme="majorEastAsia"/>
          <w:i w:val="0"/>
          <w:iCs w:val="0"/>
          <w:caps w:val="0"/>
          <w:color w:val="000000"/>
          <w:spacing w:val="15"/>
          <w:sz w:val="28"/>
          <w:szCs w:val="28"/>
          <w:u w:val="none"/>
          <w:shd w:val="clear" w:fill="FFFFFF"/>
        </w:rPr>
        <w:t>万元，主要原因：丰台区文化和旅游局为2019年3月新组建单位</w:t>
      </w:r>
      <w:r>
        <w:rPr>
          <w:rFonts w:hint="eastAsia" w:asciiTheme="majorEastAsia" w:hAnsiTheme="majorEastAsia" w:eastAsiaTheme="majorEastAsia" w:cstheme="majorEastAsia"/>
          <w:i w:val="0"/>
          <w:iCs w:val="0"/>
          <w:caps w:val="0"/>
          <w:color w:val="000000"/>
          <w:spacing w:val="15"/>
          <w:sz w:val="28"/>
          <w:szCs w:val="28"/>
          <w:u w:val="none"/>
          <w:shd w:val="clear" w:fill="FFFFFF"/>
          <w:lang w:eastAsia="zh-CN"/>
        </w:rPr>
        <w:t>，</w:t>
      </w: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2019年初无</w:t>
      </w:r>
      <w:r>
        <w:rPr>
          <w:rFonts w:hint="eastAsia" w:asciiTheme="majorEastAsia" w:hAnsiTheme="majorEastAsia" w:eastAsiaTheme="majorEastAsia" w:cstheme="majorEastAsia"/>
          <w:i w:val="0"/>
          <w:iCs w:val="0"/>
          <w:caps w:val="0"/>
          <w:color w:val="000000"/>
          <w:spacing w:val="15"/>
          <w:sz w:val="28"/>
          <w:szCs w:val="28"/>
          <w:u w:val="none"/>
          <w:shd w:val="clear" w:fill="FFFFFF"/>
        </w:rPr>
        <w:t>部门预算</w:t>
      </w: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安排</w:t>
      </w:r>
      <w:r>
        <w:rPr>
          <w:rFonts w:hint="eastAsia" w:asciiTheme="majorEastAsia" w:hAnsiTheme="majorEastAsia" w:eastAsiaTheme="majorEastAsia" w:cstheme="majorEastAsia"/>
          <w:i w:val="0"/>
          <w:iCs w:val="0"/>
          <w:caps w:val="0"/>
          <w:color w:val="000000"/>
          <w:spacing w:val="15"/>
          <w:sz w:val="28"/>
          <w:szCs w:val="28"/>
          <w:u w:val="none"/>
          <w:shd w:val="clear" w:fill="FFFFFF"/>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000000"/>
          <w:spacing w:val="15"/>
          <w:sz w:val="28"/>
          <w:szCs w:val="28"/>
          <w:u w:val="none"/>
          <w:shd w:val="clear" w:fill="FFFFFF"/>
        </w:rPr>
      </w:pPr>
      <w:r>
        <w:rPr>
          <w:rFonts w:hint="eastAsia" w:asciiTheme="majorEastAsia" w:hAnsiTheme="majorEastAsia" w:eastAsiaTheme="majorEastAsia" w:cstheme="majorEastAsia"/>
          <w:i w:val="0"/>
          <w:iCs w:val="0"/>
          <w:caps w:val="0"/>
          <w:color w:val="000000"/>
          <w:spacing w:val="15"/>
          <w:sz w:val="28"/>
          <w:szCs w:val="28"/>
          <w:u w:val="none"/>
          <w:shd w:val="clear" w:fill="FFFFFF"/>
        </w:rPr>
        <w:t>公务用车购置及运行维护费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000000"/>
          <w:spacing w:val="15"/>
          <w:sz w:val="28"/>
          <w:szCs w:val="28"/>
          <w:u w:val="none"/>
          <w:shd w:val="clear" w:fill="FFFFFF"/>
        </w:rPr>
      </w:pPr>
      <w:r>
        <w:rPr>
          <w:rFonts w:hint="eastAsia" w:asciiTheme="majorEastAsia" w:hAnsiTheme="majorEastAsia" w:eastAsiaTheme="majorEastAsia" w:cstheme="majorEastAsia"/>
          <w:i w:val="0"/>
          <w:iCs w:val="0"/>
          <w:caps w:val="0"/>
          <w:color w:val="000000"/>
          <w:spacing w:val="15"/>
          <w:sz w:val="28"/>
          <w:szCs w:val="28"/>
          <w:u w:val="none"/>
          <w:shd w:val="clear" w:fill="FFFFFF"/>
        </w:rPr>
        <w:t>2020年预算数12.6万元，与2019年财政拨款预算安排数增加12.6万元，主要原因：丰台区文化和旅游局为2019年3月新组建单位</w:t>
      </w:r>
      <w:r>
        <w:rPr>
          <w:rFonts w:hint="eastAsia" w:asciiTheme="majorEastAsia" w:hAnsiTheme="majorEastAsia" w:eastAsiaTheme="majorEastAsia" w:cstheme="majorEastAsia"/>
          <w:i w:val="0"/>
          <w:iCs w:val="0"/>
          <w:caps w:val="0"/>
          <w:color w:val="000000"/>
          <w:spacing w:val="15"/>
          <w:sz w:val="28"/>
          <w:szCs w:val="28"/>
          <w:u w:val="none"/>
          <w:shd w:val="clear" w:fill="FFFFFF"/>
          <w:lang w:eastAsia="zh-CN"/>
        </w:rPr>
        <w:t>，</w:t>
      </w: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2019年初无</w:t>
      </w:r>
      <w:r>
        <w:rPr>
          <w:rFonts w:hint="eastAsia" w:asciiTheme="majorEastAsia" w:hAnsiTheme="majorEastAsia" w:eastAsiaTheme="majorEastAsia" w:cstheme="majorEastAsia"/>
          <w:i w:val="0"/>
          <w:iCs w:val="0"/>
          <w:caps w:val="0"/>
          <w:color w:val="000000"/>
          <w:spacing w:val="15"/>
          <w:sz w:val="28"/>
          <w:szCs w:val="28"/>
          <w:u w:val="none"/>
          <w:shd w:val="clear" w:fill="FFFFFF"/>
        </w:rPr>
        <w:t>部门预算</w:t>
      </w: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安排</w:t>
      </w:r>
      <w:r>
        <w:rPr>
          <w:rFonts w:hint="eastAsia" w:asciiTheme="majorEastAsia" w:hAnsiTheme="majorEastAsia" w:eastAsiaTheme="majorEastAsia" w:cstheme="majorEastAsia"/>
          <w:i w:val="0"/>
          <w:iCs w:val="0"/>
          <w:caps w:val="0"/>
          <w:color w:val="000000"/>
          <w:spacing w:val="15"/>
          <w:sz w:val="28"/>
          <w:szCs w:val="28"/>
          <w:u w:val="none"/>
          <w:shd w:val="clear" w:fill="FFFFFF"/>
        </w:rPr>
        <w:t>。其中：公务用车购置费2020年预算数0万元0；公务用车运行维护费2020年预算数12.6万元。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b/>
          <w:bCs/>
          <w:i w:val="0"/>
          <w:iCs w:val="0"/>
          <w:caps w:val="0"/>
          <w:color w:val="000000"/>
          <w:spacing w:val="15"/>
          <w:sz w:val="28"/>
          <w:szCs w:val="28"/>
          <w:u w:val="none"/>
          <w:shd w:val="clear" w:fill="FFFFFF"/>
          <w:lang w:val="en-US" w:eastAsia="zh-CN"/>
        </w:rPr>
      </w:pPr>
      <w:r>
        <w:rPr>
          <w:rFonts w:hint="eastAsia" w:asciiTheme="majorEastAsia" w:hAnsiTheme="majorEastAsia" w:eastAsiaTheme="majorEastAsia" w:cstheme="majorEastAsia"/>
          <w:b/>
          <w:bCs/>
          <w:i w:val="0"/>
          <w:iCs w:val="0"/>
          <w:caps w:val="0"/>
          <w:color w:val="000000"/>
          <w:spacing w:val="15"/>
          <w:sz w:val="28"/>
          <w:szCs w:val="28"/>
          <w:u w:val="none"/>
          <w:shd w:val="clear" w:fill="FFFFFF"/>
          <w:lang w:val="en-US" w:eastAsia="zh-CN"/>
        </w:rPr>
        <w:t>九、预算绩效管理情况说明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pP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2020年，</w:t>
      </w:r>
      <w:r>
        <w:rPr>
          <w:rFonts w:hint="eastAsia" w:asciiTheme="majorEastAsia" w:hAnsiTheme="majorEastAsia" w:eastAsiaTheme="majorEastAsia" w:cstheme="majorEastAsia"/>
          <w:i w:val="0"/>
          <w:iCs w:val="0"/>
          <w:caps w:val="0"/>
          <w:color w:val="000000"/>
          <w:spacing w:val="15"/>
          <w:sz w:val="28"/>
          <w:szCs w:val="28"/>
          <w:u w:val="none"/>
          <w:shd w:val="clear" w:fill="FFFFFF"/>
        </w:rPr>
        <w:t>丰台区文化和旅游局</w:t>
      </w: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填报绩效目标的项目支出预算3236.78万元，占本部门全部项目支出预算的47.94%。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b/>
          <w:bCs/>
          <w:i w:val="0"/>
          <w:iCs w:val="0"/>
          <w:caps w:val="0"/>
          <w:color w:val="000000"/>
          <w:spacing w:val="15"/>
          <w:sz w:val="28"/>
          <w:szCs w:val="28"/>
          <w:u w:val="none"/>
          <w:shd w:val="clear" w:fill="FFFFFF"/>
          <w:lang w:val="en-US" w:eastAsia="zh-CN"/>
        </w:rPr>
      </w:pPr>
      <w:r>
        <w:rPr>
          <w:rFonts w:hint="eastAsia" w:asciiTheme="majorEastAsia" w:hAnsiTheme="majorEastAsia" w:eastAsiaTheme="majorEastAsia" w:cstheme="majorEastAsia"/>
          <w:b/>
          <w:bCs/>
          <w:i w:val="0"/>
          <w:iCs w:val="0"/>
          <w:caps w:val="0"/>
          <w:color w:val="000000"/>
          <w:spacing w:val="15"/>
          <w:sz w:val="28"/>
          <w:szCs w:val="28"/>
          <w:u w:val="none"/>
          <w:shd w:val="clear" w:fill="FFFFFF"/>
          <w:lang w:val="en-US" w:eastAsia="zh-CN"/>
        </w:rPr>
        <w:t>十、其他事项说明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default" w:asciiTheme="majorEastAsia" w:hAnsiTheme="majorEastAsia" w:eastAsiaTheme="majorEastAsia" w:cstheme="majorEastAsia"/>
          <w:i w:val="0"/>
          <w:iCs w:val="0"/>
          <w:caps w:val="0"/>
          <w:color w:val="000000"/>
          <w:spacing w:val="15"/>
          <w:sz w:val="28"/>
          <w:szCs w:val="28"/>
          <w:u w:val="none"/>
          <w:shd w:val="clear" w:fill="FFFFFF"/>
          <w:lang w:val="en-US" w:eastAsia="zh-CN"/>
        </w:rPr>
      </w:pP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无此事项说明。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b/>
          <w:bCs/>
          <w:i w:val="0"/>
          <w:iCs w:val="0"/>
          <w:caps w:val="0"/>
          <w:color w:val="000000"/>
          <w:spacing w:val="15"/>
          <w:sz w:val="28"/>
          <w:szCs w:val="28"/>
          <w:u w:val="none"/>
          <w:shd w:val="clear" w:fill="FFFFFF"/>
          <w:lang w:val="en-US" w:eastAsia="zh-CN"/>
        </w:rPr>
      </w:pPr>
      <w:r>
        <w:rPr>
          <w:rFonts w:hint="eastAsia" w:asciiTheme="majorEastAsia" w:hAnsiTheme="majorEastAsia" w:eastAsiaTheme="majorEastAsia" w:cstheme="majorEastAsia"/>
          <w:b/>
          <w:bCs/>
          <w:i w:val="0"/>
          <w:iCs w:val="0"/>
          <w:caps w:val="0"/>
          <w:color w:val="000000"/>
          <w:spacing w:val="15"/>
          <w:sz w:val="28"/>
          <w:szCs w:val="28"/>
          <w:u w:val="none"/>
          <w:shd w:val="clear" w:fill="FFFFFF"/>
          <w:lang w:val="en-US" w:eastAsia="zh-CN"/>
        </w:rPr>
        <w:t>十一、专业名词解释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0"/>
        <w:jc w:val="both"/>
        <w:textAlignment w:val="auto"/>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pPr>
      <w:r>
        <w:rPr>
          <w:rFonts w:hint="eastAsia" w:asciiTheme="majorEastAsia" w:hAnsiTheme="majorEastAsia" w:eastAsiaTheme="majorEastAsia" w:cstheme="majorEastAsia"/>
          <w:i w:val="0"/>
          <w:iCs w:val="0"/>
          <w:caps w:val="0"/>
          <w:color w:val="000000"/>
          <w:spacing w:val="15"/>
          <w:sz w:val="28"/>
          <w:szCs w:val="28"/>
          <w:u w:val="none"/>
          <w:shd w:val="clear" w:fill="FFFFFF"/>
          <w:lang w:val="en-US" w:eastAsia="zh-CN"/>
        </w:rPr>
        <w:t>（根据部门自身情况，对预算中出现的专业性较强的名称进行解释）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3"/>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b/>
          <w:bCs/>
          <w:i w:val="0"/>
          <w:iCs w:val="0"/>
          <w:caps w:val="0"/>
          <w:color w:val="000000"/>
          <w:spacing w:val="15"/>
          <w:sz w:val="28"/>
          <w:szCs w:val="28"/>
          <w:u w:val="none"/>
          <w:shd w:val="clear" w:fill="FFFFFF"/>
        </w:rPr>
        <w:t>预算：</w:t>
      </w:r>
      <w:r>
        <w:rPr>
          <w:rFonts w:hint="eastAsia" w:asciiTheme="majorEastAsia" w:hAnsiTheme="majorEastAsia" w:eastAsiaTheme="majorEastAsia" w:cstheme="majorEastAsia"/>
          <w:i w:val="0"/>
          <w:iCs w:val="0"/>
          <w:caps w:val="0"/>
          <w:color w:val="000000"/>
          <w:spacing w:val="15"/>
          <w:sz w:val="28"/>
          <w:szCs w:val="28"/>
          <w:u w:val="none"/>
          <w:shd w:val="clear" w:fill="FFFFFF"/>
        </w:rPr>
        <w:t>指遵循统筹兼顾、勤俭节约、量力而行、讲求绩效和收支平衡的原则编制，经法定程序审核批准的国家年度集中性财政收支计划。政府的全部收入和支出都应当纳入预算，地方各级预算一般不列赤字。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3"/>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b/>
          <w:bCs/>
          <w:i w:val="0"/>
          <w:iCs w:val="0"/>
          <w:caps w:val="0"/>
          <w:color w:val="000000"/>
          <w:spacing w:val="15"/>
          <w:sz w:val="28"/>
          <w:szCs w:val="28"/>
          <w:u w:val="none"/>
          <w:shd w:val="clear" w:fill="FFFFFF"/>
        </w:rPr>
        <w:t>一般公共预算：</w:t>
      </w:r>
      <w:r>
        <w:rPr>
          <w:rFonts w:hint="eastAsia" w:asciiTheme="majorEastAsia" w:hAnsiTheme="majorEastAsia" w:eastAsiaTheme="majorEastAsia" w:cstheme="majorEastAsia"/>
          <w:i w:val="0"/>
          <w:iCs w:val="0"/>
          <w:caps w:val="0"/>
          <w:color w:val="000000"/>
          <w:spacing w:val="15"/>
          <w:sz w:val="28"/>
          <w:szCs w:val="28"/>
          <w:u w:val="none"/>
          <w:shd w:val="clear" w:fill="FFFFFF"/>
        </w:rPr>
        <w:t>对以税收为主体的财政收入，安排用于保障和改善民生、推动经济社会发展、维护国家安全、维持国家机构正常运转等方面的收支预算。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3"/>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b/>
          <w:bCs/>
          <w:i w:val="0"/>
          <w:iCs w:val="0"/>
          <w:caps w:val="0"/>
          <w:color w:val="000000"/>
          <w:spacing w:val="15"/>
          <w:sz w:val="28"/>
          <w:szCs w:val="28"/>
          <w:u w:val="none"/>
          <w:shd w:val="clear" w:fill="FFFFFF"/>
        </w:rPr>
        <w:t>一般性转移支付：</w:t>
      </w:r>
      <w:r>
        <w:rPr>
          <w:rFonts w:hint="eastAsia" w:asciiTheme="majorEastAsia" w:hAnsiTheme="majorEastAsia" w:eastAsiaTheme="majorEastAsia" w:cstheme="majorEastAsia"/>
          <w:i w:val="0"/>
          <w:iCs w:val="0"/>
          <w:caps w:val="0"/>
          <w:color w:val="000000"/>
          <w:spacing w:val="15"/>
          <w:sz w:val="28"/>
          <w:szCs w:val="28"/>
          <w:u w:val="none"/>
          <w:shd w:val="clear" w:fill="FFFFFF"/>
        </w:rPr>
        <w:t>指上级政府为均衡地区间基本财力，根据下级政府在组织财政收入能力、必要支出需求、各地自然经济和社会条件差异等因素，按照基本标准和计算方法测算，将其无偿转作下级政府收入来源，并由下级政府统筹安排使用的转移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3"/>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b/>
          <w:bCs/>
          <w:i w:val="0"/>
          <w:iCs w:val="0"/>
          <w:caps w:val="0"/>
          <w:color w:val="000000"/>
          <w:spacing w:val="15"/>
          <w:sz w:val="28"/>
          <w:szCs w:val="28"/>
          <w:u w:val="none"/>
          <w:shd w:val="clear" w:fill="FFFFFF"/>
        </w:rPr>
        <w:t>结余结转资金：</w:t>
      </w:r>
      <w:r>
        <w:rPr>
          <w:rFonts w:hint="eastAsia" w:asciiTheme="majorEastAsia" w:hAnsiTheme="majorEastAsia" w:eastAsiaTheme="majorEastAsia" w:cstheme="majorEastAsia"/>
          <w:i w:val="0"/>
          <w:iCs w:val="0"/>
          <w:caps w:val="0"/>
          <w:color w:val="000000"/>
          <w:spacing w:val="15"/>
          <w:sz w:val="28"/>
          <w:szCs w:val="28"/>
          <w:u w:val="none"/>
          <w:shd w:val="clear" w:fill="FFFFFF"/>
        </w:rPr>
        <w:t>指当年预算已执行但工作目标未完成，或者因故未执行，下一年度需要按原用途继续使用的资金。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3"/>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b/>
          <w:bCs/>
          <w:i w:val="0"/>
          <w:iCs w:val="0"/>
          <w:caps w:val="0"/>
          <w:color w:val="000000"/>
          <w:spacing w:val="15"/>
          <w:sz w:val="28"/>
          <w:szCs w:val="28"/>
          <w:u w:val="none"/>
          <w:shd w:val="clear" w:fill="FFFFFF"/>
        </w:rPr>
        <w:t>部门预算:</w:t>
      </w:r>
      <w:r>
        <w:rPr>
          <w:rFonts w:hint="eastAsia" w:asciiTheme="majorEastAsia" w:hAnsiTheme="majorEastAsia" w:eastAsiaTheme="majorEastAsia" w:cstheme="majorEastAsia"/>
          <w:i w:val="0"/>
          <w:iCs w:val="0"/>
          <w:caps w:val="0"/>
          <w:color w:val="000000"/>
          <w:spacing w:val="15"/>
          <w:sz w:val="28"/>
          <w:szCs w:val="28"/>
          <w:u w:val="none"/>
          <w:shd w:val="clear" w:fill="FFFFFF"/>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3"/>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b/>
          <w:bCs/>
          <w:i w:val="0"/>
          <w:iCs w:val="0"/>
          <w:caps w:val="0"/>
          <w:color w:val="000000"/>
          <w:spacing w:val="15"/>
          <w:sz w:val="28"/>
          <w:szCs w:val="28"/>
          <w:u w:val="none"/>
          <w:shd w:val="clear" w:fill="FFFFFF"/>
        </w:rPr>
        <w:t>政府采购:</w:t>
      </w:r>
      <w:r>
        <w:rPr>
          <w:rFonts w:hint="eastAsia" w:asciiTheme="majorEastAsia" w:hAnsiTheme="majorEastAsia" w:eastAsiaTheme="majorEastAsia" w:cstheme="majorEastAsia"/>
          <w:i w:val="0"/>
          <w:iCs w:val="0"/>
          <w:caps w:val="0"/>
          <w:color w:val="000000"/>
          <w:spacing w:val="15"/>
          <w:sz w:val="28"/>
          <w:szCs w:val="28"/>
          <w:u w:val="none"/>
          <w:shd w:val="clear" w:fill="FFFFFF"/>
        </w:rPr>
        <w:t>指各级国家机关、事业单位和团体组织，使用财政性资金采购依法制定的集中采购目录以内的或者采购限额标准以上的货物、工程和服务的行为。政府采购是规范财政支出管理和强化预算约束的有效措施。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3"/>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b/>
          <w:bCs/>
          <w:i w:val="0"/>
          <w:iCs w:val="0"/>
          <w:caps w:val="0"/>
          <w:color w:val="000000"/>
          <w:spacing w:val="15"/>
          <w:sz w:val="28"/>
          <w:szCs w:val="28"/>
          <w:u w:val="none"/>
          <w:shd w:val="clear" w:fill="FFFFFF"/>
        </w:rPr>
        <w:t>预算绩效管理：</w:t>
      </w:r>
      <w:r>
        <w:rPr>
          <w:rFonts w:hint="eastAsia" w:asciiTheme="majorEastAsia" w:hAnsiTheme="majorEastAsia" w:eastAsiaTheme="majorEastAsia" w:cstheme="majorEastAsia"/>
          <w:i w:val="0"/>
          <w:iCs w:val="0"/>
          <w:caps w:val="0"/>
          <w:color w:val="000000"/>
          <w:spacing w:val="15"/>
          <w:sz w:val="28"/>
          <w:szCs w:val="28"/>
          <w:u w:val="none"/>
          <w:shd w:val="clear" w:fill="FFFFFF"/>
        </w:rPr>
        <w:t>指在预算管理中融入绩效理念，将绩效目标设定、绩效跟踪、绩效评价及结果应用纳入预算编制、执行、监督全过程，以提高预算的经济、社会效益为目的的管理活动。预算绩效管理是一种以资金使用绩效为导向的预算管理模式，要求政府部门不断改进服务水平和质量，有效提高财政资金使用效益，并成为实施行政问责制和加强政府效能建设的重要抓手，是政府绩效管理的重要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3"/>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b/>
          <w:bCs/>
          <w:i w:val="0"/>
          <w:iCs w:val="0"/>
          <w:caps w:val="0"/>
          <w:color w:val="000000"/>
          <w:spacing w:val="15"/>
          <w:sz w:val="28"/>
          <w:szCs w:val="28"/>
          <w:u w:val="none"/>
          <w:shd w:val="clear" w:fill="FFFFFF"/>
        </w:rPr>
        <w:t>“三公”经费：</w:t>
      </w:r>
      <w:r>
        <w:rPr>
          <w:rFonts w:hint="eastAsia" w:asciiTheme="majorEastAsia" w:hAnsiTheme="majorEastAsia" w:eastAsiaTheme="majorEastAsia" w:cstheme="majorEastAsia"/>
          <w:i w:val="0"/>
          <w:iCs w:val="0"/>
          <w:caps w:val="0"/>
          <w:color w:val="000000"/>
          <w:spacing w:val="15"/>
          <w:sz w:val="28"/>
          <w:szCs w:val="28"/>
          <w:u w:val="none"/>
          <w:shd w:val="clear" w:fill="FFFFFF"/>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3"/>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b/>
          <w:bCs/>
          <w:i w:val="0"/>
          <w:iCs w:val="0"/>
          <w:caps w:val="0"/>
          <w:color w:val="000000"/>
          <w:spacing w:val="15"/>
          <w:sz w:val="28"/>
          <w:szCs w:val="28"/>
          <w:u w:val="none"/>
          <w:shd w:val="clear" w:fill="FFFFFF"/>
        </w:rPr>
        <w:t>政府购买服务：</w:t>
      </w:r>
      <w:r>
        <w:rPr>
          <w:rFonts w:hint="eastAsia" w:asciiTheme="majorEastAsia" w:hAnsiTheme="majorEastAsia" w:eastAsiaTheme="majorEastAsia" w:cstheme="majorEastAsia"/>
          <w:i w:val="0"/>
          <w:iCs w:val="0"/>
          <w:caps w:val="0"/>
          <w:color w:val="000000"/>
          <w:spacing w:val="15"/>
          <w:sz w:val="28"/>
          <w:szCs w:val="28"/>
          <w:u w:val="none"/>
          <w:shd w:val="clear" w:fill="FFFFFF"/>
        </w:rPr>
        <w:t>指通过发挥市场机制作用，把政府直接向社会公众提供的公共服务等事项，按照一定的方式和程序，交由具备条件的社会力量承担，并由政府根据服务数量和质量向其支付费用。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3"/>
        <w:jc w:val="both"/>
        <w:textAlignment w:val="auto"/>
        <w:rPr>
          <w:rFonts w:hint="eastAsia" w:asciiTheme="majorEastAsia" w:hAnsiTheme="majorEastAsia" w:eastAsiaTheme="majorEastAsia" w:cstheme="majorEastAsia"/>
          <w:i w:val="0"/>
          <w:iCs w:val="0"/>
          <w:caps w:val="0"/>
          <w:color w:val="404040"/>
          <w:spacing w:val="0"/>
          <w:sz w:val="28"/>
          <w:szCs w:val="28"/>
          <w:u w:val="none"/>
        </w:rPr>
      </w:pPr>
      <w:r>
        <w:rPr>
          <w:rFonts w:hint="eastAsia" w:asciiTheme="majorEastAsia" w:hAnsiTheme="majorEastAsia" w:eastAsiaTheme="majorEastAsia" w:cstheme="majorEastAsia"/>
          <w:b/>
          <w:bCs/>
          <w:i w:val="0"/>
          <w:iCs w:val="0"/>
          <w:caps w:val="0"/>
          <w:color w:val="000000"/>
          <w:spacing w:val="15"/>
          <w:sz w:val="28"/>
          <w:szCs w:val="28"/>
          <w:u w:val="none"/>
          <w:shd w:val="clear" w:fill="FFFFFF"/>
        </w:rPr>
        <w:t>机关运行经费：</w:t>
      </w:r>
      <w:r>
        <w:rPr>
          <w:rFonts w:hint="eastAsia" w:asciiTheme="majorEastAsia" w:hAnsiTheme="majorEastAsia" w:eastAsiaTheme="majorEastAsia" w:cstheme="majorEastAsia"/>
          <w:i w:val="0"/>
          <w:iCs w:val="0"/>
          <w:caps w:val="0"/>
          <w:color w:val="000000"/>
          <w:spacing w:val="15"/>
          <w:sz w:val="28"/>
          <w:szCs w:val="28"/>
          <w:u w:val="none"/>
          <w:shd w:val="clear" w:fill="FFFFFF"/>
        </w:rPr>
        <w:t>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703"/>
        <w:jc w:val="both"/>
        <w:textAlignment w:val="auto"/>
        <w:rPr>
          <w:rFonts w:hint="eastAsia" w:asciiTheme="majorEastAsia" w:hAnsiTheme="majorEastAsia" w:eastAsiaTheme="majorEastAsia" w:cstheme="majorEastAsia"/>
          <w:i w:val="0"/>
          <w:iCs w:val="0"/>
          <w:caps w:val="0"/>
          <w:color w:val="000000"/>
          <w:spacing w:val="15"/>
          <w:sz w:val="28"/>
          <w:szCs w:val="28"/>
          <w:u w:val="none"/>
          <w:shd w:val="clear" w:fill="FFFFFF"/>
        </w:rPr>
      </w:pPr>
      <w:r>
        <w:rPr>
          <w:rFonts w:hint="eastAsia" w:asciiTheme="majorEastAsia" w:hAnsiTheme="majorEastAsia" w:eastAsiaTheme="majorEastAsia" w:cstheme="majorEastAsia"/>
          <w:b/>
          <w:bCs/>
          <w:i w:val="0"/>
          <w:iCs w:val="0"/>
          <w:caps w:val="0"/>
          <w:color w:val="000000"/>
          <w:spacing w:val="15"/>
          <w:sz w:val="28"/>
          <w:szCs w:val="28"/>
          <w:u w:val="none"/>
          <w:shd w:val="clear" w:fill="FFFFFF"/>
        </w:rPr>
        <w:t>行政事业性收费:</w:t>
      </w:r>
      <w:r>
        <w:rPr>
          <w:rFonts w:hint="eastAsia" w:asciiTheme="majorEastAsia" w:hAnsiTheme="majorEastAsia" w:eastAsiaTheme="majorEastAsia" w:cstheme="majorEastAsia"/>
          <w:i w:val="0"/>
          <w:iCs w:val="0"/>
          <w:caps w:val="0"/>
          <w:color w:val="000000"/>
          <w:spacing w:val="15"/>
          <w:sz w:val="28"/>
          <w:szCs w:val="28"/>
          <w:u w:val="none"/>
          <w:shd w:val="clear" w:fill="FFFFFF"/>
        </w:rPr>
        <w:t>是指国家机关、事业单位、代行政府职能的社会团体及其他组织根据法律、行政法规、地方性法规等有关规定，依照国务院规定程序批准，在向公民、法人提供特定服务的过程中，按照成本补偿和非盈利原则向特定服务对象收取的费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A8BE9"/>
    <w:multiLevelType w:val="singleLevel"/>
    <w:tmpl w:val="825A8BE9"/>
    <w:lvl w:ilvl="0" w:tentative="0">
      <w:start w:val="1"/>
      <w:numFmt w:val="chineseCounting"/>
      <w:suff w:val="nothing"/>
      <w:lvlText w:val="（%1）"/>
      <w:lvlJc w:val="left"/>
      <w:rPr>
        <w:rFonts w:hint="eastAsia"/>
      </w:rPr>
    </w:lvl>
  </w:abstractNum>
  <w:abstractNum w:abstractNumId="1">
    <w:nsid w:val="628923E0"/>
    <w:multiLevelType w:val="singleLevel"/>
    <w:tmpl w:val="628923E0"/>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040821"/>
    <w:rsid w:val="03C0281A"/>
    <w:rsid w:val="6E040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2021-06-16T07:02:00Z</dcterms:created>
  <dc:creator>wanglin</dc:creator>
  <cp:lastModifiedBy>wanglin</cp:lastModifiedBy>
  <dcterms:modified xsi:type="dcterms:W3CDTF">2021-06-16T07:20:56Z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6DE6AD8D71294893A4DFD42E0B2B3413</vt:lpwstr>
  </property>
</Properties>
</file>