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kern w:val="1"/>
          <w:sz w:val="32"/>
          <w:szCs w:val="32"/>
        </w:rPr>
      </w:pPr>
    </w:p>
    <w:p>
      <w:pPr>
        <w:jc w:val="center"/>
        <w:rPr>
          <w:rFonts w:ascii="黑体" w:hAnsi="黑体" w:eastAsia="黑体"/>
          <w:kern w:val="1"/>
          <w:sz w:val="72"/>
          <w:szCs w:val="72"/>
        </w:rPr>
      </w:pPr>
    </w:p>
    <w:p>
      <w:pPr>
        <w:jc w:val="center"/>
        <w:rPr>
          <w:rFonts w:ascii="黑体" w:hAnsi="黑体" w:eastAsia="黑体"/>
          <w:kern w:val="1"/>
          <w:sz w:val="72"/>
          <w:szCs w:val="72"/>
        </w:rPr>
      </w:pPr>
    </w:p>
    <w:p>
      <w:pPr>
        <w:widowControl/>
        <w:shd w:val="clear" w:color="000000" w:fill="FFFFFF"/>
        <w:spacing w:before="100" w:beforeAutospacing="1" w:after="100" w:afterAutospacing="1"/>
        <w:jc w:val="center"/>
        <w:rPr>
          <w:rFonts w:ascii="宋体" w:hAnsi="宋体" w:cs="宋体"/>
          <w:sz w:val="24"/>
        </w:rPr>
      </w:pPr>
      <w:r>
        <w:rPr>
          <w:rFonts w:ascii="宋体" w:hAnsi="宋体" w:cs="宋体"/>
          <w:sz w:val="39"/>
          <w:szCs w:val="39"/>
        </w:rPr>
        <w:t>中共北京丰台区委政法委员会</w:t>
      </w:r>
    </w:p>
    <w:p>
      <w:pPr>
        <w:widowControl/>
        <w:shd w:val="clear" w:color="000000" w:fill="FFFFFF"/>
        <w:spacing w:before="100" w:beforeAutospacing="1" w:after="100" w:afterAutospacing="1"/>
        <w:jc w:val="center"/>
        <w:rPr>
          <w:rFonts w:ascii="宋体" w:hAnsi="宋体" w:cs="宋体"/>
          <w:sz w:val="24"/>
        </w:rPr>
      </w:pPr>
    </w:p>
    <w:p>
      <w:pPr>
        <w:widowControl/>
        <w:shd w:val="clear" w:color="000000" w:fill="FFFFFF"/>
        <w:spacing w:before="100" w:beforeAutospacing="1" w:after="100" w:afterAutospacing="1"/>
        <w:jc w:val="center"/>
        <w:rPr>
          <w:rFonts w:ascii="宋体" w:hAnsi="宋体" w:cs="宋体"/>
          <w:sz w:val="24"/>
        </w:rPr>
      </w:pPr>
      <w:r>
        <w:rPr>
          <w:rFonts w:ascii="宋体" w:hAnsi="宋体" w:cs="宋体"/>
          <w:sz w:val="42"/>
          <w:szCs w:val="42"/>
        </w:rPr>
        <w:t>2019年度部门决算(草案)说明</w:t>
      </w:r>
    </w:p>
    <w:p>
      <w:pPr>
        <w:widowControl/>
        <w:shd w:val="clear" w:color="000000" w:fill="FFFFFF"/>
        <w:spacing w:before="100" w:beforeAutospacing="1" w:after="100" w:afterAutospacing="1"/>
        <w:jc w:val="center"/>
        <w:rPr>
          <w:rFonts w:ascii="宋体" w:hAnsi="宋体" w:cs="宋体"/>
          <w:sz w:val="24"/>
        </w:rPr>
      </w:pPr>
    </w:p>
    <w:p>
      <w:pPr>
        <w:jc w:val="center"/>
        <w:rPr>
          <w:rFonts w:ascii="黑体" w:hAnsi="黑体" w:eastAsia="黑体"/>
          <w:kern w:val="1"/>
          <w:sz w:val="52"/>
          <w:szCs w:val="52"/>
        </w:rPr>
      </w:pPr>
    </w:p>
    <w:p>
      <w:pPr>
        <w:jc w:val="center"/>
        <w:rPr>
          <w:rFonts w:ascii="黑体" w:hAnsi="黑体" w:eastAsia="黑体"/>
          <w:kern w:val="1"/>
          <w:sz w:val="52"/>
          <w:szCs w:val="52"/>
        </w:rPr>
      </w:pPr>
    </w:p>
    <w:p>
      <w:pPr>
        <w:jc w:val="center"/>
        <w:rPr>
          <w:rFonts w:ascii="黑体" w:hAnsi="黑体" w:eastAsia="黑体"/>
          <w:kern w:val="1"/>
          <w:sz w:val="52"/>
          <w:szCs w:val="52"/>
        </w:rPr>
      </w:pPr>
    </w:p>
    <w:p>
      <w:pPr>
        <w:jc w:val="center"/>
        <w:rPr>
          <w:rFonts w:ascii="黑体" w:hAnsi="黑体" w:eastAsia="黑体"/>
          <w:kern w:val="1"/>
          <w:sz w:val="52"/>
          <w:szCs w:val="52"/>
        </w:rPr>
      </w:pPr>
    </w:p>
    <w:p>
      <w:pPr>
        <w:jc w:val="center"/>
        <w:rPr>
          <w:rFonts w:ascii="黑体" w:hAnsi="黑体" w:eastAsia="黑体"/>
          <w:kern w:val="1"/>
          <w:sz w:val="32"/>
          <w:szCs w:val="32"/>
        </w:rPr>
      </w:pPr>
    </w:p>
    <w:p>
      <w:pPr>
        <w:spacing w:line="500" w:lineRule="exact"/>
        <w:ind w:firstLine="645"/>
        <w:jc w:val="center"/>
        <w:rPr>
          <w:rFonts w:ascii="宋体" w:hAnsi="宋体" w:cs="宋体"/>
          <w:b/>
          <w:sz w:val="36"/>
          <w:szCs w:val="36"/>
        </w:rPr>
      </w:pPr>
      <w:r>
        <w:rPr>
          <w:rFonts w:ascii="宋体" w:hAnsi="宋体" w:cs="宋体"/>
          <w:b/>
          <w:sz w:val="44"/>
          <w:szCs w:val="36"/>
        </w:rPr>
        <w:t>目    录</w:t>
      </w:r>
    </w:p>
    <w:p>
      <w:pPr>
        <w:tabs>
          <w:tab w:val="center" w:pos="6979"/>
        </w:tabs>
        <w:spacing w:before="160" w:after="160"/>
        <w:jc w:val="center"/>
        <w:rPr>
          <w:rFonts w:hint="default" w:ascii="宋体" w:hAnsi="宋体" w:eastAsia="宋体" w:cs="宋体"/>
          <w:b/>
          <w:kern w:val="1"/>
          <w:sz w:val="32"/>
          <w:szCs w:val="32"/>
          <w:lang w:val="en-US" w:eastAsia="zh-CN"/>
        </w:rPr>
      </w:pPr>
      <w:r>
        <w:rPr>
          <w:rFonts w:ascii="宋体" w:hAnsi="宋体" w:cs="宋体"/>
          <w:b/>
          <w:bCs/>
          <w:spacing w:val="40"/>
          <w:sz w:val="32"/>
          <w:szCs w:val="32"/>
        </w:rPr>
        <w:t xml:space="preserve">第一部分 </w:t>
      </w:r>
      <w:r>
        <w:rPr>
          <w:rFonts w:ascii="宋体" w:hAnsi="宋体" w:cs="宋体"/>
          <w:b/>
          <w:spacing w:val="40"/>
          <w:kern w:val="1"/>
          <w:sz w:val="32"/>
          <w:szCs w:val="32"/>
        </w:rPr>
        <w:t>2019年度部门决算说明</w:t>
      </w:r>
    </w:p>
    <w:p>
      <w:pPr>
        <w:tabs>
          <w:tab w:val="center" w:pos="6979"/>
        </w:tabs>
        <w:spacing w:line="580" w:lineRule="exact"/>
        <w:ind w:firstLine="844"/>
        <w:rPr>
          <w:rFonts w:ascii="黑体" w:hAnsi="黑体" w:eastAsia="黑体"/>
          <w:b/>
          <w:kern w:val="1"/>
          <w:sz w:val="28"/>
          <w:szCs w:val="28"/>
        </w:rPr>
      </w:pPr>
      <w:r>
        <w:rPr>
          <w:rFonts w:ascii="黑体" w:hAnsi="黑体" w:eastAsia="黑体"/>
          <w:b/>
          <w:kern w:val="1"/>
          <w:sz w:val="28"/>
          <w:szCs w:val="28"/>
        </w:rPr>
        <w:t>一、</w:t>
      </w:r>
      <w:r>
        <w:rPr>
          <w:rFonts w:ascii="仿宋_GB2312" w:hAnsi="仿宋_GB2312" w:eastAsia="仿宋_GB2312"/>
          <w:kern w:val="1"/>
          <w:sz w:val="28"/>
          <w:szCs w:val="28"/>
        </w:rPr>
        <w:t>部门基本情况</w:t>
      </w:r>
    </w:p>
    <w:p>
      <w:pPr>
        <w:widowControl/>
        <w:shd w:val="clear" w:color="000000" w:fill="FFFFFF"/>
        <w:ind w:firstLine="853"/>
        <w:rPr>
          <w:rFonts w:ascii="仿宋_GB2312" w:hAnsi="仿宋_GB2312" w:eastAsia="仿宋_GB2312"/>
          <w:kern w:val="1"/>
          <w:sz w:val="28"/>
          <w:szCs w:val="28"/>
        </w:rPr>
      </w:pPr>
      <w:r>
        <w:rPr>
          <w:rFonts w:ascii="仿宋_GB2312" w:hAnsi="仿宋_GB2312" w:eastAsia="仿宋_GB2312"/>
          <w:kern w:val="1"/>
          <w:sz w:val="28"/>
          <w:szCs w:val="28"/>
        </w:rPr>
        <w:t>（一）部门机构设置、职责</w:t>
      </w:r>
    </w:p>
    <w:p>
      <w:pPr>
        <w:widowControl/>
        <w:shd w:val="clear" w:color="000000" w:fill="FFFFFF"/>
        <w:ind w:firstLine="1137"/>
        <w:rPr>
          <w:rFonts w:ascii="仿宋_GB2312" w:hAnsi="仿宋_GB2312" w:eastAsia="仿宋_GB2312"/>
          <w:kern w:val="1"/>
          <w:sz w:val="28"/>
          <w:szCs w:val="28"/>
        </w:rPr>
      </w:pPr>
      <w:r>
        <w:rPr>
          <w:rFonts w:ascii="仿宋_GB2312" w:hAnsi="仿宋_GB2312" w:eastAsia="仿宋_GB2312"/>
          <w:kern w:val="1"/>
          <w:sz w:val="28"/>
          <w:szCs w:val="28"/>
        </w:rPr>
        <w:t>区委政法委是区委领导和管理本区政法工作的职能部门。</w:t>
      </w:r>
    </w:p>
    <w:p>
      <w:pPr>
        <w:widowControl/>
        <w:shd w:val="clear" w:color="000000" w:fill="FFFFFF"/>
        <w:ind w:firstLine="853"/>
        <w:rPr>
          <w:rFonts w:ascii="仿宋_GB2312" w:hAnsi="仿宋_GB2312" w:eastAsia="仿宋_GB2312"/>
          <w:kern w:val="1"/>
          <w:sz w:val="28"/>
          <w:szCs w:val="28"/>
        </w:rPr>
      </w:pPr>
      <w:r>
        <w:rPr>
          <w:rFonts w:ascii="仿宋_GB2312" w:hAnsi="仿宋_GB2312" w:eastAsia="仿宋_GB2312"/>
          <w:kern w:val="1"/>
          <w:sz w:val="28"/>
          <w:szCs w:val="28"/>
        </w:rPr>
        <w:t>（二）人员构成情况</w:t>
      </w:r>
    </w:p>
    <w:p>
      <w:pPr>
        <w:widowControl/>
        <w:shd w:val="clear" w:color="000000" w:fill="FFFFFF"/>
        <w:ind w:firstLine="1137"/>
        <w:rPr>
          <w:rFonts w:ascii="仿宋_GB2312" w:hAnsi="仿宋_GB2312" w:eastAsia="仿宋_GB2312"/>
          <w:kern w:val="1"/>
          <w:sz w:val="28"/>
          <w:szCs w:val="28"/>
        </w:rPr>
      </w:pPr>
      <w:r>
        <w:rPr>
          <w:rFonts w:ascii="仿宋_GB2312" w:hAnsi="仿宋_GB2312" w:eastAsia="仿宋_GB2312"/>
          <w:kern w:val="1"/>
          <w:sz w:val="28"/>
          <w:szCs w:val="28"/>
        </w:rPr>
        <w:t>本部门行政编制32人，实有人数29人；事业编制3人，实有人数0人。</w:t>
      </w:r>
    </w:p>
    <w:p>
      <w:pPr>
        <w:tabs>
          <w:tab w:val="center" w:pos="6979"/>
        </w:tabs>
        <w:spacing w:line="580" w:lineRule="exact"/>
        <w:ind w:firstLine="571"/>
        <w:rPr>
          <w:rFonts w:ascii="黑体" w:hAnsi="黑体" w:eastAsia="黑体"/>
          <w:b/>
          <w:kern w:val="1"/>
          <w:sz w:val="28"/>
          <w:szCs w:val="28"/>
        </w:rPr>
      </w:pPr>
      <w:r>
        <w:rPr>
          <w:rFonts w:ascii="黑体" w:hAnsi="黑体" w:eastAsia="黑体"/>
          <w:b/>
          <w:kern w:val="1"/>
          <w:sz w:val="28"/>
          <w:szCs w:val="28"/>
        </w:rPr>
        <w:t>二、收入支出决算总体情况说明</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2019年度收入支出总计2804.14万元，比上年减少3697.78万元，减少56.87%；支总计2586.8万元，比上年减少2479.1万元，减少48.94%。</w:t>
      </w:r>
    </w:p>
    <w:p>
      <w:pPr>
        <w:tabs>
          <w:tab w:val="center" w:pos="6979"/>
        </w:tabs>
        <w:spacing w:line="580" w:lineRule="exact"/>
        <w:ind w:firstLine="570"/>
        <w:rPr>
          <w:rFonts w:ascii="仿宋_GB2312" w:hAnsi="仿宋_GB2312" w:eastAsia="仿宋_GB2312"/>
          <w:kern w:val="1"/>
          <w:sz w:val="28"/>
          <w:szCs w:val="28"/>
        </w:rPr>
      </w:pPr>
      <w:r>
        <w:rPr>
          <w:rFonts w:ascii="仿宋_GB2312" w:hAnsi="仿宋_GB2312" w:eastAsia="仿宋_GB2312"/>
          <w:kern w:val="1"/>
          <w:sz w:val="28"/>
          <w:szCs w:val="28"/>
        </w:rPr>
        <w:t>（一）收入决算说明</w:t>
      </w:r>
    </w:p>
    <w:p>
      <w:pPr>
        <w:tabs>
          <w:tab w:val="center" w:pos="6979"/>
        </w:tabs>
        <w:spacing w:line="580" w:lineRule="exact"/>
        <w:ind w:firstLine="570"/>
        <w:rPr>
          <w:rFonts w:ascii="仿宋_GB2312" w:hAnsi="仿宋_GB2312" w:eastAsia="仿宋_GB2312"/>
          <w:kern w:val="1"/>
          <w:sz w:val="28"/>
          <w:szCs w:val="28"/>
        </w:rPr>
      </w:pPr>
      <w:r>
        <w:rPr>
          <w:rFonts w:hint="eastAsia" w:ascii="仿宋_GB2312" w:hAnsi="仿宋_GB2312" w:eastAsia="仿宋_GB2312"/>
          <w:kern w:val="1"/>
          <w:sz w:val="28"/>
          <w:szCs w:val="28"/>
        </w:rPr>
        <w:t>2019年度收入2418.24万元，比上年减少4083.68万元，减少62.81%。其中：财政收入2417.34万元，占收入的99.96%；事业收入0万元，占收入合计的0%；经营收入0万元，占收入合计的0%；附属单位上缴收入0万元，占收入合计的0%；其他收入0.9万元，占收入合计的0.04%。</w:t>
      </w:r>
    </w:p>
    <w:p>
      <w:pPr>
        <w:tabs>
          <w:tab w:val="center" w:pos="6979"/>
        </w:tabs>
        <w:spacing w:line="580" w:lineRule="exact"/>
        <w:ind w:firstLine="570"/>
        <w:rPr>
          <w:rFonts w:ascii="仿宋_GB2312" w:hAnsi="仿宋_GB2312" w:eastAsia="仿宋_GB2312"/>
          <w:kern w:val="1"/>
          <w:sz w:val="28"/>
          <w:szCs w:val="28"/>
        </w:rPr>
      </w:pPr>
      <w:r>
        <w:rPr>
          <w:rFonts w:ascii="仿宋_GB2312" w:hAnsi="仿宋_GB2312" w:eastAsia="仿宋_GB2312"/>
          <w:kern w:val="1"/>
          <w:sz w:val="28"/>
          <w:szCs w:val="28"/>
        </w:rPr>
        <w:t>（二）支出决算说明</w:t>
      </w:r>
    </w:p>
    <w:p>
      <w:pPr>
        <w:tabs>
          <w:tab w:val="center" w:pos="6979"/>
        </w:tabs>
        <w:spacing w:line="580" w:lineRule="exact"/>
        <w:ind w:firstLine="570"/>
        <w:rPr>
          <w:rFonts w:ascii="仿宋_GB2312" w:hAnsi="仿宋_GB2312" w:eastAsia="仿宋_GB2312"/>
          <w:kern w:val="1"/>
          <w:sz w:val="28"/>
          <w:szCs w:val="28"/>
        </w:rPr>
      </w:pPr>
      <w:r>
        <w:rPr>
          <w:rFonts w:ascii="仿宋_GB2312" w:hAnsi="仿宋_GB2312" w:eastAsia="仿宋_GB2312"/>
          <w:kern w:val="1"/>
          <w:sz w:val="28"/>
          <w:szCs w:val="28"/>
        </w:rPr>
        <w:t>支总计2586.8万元，比上年减少2479.08万元，减少48.94%;其中：基本支出1129.01万元，占支出合计的43.6%；项目支出1457.72万元，占支出合计的56.4%;上缴上级支出0万元，占支出合计的0%；经营支出0万元，占支出合计的0%；对附属单位补助支出0万元，占支出合计的0%。</w:t>
      </w:r>
    </w:p>
    <w:p>
      <w:pPr>
        <w:tabs>
          <w:tab w:val="center" w:pos="6979"/>
        </w:tabs>
        <w:spacing w:line="580" w:lineRule="exact"/>
        <w:ind w:firstLine="559"/>
        <w:rPr>
          <w:rFonts w:ascii="黑体" w:hAnsi="黑体" w:eastAsia="黑体"/>
          <w:b/>
          <w:kern w:val="1"/>
          <w:sz w:val="28"/>
          <w:szCs w:val="28"/>
        </w:rPr>
      </w:pPr>
      <w:r>
        <w:rPr>
          <w:rFonts w:ascii="黑体" w:hAnsi="黑体" w:eastAsia="黑体"/>
          <w:b/>
          <w:kern w:val="1"/>
          <w:sz w:val="28"/>
          <w:szCs w:val="28"/>
        </w:rPr>
        <w:t>三、财政拨款收入支出决算总体情况说明</w:t>
      </w:r>
    </w:p>
    <w:p>
      <w:pPr>
        <w:tabs>
          <w:tab w:val="center" w:pos="6979"/>
        </w:tabs>
        <w:spacing w:line="580" w:lineRule="exact"/>
        <w:ind w:firstLine="570"/>
        <w:rPr>
          <w:rFonts w:ascii="仿宋_GB2312" w:hAnsi="仿宋_GB2312" w:eastAsia="仿宋_GB2312"/>
          <w:kern w:val="1"/>
          <w:sz w:val="28"/>
          <w:szCs w:val="28"/>
        </w:rPr>
      </w:pPr>
      <w:r>
        <w:rPr>
          <w:rFonts w:ascii="仿宋_GB2312" w:hAnsi="仿宋_GB2312" w:eastAsia="仿宋_GB2312"/>
          <w:kern w:val="1"/>
          <w:sz w:val="28"/>
          <w:szCs w:val="28"/>
        </w:rPr>
        <w:t>2019年度收入2770.95万元，比上年减少3730.97万元，减少57.38%。主要原因:</w:t>
      </w:r>
      <w:r>
        <w:rPr>
          <w:rFonts w:ascii="宋体" w:hAnsi="宋体" w:cs="宋体"/>
          <w:sz w:val="32"/>
          <w:szCs w:val="32"/>
        </w:rPr>
        <w:t xml:space="preserve"> </w:t>
      </w:r>
      <w:r>
        <w:rPr>
          <w:rFonts w:ascii="仿宋_GB2312" w:hAnsi="仿宋_GB2312" w:eastAsia="仿宋_GB2312"/>
          <w:kern w:val="1"/>
          <w:sz w:val="28"/>
          <w:szCs w:val="28"/>
        </w:rPr>
        <w:t>一般公共服务支出减少、项目经费减少。</w:t>
      </w:r>
    </w:p>
    <w:p>
      <w:pPr>
        <w:tabs>
          <w:tab w:val="center" w:pos="6979"/>
        </w:tabs>
        <w:spacing w:line="580" w:lineRule="exact"/>
        <w:ind w:firstLine="559"/>
        <w:rPr>
          <w:rFonts w:ascii="黑体" w:hAnsi="黑体" w:eastAsia="黑体"/>
          <w:b/>
          <w:kern w:val="1"/>
          <w:sz w:val="28"/>
          <w:szCs w:val="28"/>
        </w:rPr>
      </w:pPr>
      <w:r>
        <w:rPr>
          <w:rFonts w:ascii="黑体" w:hAnsi="黑体" w:eastAsia="黑体"/>
          <w:b/>
          <w:kern w:val="1"/>
          <w:sz w:val="28"/>
          <w:szCs w:val="28"/>
        </w:rPr>
        <w:t>四、一般公共预算财政拨款支出决算情况说明</w:t>
      </w:r>
    </w:p>
    <w:p>
      <w:pPr>
        <w:spacing w:line="580" w:lineRule="exact"/>
        <w:ind w:firstLine="568"/>
        <w:jc w:val="left"/>
        <w:rPr>
          <w:rFonts w:ascii="仿宋_GB2312" w:hAnsi="仿宋_GB2312" w:eastAsia="仿宋_GB2312"/>
          <w:kern w:val="1"/>
          <w:sz w:val="28"/>
          <w:szCs w:val="28"/>
        </w:rPr>
      </w:pPr>
      <w:r>
        <w:rPr>
          <w:rFonts w:ascii="仿宋_GB2312" w:hAnsi="仿宋_GB2312" w:eastAsia="仿宋_GB2312"/>
          <w:kern w:val="1"/>
          <w:sz w:val="28"/>
          <w:szCs w:val="28"/>
        </w:rPr>
        <w:t>（一）一般公共预算财政拨款支出决算总体情况</w:t>
      </w:r>
    </w:p>
    <w:p>
      <w:pPr>
        <w:pStyle w:val="7"/>
        <w:shd w:val="clear" w:color="000000" w:fill="FFFFFF"/>
        <w:spacing w:before="0" w:beforeAutospacing="0" w:after="0" w:afterAutospacing="0"/>
        <w:ind w:firstLine="568"/>
        <w:jc w:val="both"/>
        <w:rPr>
          <w:rFonts w:ascii="仿宋_GB2312" w:hAnsi="仿宋_GB2312" w:eastAsia="仿宋_GB2312"/>
          <w:b w:val="0"/>
          <w:kern w:val="1"/>
          <w:sz w:val="28"/>
          <w:szCs w:val="28"/>
        </w:rPr>
      </w:pPr>
      <w:r>
        <w:rPr>
          <w:rFonts w:ascii="仿宋_GB2312" w:hAnsi="仿宋_GB2312" w:eastAsia="仿宋_GB2312"/>
          <w:b w:val="0"/>
          <w:kern w:val="1"/>
          <w:sz w:val="28"/>
          <w:szCs w:val="28"/>
        </w:rPr>
        <w:t>2019年度一般公共预算财政拨款支出2576.03万元，主要用于以下方面（按大类）：一般公共服务支出1577.02万元，占本年财政拨款支出61.22%；教育支出10.02万元，占本年财政拨款支出0.39%；社会保障和就业支出93.13万元，占本年财政拨款支出3.62%；交通运输支出746.13万元，占本年财政拨款支出28.96%；住房保障支出149.73万元。占本年财政拨款支出5.81%。</w:t>
      </w:r>
    </w:p>
    <w:p>
      <w:pPr>
        <w:spacing w:line="580" w:lineRule="exact"/>
        <w:ind w:firstLine="568"/>
        <w:jc w:val="left"/>
        <w:rPr>
          <w:rFonts w:ascii="仿宋_GB2312" w:hAnsi="仿宋_GB2312" w:eastAsia="仿宋_GB2312"/>
          <w:kern w:val="1"/>
          <w:sz w:val="28"/>
          <w:szCs w:val="28"/>
        </w:rPr>
      </w:pPr>
      <w:r>
        <w:rPr>
          <w:rFonts w:ascii="仿宋_GB2312" w:hAnsi="仿宋_GB2312" w:eastAsia="仿宋_GB2312"/>
          <w:kern w:val="1"/>
          <w:sz w:val="28"/>
          <w:szCs w:val="28"/>
        </w:rPr>
        <w:t>（二）一般公共预算财政拨款支出决算具体情况</w:t>
      </w:r>
    </w:p>
    <w:p>
      <w:pPr>
        <w:pStyle w:val="7"/>
        <w:shd w:val="clear" w:color="000000" w:fill="FFFFFF"/>
        <w:spacing w:before="0" w:beforeAutospacing="0" w:after="0" w:afterAutospacing="0"/>
        <w:ind w:firstLine="568"/>
        <w:jc w:val="both"/>
        <w:rPr>
          <w:rFonts w:ascii="仿宋_GB2312" w:hAnsi="仿宋_GB2312" w:eastAsia="仿宋_GB2312"/>
          <w:b w:val="0"/>
          <w:kern w:val="1"/>
          <w:sz w:val="28"/>
          <w:szCs w:val="28"/>
        </w:rPr>
      </w:pPr>
      <w:r>
        <w:rPr>
          <w:rFonts w:ascii="仿宋_GB2312" w:hAnsi="仿宋_GB2312" w:eastAsia="仿宋_GB2312"/>
          <w:b w:val="0"/>
          <w:kern w:val="1"/>
          <w:sz w:val="28"/>
          <w:szCs w:val="28"/>
        </w:rPr>
        <w:t xml:space="preserve">1、“一般公共服务支出”（类）2019年度决算1577.02万元，比2019年年初预算减少1178.94万元，下降42.78%。其中： </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（1）政府办公厅及相关机构事务2019年度决算901.15万元，比2019年年初预算增加37.69万元，上升4.02%。</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（2）党委办公厅及相关机构事务2019年度决算28.25万元，比2019年年初预算增加28.25万元，增加100%，主要原因是经费结转。</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（3）组织事务2019年度决算0.79万元，比2019年年初预算减少0.26万元，减少33%，主要原因是压缩经费。</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（4）其他共产党事务支出646.84万元，比2019年年初预算减少1244.15万元，减少65.79%，主要原因经费划拨。</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2.“社会保障和就业”(类)2019年度决算支出93.13万元，比2019年年初预算减少15.82万元，减少14.53 %。其中：养老保险汇缴比例调整。</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3.“交通运输支出”（款）2019年度决算746. 13万元，比2019年年初预算减少253.87万元，下降25.39。主要原因：经费划拨。</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4.“住房保障支出”(类)2019年度决算支出149.73万元，比2019年年初预算减少4.55万元，下降3 %。其中：房补及公积金调整。</w:t>
      </w:r>
    </w:p>
    <w:p>
      <w:pPr>
        <w:widowControl/>
        <w:shd w:val="clear" w:color="000000" w:fill="FFFFFF"/>
        <w:ind w:firstLine="651"/>
        <w:jc w:val="left"/>
        <w:rPr>
          <w:rFonts w:ascii="宋体" w:hAnsi="宋体" w:cs="宋体"/>
          <w:sz w:val="32"/>
          <w:szCs w:val="32"/>
        </w:rPr>
      </w:pPr>
      <w:r>
        <w:rPr>
          <w:rFonts w:ascii="宋体" w:hAnsi="宋体" w:cs="宋体"/>
          <w:b/>
          <w:bCs/>
          <w:sz w:val="32"/>
          <w:szCs w:val="32"/>
        </w:rPr>
        <w:t>五、政府性基金预算财政拨款支出决算情况说明</w:t>
      </w:r>
    </w:p>
    <w:p>
      <w:pPr>
        <w:widowControl/>
        <w:shd w:val="clear" w:color="000000" w:fill="FFFFFF"/>
        <w:ind w:firstLine="568"/>
        <w:rPr>
          <w:rFonts w:ascii="仿宋_GB2312" w:hAnsi="仿宋_GB2312" w:eastAsia="仿宋_GB2312"/>
          <w:kern w:val="1"/>
          <w:sz w:val="28"/>
          <w:szCs w:val="28"/>
        </w:rPr>
      </w:pPr>
      <w:r>
        <w:rPr>
          <w:rFonts w:ascii="仿宋_GB2312" w:hAnsi="仿宋_GB2312" w:eastAsia="仿宋_GB2312"/>
          <w:kern w:val="1"/>
          <w:sz w:val="28"/>
          <w:szCs w:val="28"/>
        </w:rPr>
        <w:t>无此项内容。</w:t>
      </w:r>
    </w:p>
    <w:p>
      <w:pPr>
        <w:spacing w:line="580" w:lineRule="exact"/>
        <w:ind w:firstLine="559"/>
        <w:rPr>
          <w:rFonts w:ascii="黑体" w:hAnsi="黑体" w:eastAsia="黑体"/>
          <w:kern w:val="1"/>
          <w:sz w:val="28"/>
          <w:szCs w:val="28"/>
        </w:rPr>
      </w:pPr>
      <w:r>
        <w:rPr>
          <w:rFonts w:ascii="黑体" w:hAnsi="黑体" w:eastAsia="黑体"/>
          <w:b/>
          <w:kern w:val="1"/>
          <w:sz w:val="28"/>
          <w:szCs w:val="28"/>
        </w:rPr>
        <w:t>六、财政拨款基本支出决算情况说明</w:t>
      </w:r>
    </w:p>
    <w:p>
      <w:pPr>
        <w:spacing w:line="580" w:lineRule="exact"/>
        <w:jc w:val="center"/>
        <w:rPr>
          <w:rFonts w:ascii="宋体" w:hAnsi="宋体" w:cs="宋体"/>
          <w:b/>
          <w:spacing w:val="40"/>
          <w:kern w:val="1"/>
          <w:sz w:val="32"/>
          <w:szCs w:val="32"/>
        </w:rPr>
      </w:pPr>
      <w:r>
        <w:rPr>
          <w:rFonts w:ascii="仿宋_GB2312" w:hAnsi="仿宋_GB2312" w:eastAsia="仿宋_GB2312"/>
          <w:kern w:val="1"/>
          <w:sz w:val="28"/>
          <w:szCs w:val="28"/>
        </w:rPr>
        <w:t>2019年本部门使用一般公共预算财政拨款安排基本支出1129.08万元，使用政府性基金财政拨款安排基本支出0万元，其中：（1）工资福利支出包括 基本工资、津贴补贴、奖金、机关事业单位基本养老保险缴费、职业年金缴费、职业基本医疗保险缴费、其他社会保障缴费、住房公积金；（2）商品和服务支出包括办公费、手续费、邮电费、取暖费、差旅费、维修（护）费、培训费、工会经费、福利费、其他交通费、其他商品和服务等支出；（3）对个人和家庭补助支出包括退休费、奖励金。</w:t>
      </w:r>
      <w:r>
        <w:rPr>
          <w:rFonts w:ascii="黑体" w:hAnsi="黑体" w:eastAsia="黑体"/>
          <w:b/>
          <w:kern w:val="1"/>
          <w:sz w:val="28"/>
          <w:szCs w:val="28"/>
        </w:rPr>
        <w:br w:type="page"/>
      </w:r>
      <w:r>
        <w:rPr>
          <w:rFonts w:ascii="仿宋_GB2312" w:hAnsi="仿宋_GB2312" w:eastAsia="仿宋_GB2312"/>
          <w:b/>
          <w:kern w:val="1"/>
          <w:sz w:val="32"/>
          <w:szCs w:val="32"/>
        </w:rPr>
        <w:tab/>
      </w:r>
    </w:p>
    <w:p>
      <w:pPr>
        <w:tabs>
          <w:tab w:val="center" w:pos="6979"/>
        </w:tabs>
        <w:jc w:val="center"/>
        <w:rPr>
          <w:rFonts w:hint="default" w:ascii="宋体" w:hAnsi="宋体" w:eastAsia="宋体" w:cs="宋体"/>
          <w:b/>
          <w:spacing w:val="40"/>
          <w:sz w:val="32"/>
          <w:szCs w:val="32"/>
          <w:lang w:val="en-US" w:eastAsia="zh-CN"/>
        </w:rPr>
      </w:pPr>
      <w:r>
        <w:rPr>
          <w:rFonts w:ascii="宋体" w:hAnsi="宋体" w:cs="宋体"/>
          <w:b/>
          <w:bCs/>
          <w:spacing w:val="40"/>
          <w:sz w:val="32"/>
          <w:szCs w:val="32"/>
        </w:rPr>
        <w:t>第二部分</w:t>
      </w:r>
      <w:r>
        <w:rPr>
          <w:rFonts w:ascii="宋体" w:hAnsi="宋体" w:cs="宋体"/>
          <w:b/>
          <w:spacing w:val="40"/>
          <w:kern w:val="1"/>
          <w:sz w:val="32"/>
          <w:szCs w:val="32"/>
        </w:rPr>
        <w:t>2019年度</w:t>
      </w:r>
      <w:r>
        <w:rPr>
          <w:rFonts w:ascii="宋体" w:hAnsi="宋体" w:cs="宋体"/>
          <w:b/>
          <w:spacing w:val="40"/>
          <w:sz w:val="32"/>
          <w:szCs w:val="32"/>
        </w:rPr>
        <w:t>其他重要事项的情况说明</w:t>
      </w:r>
    </w:p>
    <w:p>
      <w:pPr>
        <w:spacing w:line="560" w:lineRule="exact"/>
        <w:ind w:firstLine="568"/>
        <w:rPr>
          <w:rFonts w:ascii="黑体" w:hAnsi="黑体" w:eastAsia="黑体"/>
          <w:kern w:val="1"/>
          <w:sz w:val="28"/>
          <w:szCs w:val="28"/>
        </w:rPr>
      </w:pPr>
      <w:r>
        <w:rPr>
          <w:rFonts w:ascii="黑体" w:hAnsi="黑体" w:eastAsia="黑体"/>
          <w:kern w:val="1"/>
          <w:sz w:val="28"/>
          <w:szCs w:val="28"/>
        </w:rPr>
        <w:t>一、“三公”经费财政拨款决算情况</w:t>
      </w:r>
    </w:p>
    <w:p>
      <w:pPr>
        <w:spacing w:line="560" w:lineRule="exact"/>
        <w:ind w:firstLine="600"/>
        <w:rPr>
          <w:rFonts w:ascii="仿宋_GB2312" w:hAnsi="仿宋_GB2312" w:eastAsia="仿宋_GB2312"/>
          <w:kern w:val="1"/>
          <w:sz w:val="28"/>
          <w:szCs w:val="28"/>
        </w:rPr>
      </w:pPr>
      <w:r>
        <w:rPr>
          <w:rFonts w:ascii="仿宋_GB2312" w:hAnsi="仿宋_GB2312" w:eastAsia="仿宋_GB2312"/>
          <w:kern w:val="1"/>
          <w:sz w:val="28"/>
          <w:szCs w:val="28"/>
        </w:rPr>
        <w:t>“三公”经费包括本部门所属</w:t>
      </w:r>
      <w:r>
        <w:rPr>
          <w:rFonts w:ascii="仿宋_GB2312" w:hAnsi="仿宋_GB2312" w:eastAsia="仿宋_GB2312"/>
          <w:bCs/>
          <w:kern w:val="1"/>
          <w:sz w:val="28"/>
          <w:szCs w:val="28"/>
        </w:rPr>
        <w:t>1</w:t>
      </w:r>
      <w:r>
        <w:rPr>
          <w:rFonts w:ascii="仿宋_GB2312" w:hAnsi="仿宋_GB2312" w:eastAsia="仿宋_GB2312"/>
          <w:kern w:val="1"/>
          <w:sz w:val="28"/>
          <w:szCs w:val="28"/>
        </w:rPr>
        <w:t>个行政单位、0个参照公务员法管理事业单位、</w:t>
      </w:r>
      <w:r>
        <w:rPr>
          <w:rFonts w:ascii="仿宋_GB2312" w:hAnsi="仿宋_GB2312" w:eastAsia="仿宋_GB2312"/>
          <w:bCs/>
          <w:kern w:val="1"/>
          <w:sz w:val="28"/>
          <w:szCs w:val="28"/>
        </w:rPr>
        <w:t>1个</w:t>
      </w:r>
      <w:r>
        <w:rPr>
          <w:rFonts w:ascii="仿宋_GB2312" w:hAnsi="仿宋_GB2312" w:eastAsia="仿宋_GB2312"/>
          <w:kern w:val="1"/>
          <w:sz w:val="28"/>
          <w:szCs w:val="28"/>
        </w:rPr>
        <w:t>事业单位。2019年“三公”经费财政拨款决算数0万元，比2019年“三公”经费财政拨款年初预算0万元增加（减少）0万元。其中：</w:t>
      </w:r>
    </w:p>
    <w:p>
      <w:pPr>
        <w:spacing w:line="560" w:lineRule="exact"/>
        <w:ind w:firstLine="600"/>
        <w:rPr>
          <w:rFonts w:ascii="仿宋_GB2312" w:hAnsi="仿宋_GB2312" w:eastAsia="仿宋_GB2312"/>
          <w:kern w:val="1"/>
          <w:sz w:val="28"/>
          <w:szCs w:val="28"/>
        </w:rPr>
      </w:pPr>
      <w:r>
        <w:rPr>
          <w:rFonts w:hint="eastAsia" w:ascii="仿宋_GB2312" w:hAnsi="仿宋_GB2312" w:eastAsia="仿宋_GB2312"/>
          <w:kern w:val="1"/>
          <w:sz w:val="28"/>
          <w:szCs w:val="28"/>
        </w:rPr>
        <w:t>1.因公出国（境）费用。201</w:t>
      </w:r>
      <w:r>
        <w:rPr>
          <w:rFonts w:ascii="仿宋_GB2312" w:hAnsi="仿宋_GB2312" w:eastAsia="仿宋_GB2312"/>
          <w:kern w:val="1"/>
          <w:sz w:val="28"/>
          <w:szCs w:val="28"/>
        </w:rPr>
        <w:t>9</w:t>
      </w:r>
      <w:r>
        <w:rPr>
          <w:rFonts w:hint="eastAsia" w:ascii="仿宋_GB2312" w:hAnsi="仿宋_GB2312" w:eastAsia="仿宋_GB2312"/>
          <w:kern w:val="1"/>
          <w:sz w:val="28"/>
          <w:szCs w:val="28"/>
        </w:rPr>
        <w:t>年决算数</w:t>
      </w:r>
      <w:r>
        <w:rPr>
          <w:rFonts w:ascii="仿宋_GB2312" w:hAnsi="仿宋_GB2312" w:eastAsia="仿宋_GB2312"/>
          <w:kern w:val="1"/>
          <w:sz w:val="28"/>
          <w:szCs w:val="28"/>
        </w:rPr>
        <w:t>0</w:t>
      </w:r>
      <w:r>
        <w:rPr>
          <w:rFonts w:hint="eastAsia" w:ascii="仿宋_GB2312" w:hAnsi="仿宋_GB2312" w:eastAsia="仿宋_GB2312"/>
          <w:kern w:val="1"/>
          <w:sz w:val="28"/>
          <w:szCs w:val="28"/>
        </w:rPr>
        <w:t>万元，比201</w:t>
      </w:r>
      <w:r>
        <w:rPr>
          <w:rFonts w:ascii="仿宋_GB2312" w:hAnsi="仿宋_GB2312" w:eastAsia="仿宋_GB2312"/>
          <w:kern w:val="1"/>
          <w:sz w:val="28"/>
          <w:szCs w:val="28"/>
        </w:rPr>
        <w:t>9</w:t>
      </w:r>
      <w:r>
        <w:rPr>
          <w:rFonts w:hint="eastAsia" w:ascii="仿宋_GB2312" w:hAnsi="仿宋_GB2312" w:eastAsia="仿宋_GB2312"/>
          <w:kern w:val="1"/>
          <w:sz w:val="28"/>
          <w:szCs w:val="28"/>
        </w:rPr>
        <w:t>年年初预算数0万元增加</w:t>
      </w:r>
      <w:r>
        <w:rPr>
          <w:rFonts w:ascii="仿宋_GB2312" w:hAnsi="仿宋_GB2312" w:eastAsia="仿宋_GB2312"/>
          <w:kern w:val="1"/>
          <w:sz w:val="28"/>
          <w:szCs w:val="28"/>
        </w:rPr>
        <w:t>0</w:t>
      </w:r>
      <w:r>
        <w:rPr>
          <w:rFonts w:hint="eastAsia" w:ascii="仿宋_GB2312" w:hAnsi="仿宋_GB2312" w:eastAsia="仿宋_GB2312"/>
          <w:kern w:val="1"/>
          <w:sz w:val="28"/>
          <w:szCs w:val="28"/>
        </w:rPr>
        <w:t>万元。</w:t>
      </w:r>
    </w:p>
    <w:p>
      <w:pPr>
        <w:spacing w:line="560" w:lineRule="exact"/>
        <w:ind w:firstLine="600"/>
        <w:rPr>
          <w:rFonts w:ascii="仿宋_GB2312" w:hAnsi="仿宋_GB2312" w:eastAsia="仿宋_GB2312"/>
          <w:kern w:val="1"/>
          <w:sz w:val="28"/>
          <w:szCs w:val="28"/>
        </w:rPr>
      </w:pPr>
      <w:r>
        <w:rPr>
          <w:rFonts w:ascii="仿宋_GB2312" w:hAnsi="仿宋_GB2312" w:eastAsia="仿宋_GB2312"/>
          <w:kern w:val="1"/>
          <w:sz w:val="28"/>
          <w:szCs w:val="28"/>
        </w:rPr>
        <w:t>2.公务接待费。2019年决算数0万元，比2019年年初预算数0万元增加（减少）0万元。</w:t>
      </w:r>
    </w:p>
    <w:p>
      <w:pPr>
        <w:spacing w:line="560" w:lineRule="exact"/>
        <w:ind w:firstLine="568"/>
        <w:rPr>
          <w:rFonts w:ascii="仿宋_GB2312" w:hAnsi="仿宋_GB2312" w:eastAsia="仿宋_GB2312"/>
          <w:kern w:val="1"/>
          <w:sz w:val="28"/>
          <w:szCs w:val="28"/>
        </w:rPr>
      </w:pPr>
      <w:r>
        <w:rPr>
          <w:rFonts w:ascii="仿宋_GB2312" w:hAnsi="仿宋_GB2312" w:eastAsia="仿宋_GB2312"/>
          <w:kern w:val="1"/>
          <w:sz w:val="28"/>
          <w:szCs w:val="28"/>
        </w:rPr>
        <w:t>3.公务用车购置及运行维护费。2019年决算数0万元，比2019年年初预算数0万元增加（减少）0万元。其中，公务用车购置费2019年决算数0万元，比2019年年初预算数0万元增加（减少）0万元。</w:t>
      </w:r>
    </w:p>
    <w:p>
      <w:pPr>
        <w:tabs>
          <w:tab w:val="center" w:pos="6979"/>
        </w:tabs>
        <w:ind w:firstLine="563"/>
        <w:rPr>
          <w:rFonts w:ascii="黑体" w:hAnsi="黑体" w:eastAsia="黑体"/>
          <w:kern w:val="1"/>
          <w:sz w:val="28"/>
          <w:szCs w:val="28"/>
        </w:rPr>
      </w:pPr>
      <w:r>
        <w:rPr>
          <w:rFonts w:ascii="黑体" w:hAnsi="黑体" w:eastAsia="黑体"/>
          <w:kern w:val="1"/>
          <w:sz w:val="28"/>
          <w:szCs w:val="28"/>
        </w:rPr>
        <w:t>二、机关运行经费支出情况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2019年本部门行政单位（含参照公务员法管理事业单位）使用一般公共预算财政拨款安排的基本支出中的日常公用经费支出，合计64.23万元，比上年减少2.43万元，减少原因：人员调出。</w:t>
      </w:r>
    </w:p>
    <w:p>
      <w:pPr>
        <w:ind w:left="540"/>
        <w:rPr>
          <w:rFonts w:ascii="黑体" w:hAnsi="黑体" w:eastAsia="黑体"/>
          <w:kern w:val="1"/>
          <w:sz w:val="28"/>
          <w:szCs w:val="28"/>
        </w:rPr>
      </w:pPr>
      <w:r>
        <w:rPr>
          <w:rFonts w:ascii="黑体" w:hAnsi="黑体" w:eastAsia="黑体"/>
          <w:kern w:val="1"/>
          <w:sz w:val="28"/>
          <w:szCs w:val="28"/>
        </w:rPr>
        <w:t>三、政府采购支出情况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2019年本部门政府采购支出总额1178.23万元，其中：政府采购货物支出0万元，政府采购工程支出0万元，政府采购服务支出1178.23万元。授予中小企业合同金额615.43万元，占政府采购支出总额的52.23%，其中：授予小微企业合同金额202.33万元，占政府采购支出总额的17.17%。</w:t>
      </w:r>
    </w:p>
    <w:p>
      <w:pPr>
        <w:ind w:firstLine="568"/>
        <w:rPr>
          <w:rFonts w:ascii="黑体" w:hAnsi="黑体" w:eastAsia="黑体"/>
          <w:kern w:val="1"/>
          <w:sz w:val="28"/>
          <w:szCs w:val="28"/>
        </w:rPr>
      </w:pPr>
      <w:r>
        <w:rPr>
          <w:rFonts w:ascii="黑体" w:hAnsi="黑体" w:eastAsia="黑体"/>
          <w:kern w:val="1"/>
          <w:sz w:val="28"/>
          <w:szCs w:val="28"/>
        </w:rPr>
        <w:t>四、国有资产占用情况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我单位在政府办公区办公，固有资产在机关服务中心统一核算。</w:t>
      </w:r>
    </w:p>
    <w:p>
      <w:pPr>
        <w:ind w:firstLine="568"/>
        <w:rPr>
          <w:rFonts w:ascii="黑体" w:hAnsi="黑体" w:eastAsia="黑体"/>
          <w:kern w:val="1"/>
          <w:sz w:val="28"/>
          <w:szCs w:val="28"/>
        </w:rPr>
      </w:pPr>
      <w:r>
        <w:rPr>
          <w:rFonts w:ascii="黑体" w:hAnsi="黑体" w:eastAsia="黑体"/>
          <w:kern w:val="1"/>
          <w:sz w:val="28"/>
          <w:szCs w:val="28"/>
        </w:rPr>
        <w:t>五、国有资本经营预算财政拨款收支情况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2019年</w:t>
      </w:r>
      <w:r>
        <w:rPr>
          <w:rFonts w:hint="eastAsia" w:ascii="仿宋_GB2312" w:hAnsi="仿宋_GB2312" w:eastAsia="仿宋_GB2312"/>
          <w:kern w:val="1"/>
          <w:sz w:val="28"/>
          <w:szCs w:val="28"/>
        </w:rPr>
        <w:t>本部门国有资本经营预算财政</w:t>
      </w:r>
      <w:r>
        <w:rPr>
          <w:rFonts w:ascii="仿宋_GB2312" w:hAnsi="仿宋_GB2312" w:eastAsia="仿宋_GB2312"/>
          <w:kern w:val="1"/>
          <w:sz w:val="28"/>
          <w:szCs w:val="28"/>
        </w:rPr>
        <w:t>拨款</w:t>
      </w:r>
      <w:r>
        <w:rPr>
          <w:rFonts w:hint="eastAsia" w:ascii="仿宋_GB2312" w:hAnsi="仿宋_GB2312" w:eastAsia="仿宋_GB2312"/>
          <w:kern w:val="1"/>
          <w:sz w:val="28"/>
          <w:szCs w:val="28"/>
        </w:rPr>
        <w:t>收入总</w:t>
      </w:r>
      <w:r>
        <w:rPr>
          <w:rFonts w:ascii="仿宋_GB2312" w:hAnsi="仿宋_GB2312" w:eastAsia="仿宋_GB2312"/>
          <w:kern w:val="1"/>
          <w:sz w:val="28"/>
          <w:szCs w:val="28"/>
        </w:rPr>
        <w:t>计0</w:t>
      </w:r>
      <w:r>
        <w:rPr>
          <w:rFonts w:hint="eastAsia" w:ascii="仿宋_GB2312" w:hAnsi="仿宋_GB2312" w:eastAsia="仿宋_GB2312"/>
          <w:kern w:val="1"/>
          <w:sz w:val="28"/>
          <w:szCs w:val="28"/>
        </w:rPr>
        <w:t>万元，国有资本经营预算财政</w:t>
      </w:r>
      <w:r>
        <w:rPr>
          <w:rFonts w:ascii="仿宋_GB2312" w:hAnsi="仿宋_GB2312" w:eastAsia="仿宋_GB2312"/>
          <w:kern w:val="1"/>
          <w:sz w:val="28"/>
          <w:szCs w:val="28"/>
        </w:rPr>
        <w:t>拨款</w:t>
      </w:r>
      <w:r>
        <w:rPr>
          <w:rFonts w:hint="eastAsia" w:ascii="仿宋_GB2312" w:hAnsi="仿宋_GB2312" w:eastAsia="仿宋_GB2312"/>
          <w:kern w:val="1"/>
          <w:sz w:val="28"/>
          <w:szCs w:val="28"/>
        </w:rPr>
        <w:t>支出总</w:t>
      </w:r>
      <w:r>
        <w:rPr>
          <w:rFonts w:ascii="仿宋_GB2312" w:hAnsi="仿宋_GB2312" w:eastAsia="仿宋_GB2312"/>
          <w:kern w:val="1"/>
          <w:sz w:val="28"/>
          <w:szCs w:val="28"/>
        </w:rPr>
        <w:t>计0</w:t>
      </w:r>
      <w:r>
        <w:rPr>
          <w:rFonts w:hint="eastAsia" w:ascii="仿宋_GB2312" w:hAnsi="仿宋_GB2312" w:eastAsia="仿宋_GB2312"/>
          <w:kern w:val="1"/>
          <w:sz w:val="28"/>
          <w:szCs w:val="28"/>
        </w:rPr>
        <w:t>万元。</w:t>
      </w:r>
    </w:p>
    <w:p>
      <w:pPr>
        <w:ind w:firstLine="546"/>
        <w:rPr>
          <w:rFonts w:ascii="黑体" w:hAnsi="黑体" w:eastAsia="黑体"/>
          <w:kern w:val="1"/>
          <w:sz w:val="28"/>
          <w:szCs w:val="28"/>
        </w:rPr>
      </w:pPr>
      <w:r>
        <w:rPr>
          <w:rFonts w:hint="eastAsia" w:ascii="黑体" w:hAnsi="黑体" w:eastAsia="黑体"/>
          <w:kern w:val="1"/>
          <w:sz w:val="28"/>
          <w:szCs w:val="28"/>
        </w:rPr>
        <w:t>六</w:t>
      </w:r>
      <w:r>
        <w:rPr>
          <w:rFonts w:ascii="黑体" w:hAnsi="黑体" w:eastAsia="黑体"/>
          <w:kern w:val="1"/>
          <w:sz w:val="28"/>
          <w:szCs w:val="28"/>
        </w:rPr>
        <w:t>、政府购买服务</w:t>
      </w:r>
      <w:r>
        <w:rPr>
          <w:rFonts w:hint="eastAsia" w:ascii="黑体" w:hAnsi="黑体" w:eastAsia="黑体"/>
          <w:kern w:val="1"/>
          <w:sz w:val="28"/>
          <w:szCs w:val="28"/>
        </w:rPr>
        <w:t>支出</w:t>
      </w:r>
      <w:r>
        <w:rPr>
          <w:rFonts w:ascii="黑体" w:hAnsi="黑体" w:eastAsia="黑体"/>
          <w:kern w:val="1"/>
          <w:sz w:val="28"/>
          <w:szCs w:val="28"/>
        </w:rPr>
        <w:t>说明</w:t>
      </w:r>
    </w:p>
    <w:p>
      <w:pPr>
        <w:ind w:firstLine="546"/>
        <w:rPr>
          <w:rFonts w:ascii="仿宋_GB2312" w:hAnsi="仿宋_GB2312" w:eastAsia="仿宋_GB2312"/>
          <w:color w:val="FF0000"/>
          <w:kern w:val="1"/>
          <w:sz w:val="28"/>
          <w:szCs w:val="28"/>
        </w:rPr>
      </w:pPr>
      <w:r>
        <w:rPr>
          <w:rFonts w:ascii="仿宋_GB2312" w:hAnsi="仿宋_GB2312" w:eastAsia="仿宋_GB2312"/>
          <w:color w:val="000000"/>
          <w:kern w:val="1"/>
          <w:sz w:val="28"/>
          <w:szCs w:val="28"/>
        </w:rPr>
        <w:t>2019年本部门政府购买服务决算8.37万元。</w:t>
      </w:r>
    </w:p>
    <w:p>
      <w:pPr>
        <w:ind w:firstLine="568"/>
        <w:jc w:val="left"/>
        <w:rPr>
          <w:rFonts w:ascii="仿宋_GB2312" w:hAnsi="仿宋_GB2312" w:eastAsia="仿宋_GB2312"/>
          <w:kern w:val="1"/>
          <w:sz w:val="32"/>
          <w:szCs w:val="32"/>
        </w:rPr>
      </w:pPr>
      <w:r>
        <w:rPr>
          <w:rFonts w:ascii="黑体" w:hAnsi="黑体" w:eastAsia="黑体"/>
          <w:kern w:val="1"/>
          <w:sz w:val="28"/>
          <w:szCs w:val="28"/>
        </w:rPr>
        <w:t>七、专业名词解释</w:t>
      </w:r>
    </w:p>
    <w:p>
      <w:pPr>
        <w:ind w:firstLine="568"/>
        <w:rPr>
          <w:rFonts w:ascii="仿宋_GB2312" w:hAnsi="仿宋_GB2312" w:eastAsia="仿宋_GB2312"/>
          <w:kern w:val="1"/>
          <w:sz w:val="28"/>
          <w:szCs w:val="28"/>
        </w:rPr>
      </w:pPr>
      <w:r>
        <w:rPr>
          <w:rFonts w:hint="eastAsia" w:ascii="仿宋_GB2312" w:hAnsi="仿宋_GB2312" w:eastAsia="仿宋_GB2312"/>
          <w:kern w:val="1"/>
          <w:sz w:val="28"/>
          <w:szCs w:val="28"/>
        </w:rPr>
        <w:t>1.“三公”经费：</w:t>
      </w:r>
      <w:r>
        <w:rPr>
          <w:rFonts w:hint="eastAsia" w:ascii="仿宋_GB2312" w:hAnsi="仿宋_GB2312" w:eastAsia="仿宋_GB2312" w:cs="宋体"/>
          <w:kern w:val="1"/>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6"/>
        <w:rPr>
          <w:rFonts w:ascii="仿宋_GB2312" w:hAnsi="仿宋_GB2312" w:eastAsia="仿宋_GB2312"/>
          <w:kern w:val="1"/>
          <w:sz w:val="28"/>
          <w:szCs w:val="28"/>
        </w:rPr>
      </w:pPr>
      <w:r>
        <w:rPr>
          <w:rFonts w:hint="eastAsia" w:ascii="仿宋_GB2312" w:hAnsi="仿宋_GB2312" w:eastAsia="仿宋_GB2312"/>
          <w:kern w:val="1"/>
          <w:sz w:val="28"/>
          <w:szCs w:val="28"/>
        </w:rPr>
        <w:t xml:space="preserve"> </w:t>
      </w:r>
      <w:r>
        <w:rPr>
          <w:rFonts w:ascii="仿宋_GB2312" w:hAnsi="仿宋_GB2312" w:eastAsia="仿宋_GB2312"/>
          <w:kern w:val="1"/>
          <w:sz w:val="28"/>
          <w:szCs w:val="28"/>
        </w:rPr>
        <w:t>2.</w:t>
      </w:r>
      <w:r>
        <w:rPr>
          <w:rFonts w:hint="eastAsia" w:ascii="仿宋_GB2312" w:hAnsi="仿宋_GB2312" w:eastAsia="仿宋_GB2312"/>
          <w:kern w:val="1"/>
          <w:sz w:val="28"/>
          <w:szCs w:val="28"/>
        </w:rPr>
        <w:t>机关运行经费：</w:t>
      </w:r>
      <w:r>
        <w:rPr>
          <w:rFonts w:hint="eastAsia" w:ascii="仿宋_GB2312" w:hAnsi="仿宋_GB2312" w:eastAsia="仿宋_GB2312" w:cs="宋体"/>
          <w:kern w:val="1"/>
          <w:sz w:val="28"/>
          <w:szCs w:val="28"/>
        </w:rPr>
        <w:t>是指行政单位（含参照公务员法管理事业单位）使用</w:t>
      </w:r>
      <w:r>
        <w:rPr>
          <w:rFonts w:ascii="仿宋_GB2312" w:hAnsi="仿宋_GB2312" w:eastAsia="仿宋_GB2312" w:cs="宋体"/>
          <w:kern w:val="1"/>
          <w:sz w:val="28"/>
          <w:szCs w:val="28"/>
        </w:rPr>
        <w:t>一般公共预算财政</w:t>
      </w:r>
      <w:r>
        <w:rPr>
          <w:rFonts w:hint="eastAsia" w:ascii="仿宋_GB2312" w:hAnsi="仿宋_GB2312" w:eastAsia="仿宋_GB2312" w:cs="宋体"/>
          <w:kern w:val="1"/>
          <w:sz w:val="28"/>
          <w:szCs w:val="28"/>
        </w:rPr>
        <w:t>拨款</w:t>
      </w:r>
      <w:r>
        <w:rPr>
          <w:rFonts w:ascii="仿宋_GB2312" w:hAnsi="仿宋_GB2312" w:eastAsia="仿宋_GB2312" w:cs="宋体"/>
          <w:kern w:val="1"/>
          <w:sz w:val="28"/>
          <w:szCs w:val="28"/>
        </w:rPr>
        <w:t>安排的基本支出中的日常公用经费支出</w:t>
      </w:r>
      <w:r>
        <w:rPr>
          <w:rFonts w:hint="eastAsia" w:ascii="仿宋_GB2312" w:hAnsi="仿宋_GB2312" w:eastAsia="仿宋_GB2312" w:cs="宋体"/>
          <w:kern w:val="1"/>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6"/>
        <w:rPr>
          <w:rFonts w:ascii="仿宋_GB2312" w:hAnsi="仿宋_GB2312" w:eastAsia="仿宋_GB2312"/>
          <w:kern w:val="1"/>
          <w:sz w:val="28"/>
          <w:szCs w:val="28"/>
        </w:rPr>
      </w:pPr>
      <w:r>
        <w:rPr>
          <w:rFonts w:ascii="仿宋_GB2312" w:hAnsi="仿宋_GB2312" w:eastAsia="仿宋_GB2312"/>
          <w:kern w:val="1"/>
          <w:sz w:val="28"/>
          <w:szCs w:val="28"/>
        </w:rPr>
        <w:t>3.政府采购：指各级国家机关、事业单位和团体组织，使用财政性资金采购依法制定的集中目录以内的或者采购限额标准以上的货物、工程和服务的行为。</w:t>
      </w:r>
    </w:p>
    <w:p>
      <w:pPr>
        <w:ind w:firstLine="426"/>
        <w:rPr>
          <w:rFonts w:ascii="仿宋_GB2312" w:hAnsi="仿宋_GB2312" w:eastAsia="仿宋_GB2312"/>
          <w:kern w:val="1"/>
          <w:sz w:val="28"/>
          <w:szCs w:val="28"/>
        </w:rPr>
      </w:pPr>
      <w:r>
        <w:rPr>
          <w:rFonts w:ascii="仿宋_GB2312" w:hAnsi="仿宋_GB2312" w:eastAsia="仿宋_GB2312"/>
          <w:kern w:val="1"/>
          <w:sz w:val="28"/>
          <w:szCs w:val="28"/>
        </w:rPr>
        <w:t>4.政府购买服务：是指各级国家机关将属于自身职责范围且适合通过市场化方式提供的服务事项，按照政府采购方式和程序，交由符合条件的服务供应商承担，并根据服务数量和质量等因素向其支付费用的行为。</w:t>
      </w:r>
    </w:p>
    <w:p>
      <w:pPr>
        <w:ind w:firstLine="426"/>
        <w:rPr>
          <w:rFonts w:ascii="仿宋_GB2312" w:hAnsi="仿宋_GB2312" w:eastAsia="仿宋_GB2312"/>
          <w:kern w:val="1"/>
          <w:sz w:val="28"/>
          <w:szCs w:val="28"/>
        </w:rPr>
      </w:pPr>
      <w:r>
        <w:rPr>
          <w:rFonts w:ascii="仿宋_GB2312" w:hAnsi="仿宋_GB2312" w:eastAsia="仿宋_GB2312"/>
          <w:kern w:val="1"/>
          <w:sz w:val="28"/>
          <w:szCs w:val="28"/>
        </w:rPr>
        <w:t>5.调整预算数：指填列经调整后的全年预算数，包括年初预算数和预算调整调减数。</w:t>
      </w:r>
    </w:p>
    <w:p>
      <w:pPr>
        <w:ind w:firstLine="426"/>
        <w:rPr>
          <w:rFonts w:ascii="仿宋_GB2312" w:hAnsi="仿宋_GB2312" w:eastAsia="仿宋_GB2312"/>
          <w:kern w:val="1"/>
          <w:sz w:val="28"/>
          <w:szCs w:val="28"/>
        </w:rPr>
      </w:pPr>
      <w:r>
        <w:rPr>
          <w:rFonts w:ascii="仿宋_GB2312" w:hAnsi="仿宋_GB2312" w:eastAsia="仿宋_GB2312"/>
          <w:kern w:val="1"/>
          <w:sz w:val="28"/>
          <w:szCs w:val="28"/>
        </w:rPr>
        <w:t> 6.群防群治工作：是指在各级党委、政府领导和专门机关指导下，群众自己组织起来，预防和治理违法犯罪活动，维护所在地区或单位治安的一种活动。</w:t>
      </w:r>
    </w:p>
    <w:p>
      <w:pPr>
        <w:ind w:firstLine="426"/>
        <w:rPr>
          <w:rFonts w:ascii="仿宋_GB2312" w:hAnsi="仿宋_GB2312" w:eastAsia="仿宋_GB2312"/>
          <w:kern w:val="1"/>
          <w:sz w:val="28"/>
          <w:szCs w:val="28"/>
        </w:rPr>
      </w:pPr>
      <w:r>
        <w:rPr>
          <w:rFonts w:ascii="仿宋_GB2312" w:hAnsi="仿宋_GB2312" w:eastAsia="仿宋_GB2312"/>
          <w:kern w:val="1"/>
          <w:sz w:val="28"/>
          <w:szCs w:val="28"/>
        </w:rPr>
        <w:t>7.铁路护路联防工作：是用社会治安综合治理的方式，组织动员社会各有关部门和单位、基层组织、人民群众，维护铁路治安，保证列车安全行驶的工作。铁路护路联防工作是在各级党委、政府及社会治安综合治理委员会的统一领导下，由各级铁路护路联防机构负责组织实施，充分发挥铁道、公安、军事部门的骨干作用，组织和依靠铁路沿线基层单位和人民群众的力量，综合运用政治的、经济的、行政的、法律的、文化的、教育的等多种手段，通过加强打击、防范、教育、管理、建设、改造等方面的工作，预防和处置有关铁路治安问题和影响列车安全行驶问题，维护铁路治安持续稳定，确保铁路安全畅通的系统工程。</w:t>
      </w:r>
    </w:p>
    <w:p>
      <w:pPr>
        <w:ind w:firstLine="426"/>
        <w:rPr>
          <w:rFonts w:ascii="仿宋_GB2312" w:hAnsi="仿宋_GB2312" w:eastAsia="仿宋_GB2312"/>
          <w:kern w:val="1"/>
          <w:sz w:val="28"/>
          <w:szCs w:val="28"/>
        </w:rPr>
      </w:pPr>
    </w:p>
    <w:p>
      <w:pPr>
        <w:ind w:firstLine="426"/>
        <w:rPr>
          <w:rFonts w:ascii="仿宋_GB2312" w:hAnsi="仿宋_GB2312" w:eastAsia="仿宋_GB2312"/>
          <w:kern w:val="1"/>
          <w:sz w:val="28"/>
          <w:szCs w:val="28"/>
        </w:rPr>
      </w:pPr>
    </w:p>
    <w:p>
      <w:pPr>
        <w:rPr>
          <w:rFonts w:ascii="黑体" w:hAnsi="黑体" w:eastAsia="黑体"/>
          <w:kern w:val="1"/>
          <w:sz w:val="32"/>
          <w:szCs w:val="32"/>
        </w:rPr>
      </w:pPr>
    </w:p>
    <w:p>
      <w:pPr>
        <w:ind w:firstLine="648"/>
        <w:jc w:val="center"/>
        <w:rPr>
          <w:rFonts w:hint="default" w:ascii="黑体" w:hAnsi="黑体" w:eastAsia="黑体"/>
          <w:kern w:val="1"/>
          <w:sz w:val="32"/>
          <w:szCs w:val="32"/>
          <w:lang w:val="en-US" w:eastAsia="zh-CN"/>
        </w:rPr>
      </w:pPr>
      <w:r>
        <w:rPr>
          <w:rFonts w:ascii="黑体" w:hAnsi="黑体" w:eastAsia="黑体"/>
          <w:kern w:val="1"/>
          <w:sz w:val="32"/>
          <w:szCs w:val="32"/>
        </w:rPr>
        <w:t>第三部分  2019年度部门绩效评价情况</w:t>
      </w:r>
    </w:p>
    <w:p>
      <w:pPr>
        <w:ind w:firstLine="568"/>
        <w:rPr>
          <w:rFonts w:ascii="黑体" w:hAnsi="黑体" w:eastAsia="黑体"/>
          <w:kern w:val="1"/>
          <w:sz w:val="28"/>
          <w:szCs w:val="28"/>
          <w:shd w:val="clear" w:color="auto" w:fill="FFFF00"/>
        </w:rPr>
      </w:pPr>
    </w:p>
    <w:p>
      <w:pPr>
        <w:ind w:firstLine="568"/>
        <w:rPr>
          <w:rFonts w:ascii="黑体" w:hAnsi="黑体" w:eastAsia="黑体"/>
          <w:kern w:val="1"/>
          <w:sz w:val="28"/>
          <w:szCs w:val="28"/>
        </w:rPr>
      </w:pPr>
      <w:r>
        <w:rPr>
          <w:rFonts w:hint="eastAsia" w:ascii="黑体" w:hAnsi="黑体" w:eastAsia="黑体"/>
          <w:kern w:val="1"/>
          <w:sz w:val="28"/>
          <w:szCs w:val="28"/>
        </w:rPr>
        <w:t>一、绩效评价工作开展情况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丰台区委政法委对2019年度部门项目支出实施绩效评价，评价项目7个，占部门项目总数的36%，涉及金额1190.9237万元。评价结果优秀。</w:t>
      </w:r>
    </w:p>
    <w:p>
      <w:pPr>
        <w:ind w:firstLine="546"/>
        <w:rPr>
          <w:rFonts w:ascii="仿宋_GB2312" w:hAnsi="仿宋_GB2312" w:eastAsia="仿宋_GB2312"/>
          <w:kern w:val="1"/>
          <w:sz w:val="28"/>
          <w:szCs w:val="28"/>
        </w:rPr>
      </w:pPr>
      <w:r>
        <w:rPr>
          <w:rFonts w:hint="eastAsia" w:ascii="黑体" w:hAnsi="黑体" w:eastAsia="黑体" w:cstheme="minorBidi"/>
          <w:kern w:val="1"/>
          <w:sz w:val="28"/>
          <w:szCs w:val="28"/>
        </w:rPr>
        <w:t>二、项目绩效评价报告</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（一）项目概况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丰台区铁路线路里程351公里，其中高铁94公里（分别为京沪高铁、京广高铁、京津城际），普速257公里（分别为京九线、京广线以及部分货运线），涉及16个街乡镇（另有2个街道内部线路）、8个铁路公安派出所，线路总里程长、重要场站多，如丰西货运编组站、北京南站、北京西站南广场等。</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2019年，通过铁路护路联防工作项目的实施，确保了区内铁路沿线治安秩序良好可控，铁路线路运行安全，提高了铁路沿线特别是高铁沿线技防水平，规范了专职护路联防队伍管理，营造了良好的爱路护路氛围。通过铁路护路联防工作项目的实施，提高了铁路沿线特别是高铁沿线技防水平，规范了专职护路联防队伍管理，确保了区内铁路沿线治安秩序良好可控，铁路线路运行安全，营造了良好的爱路护路氛围。</w:t>
      </w:r>
    </w:p>
    <w:p>
      <w:pPr>
        <w:ind w:firstLine="546"/>
        <w:rPr>
          <w:rFonts w:ascii="仿宋_GB2312" w:hAnsi="仿宋_GB2312" w:eastAsia="仿宋_GB2312"/>
          <w:kern w:val="1"/>
          <w:sz w:val="28"/>
          <w:szCs w:val="28"/>
        </w:rPr>
      </w:pPr>
    </w:p>
    <w:p>
      <w:pPr>
        <w:ind w:firstLine="546"/>
        <w:rPr>
          <w:rFonts w:ascii="仿宋_GB2312" w:hAnsi="仿宋_GB2312" w:eastAsia="仿宋_GB2312"/>
          <w:kern w:val="1"/>
          <w:sz w:val="28"/>
          <w:szCs w:val="28"/>
        </w:rPr>
      </w:pPr>
      <w:r>
        <w:rPr>
          <w:rFonts w:ascii="仿宋_GB2312" w:hAnsi="仿宋_GB2312" w:eastAsia="仿宋_GB2312"/>
          <w:kern w:val="1"/>
          <w:sz w:val="28"/>
          <w:szCs w:val="28"/>
        </w:rPr>
        <w:t>（二）项目资金情况</w:t>
      </w:r>
    </w:p>
    <w:p>
      <w:pPr>
        <w:spacing w:line="360" w:lineRule="auto"/>
        <w:ind w:firstLine="568"/>
        <w:outlineLvl w:val="0"/>
        <w:rPr>
          <w:rFonts w:ascii="仿宋_GB2312" w:hAnsi="仿宋_GB2312" w:eastAsia="仿宋_GB2312"/>
          <w:kern w:val="1"/>
          <w:sz w:val="28"/>
          <w:szCs w:val="28"/>
        </w:rPr>
      </w:pPr>
      <w:r>
        <w:rPr>
          <w:rFonts w:ascii="仿宋_GB2312" w:hAnsi="仿宋_GB2312" w:eastAsia="仿宋_GB2312"/>
          <w:kern w:val="1"/>
          <w:sz w:val="28"/>
          <w:szCs w:val="28"/>
        </w:rPr>
        <w:t>项目预算批复1000万，全部为财政资金。2019年1月资金到位。在项目实施过程中，根据项目合同以及实际需求，使用项目资金共计746.13万元。</w:t>
      </w:r>
    </w:p>
    <w:p>
      <w:pPr>
        <w:spacing w:line="360" w:lineRule="auto"/>
        <w:ind w:firstLine="568"/>
        <w:outlineLvl w:val="0"/>
        <w:rPr>
          <w:rFonts w:ascii="仿宋_GB2312" w:hAnsi="仿宋_GB2312" w:eastAsia="仿宋_GB2312"/>
          <w:kern w:val="1"/>
          <w:sz w:val="28"/>
          <w:szCs w:val="28"/>
        </w:rPr>
      </w:pPr>
      <w:r>
        <w:rPr>
          <w:rFonts w:ascii="仿宋_GB2312" w:hAnsi="仿宋_GB2312" w:eastAsia="仿宋_GB2312"/>
          <w:kern w:val="1"/>
          <w:sz w:val="28"/>
          <w:szCs w:val="28"/>
        </w:rPr>
        <w:t>（二）评价结论</w:t>
      </w:r>
    </w:p>
    <w:p>
      <w:pPr>
        <w:spacing w:line="360" w:lineRule="auto"/>
        <w:ind w:firstLine="568"/>
        <w:outlineLvl w:val="0"/>
        <w:rPr>
          <w:rFonts w:ascii="仿宋_GB2312" w:hAnsi="仿宋_GB2312" w:eastAsia="仿宋_GB2312"/>
          <w:kern w:val="1"/>
          <w:sz w:val="28"/>
          <w:szCs w:val="28"/>
        </w:rPr>
      </w:pPr>
      <w:r>
        <w:rPr>
          <w:rFonts w:ascii="仿宋_GB2312" w:hAnsi="仿宋_GB2312" w:eastAsia="仿宋_GB2312"/>
          <w:kern w:val="1"/>
          <w:sz w:val="28"/>
          <w:szCs w:val="28"/>
        </w:rPr>
        <w:t>项目实施较好地达到了预期目标，实现了预期效果，完成了各项工作指标要求，评价结论为优秀。</w:t>
      </w:r>
    </w:p>
    <w:p>
      <w:pPr>
        <w:spacing w:line="360" w:lineRule="auto"/>
        <w:ind w:firstLine="568"/>
        <w:outlineLvl w:val="0"/>
        <w:rPr>
          <w:rFonts w:ascii="仿宋_GB2312" w:hAnsi="仿宋_GB2312" w:eastAsia="仿宋_GB2312"/>
          <w:kern w:val="1"/>
          <w:sz w:val="28"/>
          <w:szCs w:val="28"/>
        </w:rPr>
      </w:pPr>
      <w:bookmarkStart w:id="0" w:name="_Toc454875004"/>
      <w:bookmarkEnd w:id="0"/>
      <w:r>
        <w:rPr>
          <w:rFonts w:ascii="仿宋_GB2312" w:hAnsi="仿宋_GB2312" w:eastAsia="仿宋_GB2312"/>
          <w:kern w:val="1"/>
          <w:sz w:val="28"/>
          <w:szCs w:val="28"/>
        </w:rPr>
        <w:t>（三）存在问题</w:t>
      </w:r>
    </w:p>
    <w:p>
      <w:pPr>
        <w:spacing w:line="360" w:lineRule="auto"/>
        <w:ind w:firstLine="568"/>
        <w:outlineLvl w:val="0"/>
        <w:rPr>
          <w:rFonts w:ascii="仿宋_GB2312" w:hAnsi="仿宋_GB2312" w:eastAsia="仿宋_GB2312"/>
          <w:kern w:val="1"/>
          <w:sz w:val="28"/>
          <w:szCs w:val="28"/>
        </w:rPr>
      </w:pPr>
      <w:r>
        <w:rPr>
          <w:rFonts w:ascii="仿宋_GB2312" w:hAnsi="仿宋_GB2312" w:eastAsia="仿宋_GB2312"/>
          <w:kern w:val="1"/>
          <w:sz w:val="28"/>
          <w:szCs w:val="28"/>
        </w:rPr>
        <w:t>无</w:t>
      </w:r>
    </w:p>
    <w:p>
      <w:pPr>
        <w:numPr>
          <w:ilvl w:val="0"/>
          <w:numId w:val="1"/>
        </w:numPr>
        <w:spacing w:line="360" w:lineRule="auto"/>
        <w:ind w:firstLine="568"/>
        <w:outlineLvl w:val="0"/>
        <w:rPr>
          <w:rFonts w:ascii="仿宋_GB2312" w:hAnsi="仿宋_GB2312" w:eastAsia="仿宋_GB2312"/>
          <w:kern w:val="1"/>
          <w:sz w:val="28"/>
          <w:szCs w:val="28"/>
        </w:rPr>
      </w:pPr>
      <w:r>
        <w:rPr>
          <w:rFonts w:ascii="仿宋_GB2312" w:hAnsi="仿宋_GB2312" w:eastAsia="仿宋_GB2312"/>
          <w:kern w:val="1"/>
          <w:sz w:val="28"/>
          <w:szCs w:val="28"/>
        </w:rPr>
        <w:t>建议</w:t>
      </w:r>
    </w:p>
    <w:p>
      <w:pPr>
        <w:spacing w:line="360" w:lineRule="auto"/>
        <w:ind w:firstLine="568"/>
        <w:outlineLvl w:val="0"/>
        <w:rPr>
          <w:rFonts w:ascii="仿宋_GB2312" w:hAnsi="仿宋_GB2312" w:eastAsia="仿宋_GB2312"/>
          <w:kern w:val="1"/>
          <w:sz w:val="28"/>
          <w:szCs w:val="28"/>
        </w:rPr>
      </w:pPr>
      <w:r>
        <w:rPr>
          <w:rFonts w:ascii="仿宋_GB2312" w:hAnsi="仿宋_GB2312" w:eastAsia="仿宋_GB2312"/>
          <w:kern w:val="1"/>
          <w:sz w:val="28"/>
          <w:szCs w:val="28"/>
        </w:rPr>
        <w:t>丰台区铁路线路长，涉及街乡镇及社区村多，重点部位、重点区域、重点线路多，下一步，我们将继续发挥护路办的统筹作用，结合实际，统一管理、专群结合、路地协同、共促护路。</w:t>
      </w:r>
    </w:p>
    <w:p>
      <w:pPr>
        <w:numPr>
          <w:ilvl w:val="0"/>
          <w:numId w:val="2"/>
        </w:numPr>
        <w:ind w:left="0" w:firstLine="568"/>
        <w:rPr>
          <w:rFonts w:ascii="黑体" w:hAnsi="黑体" w:eastAsia="黑体"/>
          <w:kern w:val="1"/>
          <w:sz w:val="28"/>
          <w:szCs w:val="28"/>
        </w:rPr>
      </w:pPr>
      <w:r>
        <w:rPr>
          <w:rFonts w:hint="eastAsia" w:ascii="黑体" w:hAnsi="黑体" w:eastAsia="黑体"/>
          <w:kern w:val="1"/>
          <w:sz w:val="28"/>
          <w:szCs w:val="28"/>
        </w:rPr>
        <w:t>项目</w:t>
      </w:r>
      <w:r>
        <w:rPr>
          <w:rFonts w:ascii="黑体" w:hAnsi="黑体" w:eastAsia="黑体"/>
          <w:kern w:val="1"/>
          <w:sz w:val="28"/>
          <w:szCs w:val="28"/>
        </w:rPr>
        <w:t>支出绩效自评表</w:t>
      </w:r>
    </w:p>
    <w:p>
      <w:pPr>
        <w:rPr>
          <w:rFonts w:ascii="黑体" w:hAnsi="黑体" w:eastAsia="黑体"/>
          <w:kern w:val="1"/>
          <w:sz w:val="28"/>
          <w:szCs w:val="28"/>
        </w:rPr>
      </w:pPr>
    </w:p>
    <w:p>
      <w:pPr>
        <w:rPr>
          <w:rFonts w:ascii="黑体" w:hAnsi="黑体" w:eastAsia="黑体"/>
          <w:kern w:val="1"/>
          <w:sz w:val="28"/>
          <w:szCs w:val="28"/>
        </w:rPr>
      </w:pPr>
    </w:p>
    <w:p>
      <w:pPr>
        <w:rPr>
          <w:rFonts w:ascii="黑体" w:hAnsi="黑体" w:eastAsia="黑体"/>
          <w:kern w:val="1"/>
          <w:sz w:val="28"/>
          <w:szCs w:val="28"/>
        </w:rPr>
      </w:pPr>
    </w:p>
    <w:p>
      <w:pPr>
        <w:rPr>
          <w:rFonts w:ascii="黑体" w:hAnsi="黑体" w:eastAsia="黑体"/>
          <w:kern w:val="1"/>
          <w:sz w:val="28"/>
          <w:szCs w:val="28"/>
        </w:rPr>
        <w:sectPr>
          <w:footerReference r:id="rId3" w:type="default"/>
          <w:footnotePr>
            <w:numFmt w:val="decimal"/>
          </w:footnotePr>
          <w:pgSz w:w="16838" w:h="11906" w:orient="landscape"/>
          <w:pgMar w:top="1134" w:right="1134" w:bottom="1134" w:left="1134" w:header="720" w:footer="992" w:gutter="0"/>
          <w:cols w:space="720" w:num="1"/>
        </w:sect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58240"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1" name="连接线7"/>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7" o:spid="_x0000_s1026" o:spt="32" type="#_x0000_t32" style="position:absolute;left:0pt;margin-left:-4.35pt;margin-top:17.3pt;height:34.85pt;width:90.75pt;z-index:251658240;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x&#10;P8UV2QAAAAkBAAAPAAAAAAAAAAEAIAAAADgAAABkcnMvZG93bnJldi54bWxQSwECFAAUAAAACACH&#10;TuJArnvfSdQBAACWAwAADgAAAAAAAAABACAAAAA+AQAAZHJzL2Uyb0RvYy54bWxQSwUGAAAAAAYA&#10;BgBZAQAAhAU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65408" behindDoc="0" locked="0" layoutInCell="0" allowOverlap="1">
                <wp:simplePos x="0" y="0"/>
                <wp:positionH relativeFrom="margin">
                  <wp:posOffset>-68580</wp:posOffset>
                </wp:positionH>
                <wp:positionV relativeFrom="margin">
                  <wp:posOffset>-1143000</wp:posOffset>
                </wp:positionV>
                <wp:extent cx="7560310" cy="6120130"/>
                <wp:effectExtent l="0" t="0" r="0" b="0"/>
                <wp:wrapSquare wrapText="bothSides"/>
                <wp:docPr id="8" name="文本框7"/>
                <wp:cNvGraphicFramePr/>
                <a:graphic xmlns:a="http://schemas.openxmlformats.org/drawingml/2006/main">
                  <a:graphicData uri="http://schemas.microsoft.com/office/word/2010/wordprocessingShape">
                    <wps:wsp>
                      <wps:cNvSpPr txBox="true"/>
                      <wps:spPr>
                        <a:xfrm>
                          <a:off x="0" y="0"/>
                          <a:ext cx="7560310" cy="6120130"/>
                        </a:xfrm>
                        <a:prstGeom prst="rect">
                          <a:avLst/>
                        </a:prstGeom>
                        <a:noFill/>
                        <a:ln>
                          <a:noFill/>
                        </a:ln>
                      </wps:spPr>
                      <wps:txbx>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烈士慰问费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10000元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10000元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慰问政法系统烈士家属。</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慰问政法系统烈士家属。</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每年度开展慰问活动1次。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年度开展慰问活动1次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3月底前完成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3月底前完成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项目预1万，2019年初财政资金到位。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实际支出1万，完成100%。2019年初财政资金到位。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好评率达100%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总分：100</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7" o:spid="_x0000_s1026" o:spt="202" type="#_x0000_t202" style="position:absolute;left:0pt;margin-left:-5.4pt;margin-top:-90pt;height:481.9pt;width:595.3pt;mso-position-horizontal-relative:margin;mso-position-vertical-relative:margin;mso-wrap-distance-bottom:0pt;mso-wrap-distance-left:9pt;mso-wrap-distance-right:9pt;mso-wrap-distance-top:0pt;z-index:251665408;mso-width-relative:page;mso-height-relative:page;" filled="f" stroked="f" coordsize="21600,21600" o:allowincell="f" o:gfxdata="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DzLFy2AAA&#10;AA0BAAAPAAAAAAAAAAEAIAAAADgAAABkcnMvZG93bnJldi54bWxQSwECFAAUAAAACACHTuJAvL8r&#10;688BAAB7AwAADgAAAAAAAAABACAAAAA9AQAAZHJzL2Uyb0RvYy54bWxQSwUGAAAAAAYABgBZAQAA&#10;fgUAAAAA&#10;">
                <v:fill on="f" focussize="0,0"/>
                <v:stroke on="f"/>
                <v:imagedata o:title=""/>
                <o:lock v:ext="edit" aspectratio="f"/>
                <v:textbox inset="0mm,0mm,0mm,0mm" style="mso-fit-shape-to-text:t;">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烈士慰问费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10000元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10000元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慰问政法系统烈士家属。</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慰问政法系统烈士家属。</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每年度开展慰问活动1次。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年度开展慰问活动1次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3月底前完成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3月底前完成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项目预1万，2019年初财政资金到位。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实际支出1万，完成100%。2019年初财政资金到位。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好评率达100%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总分：100</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59264"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2" name="连接线6"/>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6" o:spid="_x0000_s1026" o:spt="32" type="#_x0000_t32" style="position:absolute;left:0pt;margin-left:-4.35pt;margin-top:17.3pt;height:34.85pt;width:90.75pt;z-index:251659264;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x&#10;P8UV2QAAAAkBAAAPAAAAAAAAAAEAIAAAADgAAABkcnMvZG93bnJldi54bWxQSwECFAAUAAAACACH&#10;TuJAFSIpr9QBAACWAwAADgAAAAAAAAABACAAAAA+AQAAZHJzL2Uyb0RvYy54bWxQSwUGAAAAAAYA&#10;BgBZAQAAhAU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66432" behindDoc="0" locked="0" layoutInCell="0" allowOverlap="1">
                <wp:simplePos x="0" y="0"/>
                <wp:positionH relativeFrom="margin">
                  <wp:posOffset>-68580</wp:posOffset>
                </wp:positionH>
                <wp:positionV relativeFrom="margin">
                  <wp:posOffset>-1143000</wp:posOffset>
                </wp:positionV>
                <wp:extent cx="7560310" cy="6120130"/>
                <wp:effectExtent l="0" t="0" r="0" b="0"/>
                <wp:wrapSquare wrapText="bothSides"/>
                <wp:docPr id="9" name="文本框6"/>
                <wp:cNvGraphicFramePr/>
                <a:graphic xmlns:a="http://schemas.openxmlformats.org/drawingml/2006/main">
                  <a:graphicData uri="http://schemas.microsoft.com/office/word/2010/wordprocessingShape">
                    <wps:wsp>
                      <wps:cNvSpPr txBox="true"/>
                      <wps:spPr>
                        <a:xfrm>
                          <a:off x="0" y="0"/>
                          <a:ext cx="7560310" cy="6120130"/>
                        </a:xfrm>
                        <a:prstGeom prst="rect">
                          <a:avLst/>
                        </a:prstGeom>
                        <a:noFill/>
                        <a:ln>
                          <a:noFill/>
                        </a:ln>
                      </wps:spPr>
                      <wps:txbx>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政法委慰问烈士家属费用</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40000元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40000元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40000元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40000元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慰问政法系统烈士家属。</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慰问政法系统烈士家属。</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每年度开展慰问活动1次。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年度开展慰问活动1次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项目预算4万，2019年初财政资金到位。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实际支出4万，完成100%。2019年初财政资金到位。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100%</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好评率达100%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总分：100</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6" o:spid="_x0000_s1026" o:spt="202" type="#_x0000_t202" style="position:absolute;left:0pt;margin-left:-5.4pt;margin-top:-90pt;height:481.9pt;width:595.3pt;mso-position-horizontal-relative:margin;mso-position-vertical-relative:margin;mso-wrap-distance-bottom:0pt;mso-wrap-distance-left:9pt;mso-wrap-distance-right:9pt;mso-wrap-distance-top:0pt;z-index:251666432;mso-width-relative:page;mso-height-relative:page;" filled="f" stroked="f" coordsize="21600,21600" o:allowincell="f" o:gfxdata="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DzLFy2AAA&#10;AA0BAAAPAAAAAAAAAAEAIAAAADgAAABkcnMvZG93bnJldi54bWxQSwECFAAUAAAACACHTuJAounj&#10;a88BAAB7AwAADgAAAAAAAAABACAAAAA9AQAAZHJzL2Uyb0RvYy54bWxQSwUGAAAAAAYABgBZAQAA&#10;fgUAAAAA&#10;">
                <v:fill on="f" focussize="0,0"/>
                <v:stroke on="f"/>
                <v:imagedata o:title=""/>
                <o:lock v:ext="edit" aspectratio="f"/>
                <v:textbox inset="0mm,0mm,0mm,0mm" style="mso-fit-shape-to-text:t;">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政法委慰问烈士家属费用</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40000元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40000元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40000元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40000元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慰问政法系统烈士家属。</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慰问政法系统烈士家属。</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每年度开展慰问活动1次。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年度开展慰问活动1次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项目预算4万，2019年初财政资金到位。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实际支出4万，完成100%。2019年初财政资金到位。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慰问烈士家属。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100%</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好评率达100%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总分：100</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60288"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3" name="连接线5"/>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5" o:spid="_x0000_s1026" o:spt="32" type="#_x0000_t32" style="position:absolute;left:0pt;margin-left:-4.35pt;margin-top:17.3pt;height:34.85pt;width:90.75pt;z-index:251660288;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HE/xRXZAAAACQEAAA8AAAAAAAAAAQAgAAAAOAAAAGRycy9kb3ducmV2LnhtbFBLAQIUABQAAAAI&#10;AIdO4kBkYUdF1gEAAJYDAAAOAAAAAAAAAAEAIAAAAD4BAABkcnMvZTJvRG9jLnhtbFBLBQYAAAAA&#10;BgAGAFkBAACGBQ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67456" behindDoc="0" locked="0" layoutInCell="0" allowOverlap="1">
                <wp:simplePos x="0" y="0"/>
                <wp:positionH relativeFrom="margin">
                  <wp:posOffset>-68580</wp:posOffset>
                </wp:positionH>
                <wp:positionV relativeFrom="margin">
                  <wp:posOffset>-1143000</wp:posOffset>
                </wp:positionV>
                <wp:extent cx="7560310" cy="6120130"/>
                <wp:effectExtent l="0" t="0" r="0" b="0"/>
                <wp:wrapSquare wrapText="bothSides"/>
                <wp:docPr id="10" name="文本框5"/>
                <wp:cNvGraphicFramePr/>
                <a:graphic xmlns:a="http://schemas.openxmlformats.org/drawingml/2006/main">
                  <a:graphicData uri="http://schemas.microsoft.com/office/word/2010/wordprocessingShape">
                    <wps:wsp>
                      <wps:cNvSpPr txBox="true"/>
                      <wps:spPr>
                        <a:xfrm>
                          <a:off x="0" y="0"/>
                          <a:ext cx="7560310" cy="6120130"/>
                        </a:xfrm>
                        <a:prstGeom prst="rect">
                          <a:avLst/>
                        </a:prstGeom>
                        <a:noFill/>
                        <a:ln>
                          <a:noFill/>
                        </a:ln>
                      </wps:spPr>
                      <wps:txbx>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基层党组织工作和活动经费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7890元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7890元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7890元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7890元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开展党支部活动，订阅党报党刊，拓展时政视野，夯实理论根基</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年度开展支部活动4次，订阅党报党刊，拓展时政视野，夯实理论根基</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每年度开展党支部活动4次。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年度开展党支部活动4次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项目预0.789万，2019年初财政资金到位。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实际支出0.789万，完成100%。2019年初财政资金到位。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拓展时政视野，夯实理论根基。</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拓展时政视野，夯实理论根基。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活动得到党员好评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好评率达96%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5" o:spid="_x0000_s1026" o:spt="202" type="#_x0000_t202" style="position:absolute;left:0pt;margin-left:-5.4pt;margin-top:-90pt;height:481.9pt;width:595.3pt;mso-position-horizontal-relative:margin;mso-position-vertical-relative:margin;mso-wrap-distance-bottom:0pt;mso-wrap-distance-left:9pt;mso-wrap-distance-right:9pt;mso-wrap-distance-top:0pt;z-index:251667456;mso-width-relative:page;mso-height-relative:page;" filled="f" stroked="f" coordsize="21600,21600" o:allowincell="f" o:gfxdata="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DzLFy2AAA&#10;AA0BAAAPAAAAAAAAAAEAIAAAADgAAABkcnMvZG93bnJldi54bWxQSwECFAAUAAAACACHTuJAK71m&#10;1s8BAAB8AwAADgAAAAAAAAABACAAAAA9AQAAZHJzL2Uyb0RvYy54bWxQSwUGAAAAAAYABgBZAQAA&#10;fgUAAAAA&#10;">
                <v:fill on="f" focussize="0,0"/>
                <v:stroke on="f"/>
                <v:imagedata o:title=""/>
                <o:lock v:ext="edit" aspectratio="f"/>
                <v:textbox inset="0mm,0mm,0mm,0mm" style="mso-fit-shape-to-text:t;">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基层党组织工作和活动经费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7890元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7890元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7890元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7890元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开展党支部活动，订阅党报党刊，拓展时政视野，夯实理论根基</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年度开展支部活动4次，订阅党报党刊，拓展时政视野，夯实理论根基</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每年度开展党支部活动4次。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年度开展党支部活动4次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项目预0.789万，2019年初财政资金到位。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实际支出0.789万，完成100%。2019年初财政资金到位。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拓展时政视野，夯实理论根基。</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拓展时政视野，夯实理论根基。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活动得到党员好评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好评率达96%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61312"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4" name="连接线4"/>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4" o:spid="_x0000_s1026" o:spt="32" type="#_x0000_t32" style="position:absolute;left:0pt;margin-left:-4.35pt;margin-top:17.3pt;height:34.85pt;width:90.75pt;z-index:251661312;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HE/&#10;xRXZAAAACQEAAA8AAAAAAAAAAQAgAAAAOAAAAGRycy9kb3ducmV2LnhtbFBLAQIUABQAAAAIAIdO&#10;4kAil7S50wEAAJYDAAAOAAAAAAAAAAEAIAAAAD4BAABkcnMvZTJvRG9jLnhtbFBLBQYAAAAABgAG&#10;AFkBAACDBQ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68480" behindDoc="0" locked="0" layoutInCell="0" allowOverlap="1">
                <wp:simplePos x="0" y="0"/>
                <wp:positionH relativeFrom="margin">
                  <wp:posOffset>-68580</wp:posOffset>
                </wp:positionH>
                <wp:positionV relativeFrom="margin">
                  <wp:posOffset>-1143000</wp:posOffset>
                </wp:positionV>
                <wp:extent cx="6819900" cy="6120130"/>
                <wp:effectExtent l="0" t="0" r="0" b="0"/>
                <wp:wrapSquare wrapText="bothSides"/>
                <wp:docPr id="11" name="文本框4"/>
                <wp:cNvGraphicFramePr/>
                <a:graphic xmlns:a="http://schemas.openxmlformats.org/drawingml/2006/main">
                  <a:graphicData uri="http://schemas.microsoft.com/office/word/2010/wordprocessingShape">
                    <wps:wsp>
                      <wps:cNvSpPr txBox="true"/>
                      <wps:spPr>
                        <a:xfrm>
                          <a:off x="0" y="0"/>
                          <a:ext cx="6819900" cy="6120130"/>
                        </a:xfrm>
                        <a:prstGeom prst="rect">
                          <a:avLst/>
                        </a:prstGeom>
                        <a:noFill/>
                        <a:ln>
                          <a:noFill/>
                        </a:ln>
                      </wps:spPr>
                      <wps:txbx>
                        <w:txbxContent>
                          <w:tbl>
                            <w:tblPr>
                              <w:tblStyle w:val="8"/>
                              <w:tblW w:w="10740" w:type="dxa"/>
                              <w:tblInd w:w="108" w:type="dxa"/>
                              <w:tblLayout w:type="autofit"/>
                              <w:tblCellMar>
                                <w:top w:w="0" w:type="dxa"/>
                                <w:left w:w="108" w:type="dxa"/>
                                <w:bottom w:w="0" w:type="dxa"/>
                                <w:right w:w="108" w:type="dxa"/>
                              </w:tblCellMar>
                            </w:tblPr>
                            <w:tblGrid>
                              <w:gridCol w:w="846"/>
                              <w:gridCol w:w="1105"/>
                              <w:gridCol w:w="1276"/>
                              <w:gridCol w:w="283"/>
                              <w:gridCol w:w="1701"/>
                              <w:gridCol w:w="142"/>
                              <w:gridCol w:w="1559"/>
                              <w:gridCol w:w="993"/>
                              <w:gridCol w:w="283"/>
                              <w:gridCol w:w="567"/>
                              <w:gridCol w:w="284"/>
                              <w:gridCol w:w="992"/>
                              <w:gridCol w:w="709"/>
                            </w:tblGrid>
                            <w:tr>
                              <w:tblPrEx>
                                <w:tblCellMar>
                                  <w:top w:w="0" w:type="dxa"/>
                                  <w:left w:w="108" w:type="dxa"/>
                                  <w:bottom w:w="0" w:type="dxa"/>
                                  <w:right w:w="108" w:type="dxa"/>
                                </w:tblCellMar>
                              </w:tblPrEx>
                              <w:trPr>
                                <w:trHeight w:val="484" w:hRule="atLeast"/>
                              </w:trPr>
                              <w:tc>
                                <w:tcPr>
                                  <w:tcW w:w="10740" w:type="dxa"/>
                                  <w:gridSpan w:val="13"/>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trHeight w:val="311" w:hRule="atLeast"/>
                              </w:trPr>
                              <w:tc>
                                <w:tcPr>
                                  <w:tcW w:w="10740" w:type="dxa"/>
                                  <w:gridSpan w:val="13"/>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370" w:hRule="atLeast"/>
                              </w:trPr>
                              <w:tc>
                                <w:tcPr>
                                  <w:tcW w:w="35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9"/>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区综治办治安巡防队工资</w:t>
                                  </w:r>
                                </w:p>
                              </w:tc>
                            </w:tr>
                            <w:tr>
                              <w:tblPrEx>
                                <w:tblCellMar>
                                  <w:top w:w="0" w:type="dxa"/>
                                  <w:left w:w="108" w:type="dxa"/>
                                  <w:bottom w:w="0" w:type="dxa"/>
                                  <w:right w:w="108" w:type="dxa"/>
                                </w:tblCellMar>
                              </w:tblPrEx>
                              <w:trPr>
                                <w:trHeight w:val="370" w:hRule="atLeast"/>
                              </w:trPr>
                              <w:tc>
                                <w:tcPr>
                                  <w:tcW w:w="35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276"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55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trHeight w:val="674" w:hRule="atLeast"/>
                              </w:trPr>
                              <w:tc>
                                <w:tcPr>
                                  <w:tcW w:w="351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851"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505" w:hRule="atLeast"/>
                              </w:trPr>
                              <w:tc>
                                <w:tcPr>
                                  <w:tcW w:w="351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rFonts w:ascii="宋体" w:hAnsi="宋体" w:cs="宋体"/>
                                      <w:sz w:val="18"/>
                                      <w:szCs w:val="18"/>
                                    </w:rPr>
                                    <w:t>4245677.43</w:t>
                                  </w:r>
                                  <w:r>
                                    <w:rPr>
                                      <w:rFonts w:hint="eastAsia" w:ascii="宋体" w:hAnsi="宋体" w:cs="宋体"/>
                                      <w:sz w:val="18"/>
                                      <w:szCs w:val="18"/>
                                    </w:rPr>
                                    <w:t>元</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4245677.43</w:t>
                                  </w:r>
                                  <w:r>
                                    <w:rPr>
                                      <w:rFonts w:hint="eastAsia" w:ascii="宋体" w:hAnsi="宋体" w:cs="宋体"/>
                                      <w:sz w:val="18"/>
                                      <w:szCs w:val="18"/>
                                    </w:rPr>
                                    <w:t>元　</w:t>
                                  </w:r>
                                </w:p>
                              </w:tc>
                              <w:tc>
                                <w:tcPr>
                                  <w:tcW w:w="851"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trHeight w:val="555" w:hRule="atLeast"/>
                              </w:trPr>
                              <w:tc>
                                <w:tcPr>
                                  <w:tcW w:w="351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rFonts w:ascii="宋体" w:hAnsi="宋体" w:cs="宋体"/>
                                      <w:sz w:val="18"/>
                                      <w:szCs w:val="18"/>
                                    </w:rPr>
                                    <w:t>4245677.43</w:t>
                                  </w:r>
                                  <w:r>
                                    <w:rPr>
                                      <w:rFonts w:hint="eastAsia" w:ascii="宋体" w:hAnsi="宋体" w:cs="宋体"/>
                                      <w:sz w:val="18"/>
                                      <w:szCs w:val="18"/>
                                    </w:rPr>
                                    <w:t>元</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4245677.43</w:t>
                                  </w:r>
                                  <w:r>
                                    <w:rPr>
                                      <w:rFonts w:hint="eastAsia" w:ascii="宋体" w:hAnsi="宋体" w:cs="宋体"/>
                                      <w:sz w:val="18"/>
                                      <w:szCs w:val="18"/>
                                    </w:rPr>
                                    <w:t>元</w:t>
                                  </w:r>
                                </w:p>
                              </w:tc>
                              <w:tc>
                                <w:tcPr>
                                  <w:tcW w:w="851"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370" w:hRule="atLeast"/>
                              </w:trPr>
                              <w:tc>
                                <w:tcPr>
                                  <w:tcW w:w="351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851"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6"/>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聘请123名保安，分配到16个街道作为巡防队员，协助街道做好治安巡逻工作，通过巡逻，震慑犯罪行为，提高“见警率”，提升群众安全感，2019年群众安全感达到97.7%。</w:t>
                                  </w:r>
                                </w:p>
                              </w:tc>
                              <w:tc>
                                <w:tcPr>
                                  <w:tcW w:w="3828" w:type="dxa"/>
                                  <w:gridSpan w:val="6"/>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提高“见警率”，提升群众安全感，2019年群众安全感达到97.7%。</w:t>
                                  </w:r>
                                </w:p>
                              </w:tc>
                            </w:tr>
                            <w:tr>
                              <w:tblPrEx>
                                <w:tblCellMar>
                                  <w:top w:w="0" w:type="dxa"/>
                                  <w:left w:w="108" w:type="dxa"/>
                                  <w:bottom w:w="0" w:type="dxa"/>
                                  <w:right w:w="108" w:type="dxa"/>
                                </w:tblCellMar>
                              </w:tblPrEx>
                              <w:trPr>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提高“见警率”，提升群众安全感。</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提高“见警率”，提升群众安全感。</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3"/>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w:t>
                                  </w:r>
                                  <w:r>
                                    <w:rPr>
                                      <w:rFonts w:ascii="宋体" w:hAnsi="宋体" w:cs="宋体"/>
                                      <w:sz w:val="18"/>
                                      <w:szCs w:val="18"/>
                                    </w:rPr>
                                    <w:t>4245677.43</w:t>
                                  </w:r>
                                  <w:r>
                                    <w:rPr>
                                      <w:rFonts w:hint="eastAsia" w:ascii="宋体" w:hAnsi="宋体" w:cs="宋体"/>
                                      <w:sz w:val="18"/>
                                      <w:szCs w:val="18"/>
                                    </w:rPr>
                                    <w:t>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w:t>
                                  </w:r>
                                  <w:r>
                                    <w:rPr>
                                      <w:rFonts w:ascii="宋体" w:hAnsi="宋体" w:cs="宋体"/>
                                      <w:sz w:val="18"/>
                                      <w:szCs w:val="18"/>
                                    </w:rPr>
                                    <w:t>4245677.43</w:t>
                                  </w:r>
                                  <w:r>
                                    <w:rPr>
                                      <w:rFonts w:hint="eastAsia" w:ascii="宋体" w:hAnsi="宋体" w:cs="宋体"/>
                                      <w:sz w:val="18"/>
                                      <w:szCs w:val="18"/>
                                    </w:rPr>
                                    <w:t>万，完成100%。2019年初财政资金到位。</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提高“见警率”，提升群众安全感，2019年群众安全感达到97.7%。。</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提高“见警率”，提升群众安全感，2019年群众安全感达到97.7%。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trHeight w:val="61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得到广大群众好评。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好评率达97.7%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trHeight w:val="565" w:hRule="atLeast"/>
                              </w:trPr>
                              <w:tc>
                                <w:tcPr>
                                  <w:tcW w:w="875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3"/>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4" o:spid="_x0000_s1026" o:spt="202" type="#_x0000_t202" style="position:absolute;left:0pt;margin-left:-5.4pt;margin-top:-90pt;height:481.9pt;width:537pt;mso-position-horizontal-relative:margin;mso-position-vertical-relative:margin;mso-wrap-distance-bottom:0pt;mso-wrap-distance-left:9pt;mso-wrap-distance-right:9pt;mso-wrap-distance-top:0pt;z-index:251668480;mso-width-relative:page;mso-height-relative:page;" filled="f" stroked="f" coordsize="21600,21600" o:allowincell="f" o:gfxdata="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oqIhJtgA&#10;AAANAQAADwAAAAAAAAABACAAAAA4AAAAZHJzL2Rvd25yZXYueG1sUEsBAhQAFAAAAAgAh07iQJU9&#10;chfQAQAAfAMAAA4AAAAAAAAAAQAgAAAAPQEAAGRycy9lMm9Eb2MueG1sUEsFBgAAAAAGAAYAWQEA&#10;AH8FAAAAAA==&#10;">
                <v:fill on="f" focussize="0,0"/>
                <v:stroke on="f"/>
                <v:imagedata o:title=""/>
                <o:lock v:ext="edit" aspectratio="f"/>
                <v:textbox inset="0mm,0mm,0mm,0mm" style="mso-fit-shape-to-text:t;">
                  <w:txbxContent>
                    <w:tbl>
                      <w:tblPr>
                        <w:tblStyle w:val="8"/>
                        <w:tblW w:w="10740" w:type="dxa"/>
                        <w:tblInd w:w="108" w:type="dxa"/>
                        <w:tblLayout w:type="autofit"/>
                        <w:tblCellMar>
                          <w:top w:w="0" w:type="dxa"/>
                          <w:left w:w="108" w:type="dxa"/>
                          <w:bottom w:w="0" w:type="dxa"/>
                          <w:right w:w="108" w:type="dxa"/>
                        </w:tblCellMar>
                      </w:tblPr>
                      <w:tblGrid>
                        <w:gridCol w:w="846"/>
                        <w:gridCol w:w="1105"/>
                        <w:gridCol w:w="1276"/>
                        <w:gridCol w:w="283"/>
                        <w:gridCol w:w="1701"/>
                        <w:gridCol w:w="142"/>
                        <w:gridCol w:w="1559"/>
                        <w:gridCol w:w="993"/>
                        <w:gridCol w:w="283"/>
                        <w:gridCol w:w="567"/>
                        <w:gridCol w:w="284"/>
                        <w:gridCol w:w="992"/>
                        <w:gridCol w:w="709"/>
                      </w:tblGrid>
                      <w:tr>
                        <w:tblPrEx>
                          <w:tblCellMar>
                            <w:top w:w="0" w:type="dxa"/>
                            <w:left w:w="108" w:type="dxa"/>
                            <w:bottom w:w="0" w:type="dxa"/>
                            <w:right w:w="108" w:type="dxa"/>
                          </w:tblCellMar>
                        </w:tblPrEx>
                        <w:trPr>
                          <w:trHeight w:val="484" w:hRule="atLeast"/>
                        </w:trPr>
                        <w:tc>
                          <w:tcPr>
                            <w:tcW w:w="10740" w:type="dxa"/>
                            <w:gridSpan w:val="13"/>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trHeight w:val="311" w:hRule="atLeast"/>
                        </w:trPr>
                        <w:tc>
                          <w:tcPr>
                            <w:tcW w:w="10740" w:type="dxa"/>
                            <w:gridSpan w:val="13"/>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370" w:hRule="atLeast"/>
                        </w:trPr>
                        <w:tc>
                          <w:tcPr>
                            <w:tcW w:w="35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9"/>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区综治办治安巡防队工资</w:t>
                            </w:r>
                          </w:p>
                        </w:tc>
                      </w:tr>
                      <w:tr>
                        <w:tblPrEx>
                          <w:tblCellMar>
                            <w:top w:w="0" w:type="dxa"/>
                            <w:left w:w="108" w:type="dxa"/>
                            <w:bottom w:w="0" w:type="dxa"/>
                            <w:right w:w="108" w:type="dxa"/>
                          </w:tblCellMar>
                        </w:tblPrEx>
                        <w:trPr>
                          <w:trHeight w:val="370" w:hRule="atLeast"/>
                        </w:trPr>
                        <w:tc>
                          <w:tcPr>
                            <w:tcW w:w="35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276"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55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trHeight w:val="674" w:hRule="atLeast"/>
                        </w:trPr>
                        <w:tc>
                          <w:tcPr>
                            <w:tcW w:w="351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851"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505" w:hRule="atLeast"/>
                        </w:trPr>
                        <w:tc>
                          <w:tcPr>
                            <w:tcW w:w="351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rFonts w:ascii="宋体" w:hAnsi="宋体" w:cs="宋体"/>
                                <w:sz w:val="18"/>
                                <w:szCs w:val="18"/>
                              </w:rPr>
                              <w:t>4245677.43</w:t>
                            </w:r>
                            <w:r>
                              <w:rPr>
                                <w:rFonts w:hint="eastAsia" w:ascii="宋体" w:hAnsi="宋体" w:cs="宋体"/>
                                <w:sz w:val="18"/>
                                <w:szCs w:val="18"/>
                              </w:rPr>
                              <w:t>元</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4245677.43</w:t>
                            </w:r>
                            <w:r>
                              <w:rPr>
                                <w:rFonts w:hint="eastAsia" w:ascii="宋体" w:hAnsi="宋体" w:cs="宋体"/>
                                <w:sz w:val="18"/>
                                <w:szCs w:val="18"/>
                              </w:rPr>
                              <w:t>元　</w:t>
                            </w:r>
                          </w:p>
                        </w:tc>
                        <w:tc>
                          <w:tcPr>
                            <w:tcW w:w="851"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trHeight w:val="555" w:hRule="atLeast"/>
                        </w:trPr>
                        <w:tc>
                          <w:tcPr>
                            <w:tcW w:w="351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rFonts w:ascii="宋体" w:hAnsi="宋体" w:cs="宋体"/>
                                <w:sz w:val="18"/>
                                <w:szCs w:val="18"/>
                              </w:rPr>
                              <w:t>4245677.43</w:t>
                            </w:r>
                            <w:r>
                              <w:rPr>
                                <w:rFonts w:hint="eastAsia" w:ascii="宋体" w:hAnsi="宋体" w:cs="宋体"/>
                                <w:sz w:val="18"/>
                                <w:szCs w:val="18"/>
                              </w:rPr>
                              <w:t>元</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4245677.43</w:t>
                            </w:r>
                            <w:r>
                              <w:rPr>
                                <w:rFonts w:hint="eastAsia" w:ascii="宋体" w:hAnsi="宋体" w:cs="宋体"/>
                                <w:sz w:val="18"/>
                                <w:szCs w:val="18"/>
                              </w:rPr>
                              <w:t>元</w:t>
                            </w:r>
                          </w:p>
                        </w:tc>
                        <w:tc>
                          <w:tcPr>
                            <w:tcW w:w="851"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370" w:hRule="atLeast"/>
                        </w:trPr>
                        <w:tc>
                          <w:tcPr>
                            <w:tcW w:w="351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276"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851"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6"/>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聘请123名保安，分配到16个街道作为巡防队员，协助街道做好治安巡逻工作，通过巡逻，震慑犯罪行为，提高“见警率”，提升群众安全感，2019年群众安全感达到97.7%。</w:t>
                            </w:r>
                          </w:p>
                        </w:tc>
                        <w:tc>
                          <w:tcPr>
                            <w:tcW w:w="3828" w:type="dxa"/>
                            <w:gridSpan w:val="6"/>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提高“见警率”，提升群众安全感，2019年群众安全感达到97.7%。</w:t>
                            </w:r>
                          </w:p>
                        </w:tc>
                      </w:tr>
                      <w:tr>
                        <w:tblPrEx>
                          <w:tblCellMar>
                            <w:top w:w="0" w:type="dxa"/>
                            <w:left w:w="108" w:type="dxa"/>
                            <w:bottom w:w="0" w:type="dxa"/>
                            <w:right w:w="108" w:type="dxa"/>
                          </w:tblCellMar>
                        </w:tblPrEx>
                        <w:trPr>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提高“见警率”，提升群众安全感。</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提高“见警率”，提升群众安全感。</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3"/>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w:t>
                            </w:r>
                            <w:r>
                              <w:rPr>
                                <w:rFonts w:ascii="宋体" w:hAnsi="宋体" w:cs="宋体"/>
                                <w:sz w:val="18"/>
                                <w:szCs w:val="18"/>
                              </w:rPr>
                              <w:t>4245677.43</w:t>
                            </w:r>
                            <w:r>
                              <w:rPr>
                                <w:rFonts w:hint="eastAsia" w:ascii="宋体" w:hAnsi="宋体" w:cs="宋体"/>
                                <w:sz w:val="18"/>
                                <w:szCs w:val="18"/>
                              </w:rPr>
                              <w:t>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w:t>
                            </w:r>
                            <w:r>
                              <w:rPr>
                                <w:rFonts w:ascii="宋体" w:hAnsi="宋体" w:cs="宋体"/>
                                <w:sz w:val="18"/>
                                <w:szCs w:val="18"/>
                              </w:rPr>
                              <w:t>4245677.43</w:t>
                            </w:r>
                            <w:r>
                              <w:rPr>
                                <w:rFonts w:hint="eastAsia" w:ascii="宋体" w:hAnsi="宋体" w:cs="宋体"/>
                                <w:sz w:val="18"/>
                                <w:szCs w:val="18"/>
                              </w:rPr>
                              <w:t>万，完成100%。2019年初财政资金到位。</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提高“见警率”，提升群众安全感，2019年群众安全感达到97.7%。。</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提高“见警率”，提升群众安全感，2019年群众安全感达到97.7%。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trHeight w:val="61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得到广大群众好评。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好评率达97.7%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trHeight w:val="565" w:hRule="atLeast"/>
                        </w:trPr>
                        <w:tc>
                          <w:tcPr>
                            <w:tcW w:w="875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3"/>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62336"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5" name="连接线3"/>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3" o:spid="_x0000_s1026" o:spt="32" type="#_x0000_t32" style="position:absolute;left:0pt;margin-left:-4.35pt;margin-top:17.3pt;height:34.85pt;width:90.75pt;z-index:251662336;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x&#10;P8UV2QAAAAkBAAAPAAAAAAAAAAEAIAAAADgAAABkcnMvZG93bnJldi54bWxQSwECFAAUAAAACACH&#10;TuJAOk7vUNQBAACWAwAADgAAAAAAAAABACAAAAA+AQAAZHJzL2Uyb0RvYy54bWxQSwUGAAAAAAYA&#10;BgBZAQAAhAU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69504" behindDoc="0" locked="0" layoutInCell="0" allowOverlap="1">
                <wp:simplePos x="0" y="0"/>
                <wp:positionH relativeFrom="margin">
                  <wp:posOffset>-68580</wp:posOffset>
                </wp:positionH>
                <wp:positionV relativeFrom="margin">
                  <wp:posOffset>-1143000</wp:posOffset>
                </wp:positionV>
                <wp:extent cx="7560310" cy="6120130"/>
                <wp:effectExtent l="0" t="0" r="0" b="0"/>
                <wp:wrapSquare wrapText="bothSides"/>
                <wp:docPr id="12" name="文本框3"/>
                <wp:cNvGraphicFramePr/>
                <a:graphic xmlns:a="http://schemas.openxmlformats.org/drawingml/2006/main">
                  <a:graphicData uri="http://schemas.microsoft.com/office/word/2010/wordprocessingShape">
                    <wps:wsp>
                      <wps:cNvSpPr txBox="true"/>
                      <wps:spPr>
                        <a:xfrm>
                          <a:off x="0" y="0"/>
                          <a:ext cx="7560310" cy="6120130"/>
                        </a:xfrm>
                        <a:prstGeom prst="rect">
                          <a:avLst/>
                        </a:prstGeom>
                        <a:noFill/>
                        <a:ln>
                          <a:noFill/>
                        </a:ln>
                      </wps:spPr>
                      <wps:txbx>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政法委教育培训费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98200元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98.2%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9</w:t>
                                  </w:r>
                                </w:p>
                              </w:tc>
                            </w:tr>
                            <w:tr>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98200元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98.2%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对系统工作人员开展教育培训，通过教育培训提高工作人员综合素质和处理问题的能力。</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每年度开展1-2次教育培训，夯实理论基础，开拓视野。</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每年度开展教育培训1次。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年度开展慰问活动1-2次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项目预10万，2019年初财政资金到位。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实际支出10万，完成98.2%。2019年初财政资金到位。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9</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通过教育培训，夯实理论基础，开拓视野。</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通过教育培训，夯实理论基础，开拓视野。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rPr>
                                      <w:rFonts w:ascii="宋体" w:hAnsi="宋体" w:cs="宋体"/>
                                      <w:kern w:val="1"/>
                                      <w:sz w:val="18"/>
                                      <w:szCs w:val="18"/>
                                    </w:rPr>
                                  </w:pPr>
                                  <w:r>
                                    <w:rPr>
                                      <w:rFonts w:hint="eastAsia" w:ascii="宋体" w:hAnsi="宋体" w:cs="宋体"/>
                                      <w:kern w:val="1"/>
                                      <w:sz w:val="18"/>
                                      <w:szCs w:val="18"/>
                                    </w:rPr>
                                    <w:t>活动得到系统工作人员好评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好评率达98%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总分：97</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3" o:spid="_x0000_s1026" o:spt="202" type="#_x0000_t202" style="position:absolute;left:0pt;margin-left:-5.4pt;margin-top:-90pt;height:481.9pt;width:595.3pt;mso-position-horizontal-relative:margin;mso-position-vertical-relative:margin;mso-wrap-distance-bottom:0pt;mso-wrap-distance-left:9pt;mso-wrap-distance-right:9pt;mso-wrap-distance-top:0pt;z-index:251669504;mso-width-relative:page;mso-height-relative:page;" filled="f" stroked="f" coordsize="21600,21600" o:allowincell="f" o:gfxdata="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8yxctgA&#10;AAANAQAADwAAAAAAAAABACAAAAA4AAAAZHJzL2Rvd25yZXYueG1sUEsBAhQAFAAAAAgAh07iQBvv&#10;AGvQAQAAfAMAAA4AAAAAAAAAAQAgAAAAPQEAAGRycy9lMm9Eb2MueG1sUEsFBgAAAAAGAAYAWQEA&#10;AH8FAAAAAA==&#10;">
                <v:fill on="f" focussize="0,0"/>
                <v:stroke on="f"/>
                <v:imagedata o:title=""/>
                <o:lock v:ext="edit" aspectratio="f"/>
                <v:textbox inset="0mm,0mm,0mm,0mm" style="mso-fit-shape-to-text:t;">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政法委教育培训费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98200元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98.2%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9</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100000元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98200元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98.2%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对系统工作人员开展教育培训，通过教育培训提高工作人员综合素质和处理问题的能力。</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每年度开展1-2次教育培训，夯实理论基础，开拓视野。</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每年度开展教育培训1次。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年度开展慰问活动1-2次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项目预10万，2019年初财政资金到位。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实际支出10万，完成98.2%。2019年初财政资金到位。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9</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通过教育培训，夯实理论基础，开拓视野。</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通过教育培训，夯实理论基础，开拓视野。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rPr>
                                <w:rFonts w:ascii="宋体" w:hAnsi="宋体" w:cs="宋体"/>
                                <w:kern w:val="1"/>
                                <w:sz w:val="18"/>
                                <w:szCs w:val="18"/>
                              </w:rPr>
                            </w:pPr>
                            <w:r>
                              <w:rPr>
                                <w:rFonts w:hint="eastAsia" w:ascii="宋体" w:hAnsi="宋体" w:cs="宋体"/>
                                <w:kern w:val="1"/>
                                <w:sz w:val="18"/>
                                <w:szCs w:val="18"/>
                              </w:rPr>
                              <w:t>活动得到系统工作人员好评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好评率达98%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总分：97</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63360"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6" name="连接线2"/>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2" o:spid="_x0000_s1026" o:spt="32" type="#_x0000_t32" style="position:absolute;left:0pt;margin-left:-4.35pt;margin-top:17.3pt;height:34.85pt;width:90.75pt;z-index:251663360;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x&#10;P8UV2QAAAAkBAAAPAAAAAAAAAAEAIAAAADgAAABkcnMvZG93bnJldi54bWxQSwECFAAUAAAACACH&#10;TuJAgRcZttQBAACWAwAADgAAAAAAAAABACAAAAA+AQAAZHJzL2Uyb0RvYy54bWxQSwUGAAAAAAYA&#10;BgBZAQAAhAU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70528" behindDoc="0" locked="0" layoutInCell="0" allowOverlap="1">
                <wp:simplePos x="0" y="0"/>
                <wp:positionH relativeFrom="margin">
                  <wp:posOffset>-68580</wp:posOffset>
                </wp:positionH>
                <wp:positionV relativeFrom="margin">
                  <wp:posOffset>-1143000</wp:posOffset>
                </wp:positionV>
                <wp:extent cx="7560310" cy="6120130"/>
                <wp:effectExtent l="0" t="0" r="0" b="0"/>
                <wp:wrapSquare wrapText="bothSides"/>
                <wp:docPr id="13" name="文本框2"/>
                <wp:cNvGraphicFramePr/>
                <a:graphic xmlns:a="http://schemas.openxmlformats.org/drawingml/2006/main">
                  <a:graphicData uri="http://schemas.microsoft.com/office/word/2010/wordprocessingShape">
                    <wps:wsp>
                      <wps:cNvSpPr txBox="true"/>
                      <wps:spPr>
                        <a:xfrm>
                          <a:off x="0" y="0"/>
                          <a:ext cx="7560310" cy="6120130"/>
                        </a:xfrm>
                        <a:prstGeom prst="rect">
                          <a:avLst/>
                        </a:prstGeom>
                        <a:noFill/>
                        <a:ln>
                          <a:noFill/>
                        </a:ln>
                      </wps:spPr>
                      <wps:txbx>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法学会工作经费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46170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46170</w:t>
                                  </w:r>
                                  <w:r>
                                    <w:rPr>
                                      <w:rFonts w:hint="eastAsia" w:ascii="宋体" w:hAnsi="宋体" w:cs="宋体"/>
                                      <w:sz w:val="18"/>
                                      <w:szCs w:val="18"/>
                                    </w:rPr>
                                    <w:t xml:space="preserve"> 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46170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46170</w:t>
                                  </w:r>
                                  <w:r>
                                    <w:rPr>
                                      <w:rFonts w:hint="eastAsia" w:ascii="宋体" w:hAnsi="宋体" w:cs="宋体"/>
                                      <w:sz w:val="18"/>
                                      <w:szCs w:val="18"/>
                                    </w:rPr>
                                    <w:t xml:space="preserve"> 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通过开展各种活动和系列培训讲座，切实提高会员的政治素质和业务能力，加强党组织建设，不断提升法学会工作实效</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通过开展各种活动和系列培训讲座，切实提高会员的政治素质和业务能力，提升了法学会工作实效</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每年度组织法会会员开会4次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每年度组织法会会员开会4次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项目预4.617万，2019年初财政资金到位。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实际支出4.617万，完成100%。2019年初财政资金到位。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切实提高会员的政治素质和业务能力，加强党组织建设，不断提升法学会工作实效。</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切实提高会员的政治素质和业务能力，加强党组织建设，不断提升法学会工作实效。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获得法学会会员好评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好评率达99%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2" o:spid="_x0000_s1026" o:spt="202" type="#_x0000_t202" style="position:absolute;left:0pt;margin-left:-5.4pt;margin-top:-90pt;height:481.9pt;width:595.3pt;mso-position-horizontal-relative:margin;mso-position-vertical-relative:margin;mso-wrap-distance-bottom:0pt;mso-wrap-distance-left:9pt;mso-wrap-distance-right:9pt;mso-wrap-distance-top:0pt;z-index:251670528;mso-width-relative:page;mso-height-relative:page;" filled="f" stroked="f" coordsize="21600,21600" o:allowincell="f" o:gfxdata="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8yxctgA&#10;AAANAQAADwAAAAAAAAABACAAAAA4AAAAZHJzL2Rvd25yZXYueG1sUEsBAhQAFAAAAAgAh07iQAW5&#10;yOvQAQAAfAMAAA4AAAAAAAAAAQAgAAAAPQEAAGRycy9lMm9Eb2MueG1sUEsFBgAAAAAGAAYAWQEA&#10;AH8FAAAAAA==&#10;">
                <v:fill on="f" focussize="0,0"/>
                <v:stroke on="f"/>
                <v:imagedata o:title=""/>
                <o:lock v:ext="edit" aspectratio="f"/>
                <v:textbox inset="0mm,0mm,0mm,0mm" style="mso-fit-shape-to-text:t;">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法学会工作经费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46170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46170</w:t>
                            </w:r>
                            <w:r>
                              <w:rPr>
                                <w:rFonts w:hint="eastAsia" w:ascii="宋体" w:hAnsi="宋体" w:cs="宋体"/>
                                <w:sz w:val="18"/>
                                <w:szCs w:val="18"/>
                              </w:rPr>
                              <w:t xml:space="preserve"> 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46170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46170</w:t>
                            </w:r>
                            <w:r>
                              <w:rPr>
                                <w:rFonts w:hint="eastAsia" w:ascii="宋体" w:hAnsi="宋体" w:cs="宋体"/>
                                <w:sz w:val="18"/>
                                <w:szCs w:val="18"/>
                              </w:rPr>
                              <w:t xml:space="preserve"> 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通过开展各种活动和系列培训讲座，切实提高会员的政治素质和业务能力，加强党组织建设，不断提升法学会工作实效</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通过开展各种活动和系列培训讲座，切实提高会员的政治素质和业务能力，提升了法学会工作实效</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rPr>
                          <w:gridAfter w:val="2"/>
                          <w:wAfter w:w="6393" w:type="dxa"/>
                          <w:trHeight w:val="1541"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每年度组织法会会员开会4次</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每年度组织法会会员开会4次</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项目预4.617万，2019年初财政资金到位。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实际支出4.617万，完成100%。2019年初财政资金到位。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切实提高会员的政治素质和业务能力，加强党组织建设，不断提升法学会工作实效。</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切实提高会员的政治素质和业务能力，加强党组织建设，不断提升法学会工作实效。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获得法学会会员好评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好评率达99%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rPr>
          <w:rFonts w:ascii="黑体" w:hAnsi="黑体" w:eastAsia="黑体"/>
          <w:kern w:val="1"/>
          <w:sz w:val="28"/>
          <w:szCs w:val="28"/>
        </w:rPr>
      </w:pPr>
      <w:r>
        <w:rPr>
          <w:rFonts w:ascii="黑体" w:hAnsi="黑体" w:eastAsia="黑体"/>
          <w:kern w:val="1"/>
          <w:sz w:val="28"/>
          <w:szCs w:val="28"/>
        </w:rPr>
        <mc:AlternateContent>
          <mc:Choice Requires="wps">
            <w:drawing>
              <wp:anchor distT="0" distB="0" distL="114300" distR="114300" simplePos="0" relativeHeight="251664384" behindDoc="0" locked="0" layoutInCell="0" allowOverlap="1">
                <wp:simplePos x="0" y="0"/>
                <wp:positionH relativeFrom="column">
                  <wp:posOffset>-55245</wp:posOffset>
                </wp:positionH>
                <wp:positionV relativeFrom="paragraph">
                  <wp:posOffset>219710</wp:posOffset>
                </wp:positionV>
                <wp:extent cx="1152525" cy="442595"/>
                <wp:effectExtent l="1905" t="4445" r="7620" b="10160"/>
                <wp:wrapNone/>
                <wp:docPr id="7" name="连接线1"/>
                <wp:cNvGraphicFramePr/>
                <a:graphic xmlns:a="http://schemas.openxmlformats.org/drawingml/2006/main">
                  <a:graphicData uri="http://schemas.microsoft.com/office/word/2010/wordprocessingShape">
                    <wps:wsp>
                      <wps:cNvCnPr/>
                      <wps:spPr>
                        <a:xfrm>
                          <a:off x="0" y="0"/>
                          <a:ext cx="1152525" cy="442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连接线1" o:spid="_x0000_s1026" o:spt="32" type="#_x0000_t32" style="position:absolute;left:0pt;margin-left:-4.35pt;margin-top:17.3pt;height:34.85pt;width:90.75pt;z-index:251664384;mso-width-relative:page;mso-height-relative:page;" filled="f" stroked="t" coordsize="21600,21600" o:allowincell="f" o:gfxdata="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x&#10;P8UV2QAAAAkBAAAPAAAAAAAAAAEAIAAAADgAAABkcnMvZG93bnJldi54bWxQSwECFAAUAAAACACH&#10;TuJA8FR3XNQBAACWAwAADgAAAAAAAAABACAAAAA+AQAAZHJzL2Uyb0RvYy54bWxQSwUGAAAAAAYA&#10;BgBZAQAAhAUAAAAA&#10;">
                <v:fill on="f" focussize="0,0"/>
                <v:stroke color="#000000" joinstyle="round"/>
                <v:imagedata o:title=""/>
                <o:lock v:ext="edit" aspectratio="f"/>
              </v:shape>
            </w:pict>
          </mc:Fallback>
        </mc:AlternateContent>
      </w:r>
      <w:r>
        <w:rPr>
          <w:rFonts w:ascii="黑体" w:hAnsi="黑体" w:eastAsia="黑体"/>
          <w:kern w:val="1"/>
          <w:sz w:val="28"/>
          <w:szCs w:val="28"/>
        </w:rPr>
        <mc:AlternateContent>
          <mc:Choice Requires="wps">
            <w:drawing>
              <wp:anchor distT="0" distB="0" distL="114300" distR="114300" simplePos="0" relativeHeight="251671552" behindDoc="0" locked="0" layoutInCell="0" allowOverlap="1">
                <wp:simplePos x="0" y="0"/>
                <wp:positionH relativeFrom="margin">
                  <wp:posOffset>-68580</wp:posOffset>
                </wp:positionH>
                <wp:positionV relativeFrom="margin">
                  <wp:posOffset>-1143000</wp:posOffset>
                </wp:positionV>
                <wp:extent cx="7560310" cy="6120130"/>
                <wp:effectExtent l="0" t="0" r="0" b="0"/>
                <wp:wrapSquare wrapText="bothSides"/>
                <wp:docPr id="14" name="文本框1"/>
                <wp:cNvGraphicFramePr/>
                <a:graphic xmlns:a="http://schemas.openxmlformats.org/drawingml/2006/main">
                  <a:graphicData uri="http://schemas.microsoft.com/office/word/2010/wordprocessingShape">
                    <wps:wsp>
                      <wps:cNvSpPr txBox="true"/>
                      <wps:spPr>
                        <a:xfrm>
                          <a:off x="0" y="0"/>
                          <a:ext cx="7560310" cy="6120130"/>
                        </a:xfrm>
                        <a:prstGeom prst="rect">
                          <a:avLst/>
                        </a:prstGeom>
                        <a:noFill/>
                        <a:ln>
                          <a:noFill/>
                        </a:ln>
                      </wps:spPr>
                      <wps:txbx>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blPrEx>
                                <w:tblCellMar>
                                  <w:top w:w="0" w:type="dxa"/>
                                  <w:left w:w="108" w:type="dxa"/>
                                  <w:bottom w:w="0" w:type="dxa"/>
                                  <w:right w:w="108" w:type="dxa"/>
                                </w:tblCellMar>
                              </w:tblPrEx>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区综治办安全稳定信息员奖励经费</w:t>
                                  </w:r>
                                </w:p>
                              </w:tc>
                            </w:tr>
                            <w:tr>
                              <w:tblPrEx>
                                <w:tblCellMar>
                                  <w:top w:w="0" w:type="dxa"/>
                                  <w:left w:w="108" w:type="dxa"/>
                                  <w:bottom w:w="0" w:type="dxa"/>
                                  <w:right w:w="108" w:type="dxa"/>
                                </w:tblCellMar>
                              </w:tblPrEx>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164100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164100</w:t>
                                  </w:r>
                                  <w:r>
                                    <w:rPr>
                                      <w:rFonts w:hint="eastAsia" w:ascii="宋体" w:hAnsi="宋体" w:cs="宋体"/>
                                      <w:sz w:val="18"/>
                                      <w:szCs w:val="18"/>
                                    </w:rPr>
                                    <w:t xml:space="preserve"> 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blPrEx>
                                <w:tblCellMar>
                                  <w:top w:w="0" w:type="dxa"/>
                                  <w:left w:w="108" w:type="dxa"/>
                                  <w:bottom w:w="0" w:type="dxa"/>
                                  <w:right w:w="108" w:type="dxa"/>
                                </w:tblCellMar>
                              </w:tblPrEx>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164100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164100</w:t>
                                  </w:r>
                                  <w:r>
                                    <w:rPr>
                                      <w:rFonts w:hint="eastAsia" w:ascii="宋体" w:hAnsi="宋体" w:cs="宋体"/>
                                      <w:sz w:val="18"/>
                                      <w:szCs w:val="18"/>
                                    </w:rPr>
                                    <w:t xml:space="preserve"> 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为贯彻落实《中国共产党政法工作条例》，鼓励和发动群众提供有利于平安建设线索，维护安全与稳定，提升平安建设水平，区委政法委制定了丰台区平安建设信息员奖励办法，对提供违法犯罪、规模性聚集、采取极端行为滋事闹事等影响社会治安和平安建设的苗头性信息的人员进行奖励。</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维护丰台区安全与稳定，提升平安建设水平。</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blPrEx>
                                <w:tblCellMar>
                                  <w:top w:w="0" w:type="dxa"/>
                                  <w:left w:w="108" w:type="dxa"/>
                                  <w:bottom w:w="0" w:type="dxa"/>
                                  <w:right w:w="108" w:type="dxa"/>
                                </w:tblCellMar>
                              </w:tblPrEx>
                              <w:trPr>
                                <w:gridAfter w:val="2"/>
                                <w:wAfter w:w="6393" w:type="dxa"/>
                                <w:trHeight w:val="1044"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每月对优秀信息员进行奖励。</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每月对优秀信息员进行奖励</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项目预16.41万，2019年初财政资金到位。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实际支出16.41万，完成100%。2019年初财政资金到位。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维护丰台区安全与稳定，提升平安建设水平。</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维护丰台区安全与稳定，提升平安建设水平。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获得群众好评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好评率达98%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wps:txbx>
                      <wps:bodyPr vert="horz" wrap="square" lIns="0" tIns="0" rIns="0" bIns="0" anchor="t" anchorCtr="false" upright="true">
                        <a:spAutoFit/>
                      </wps:bodyPr>
                    </wps:wsp>
                  </a:graphicData>
                </a:graphic>
              </wp:anchor>
            </w:drawing>
          </mc:Choice>
          <mc:Fallback>
            <w:pict>
              <v:shape id="文本框1" o:spid="_x0000_s1026" o:spt="202" type="#_x0000_t202" style="position:absolute;left:0pt;margin-left:-5.4pt;margin-top:-90pt;height:481.9pt;width:595.3pt;mso-position-horizontal-relative:margin;mso-position-vertical-relative:margin;mso-wrap-distance-bottom:0pt;mso-wrap-distance-left:9pt;mso-wrap-distance-right:9pt;mso-wrap-distance-top:0pt;z-index:251671552;mso-width-relative:page;mso-height-relative:page;" filled="f" stroked="f" coordsize="21600,21600" o:allowincell="f" o:gfxdata="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8yxctgA&#10;AAANAQAADwAAAAAAAAABACAAAAA4AAAAZHJzL2Rvd25yZXYueG1sUEsBAhQAFAAAAAgAh07iQJDv&#10;1LjQAQAAfAMAAA4AAAAAAAAAAQAgAAAAPQEAAGRycy9lMm9Eb2MueG1sUEsFBgAAAAAGAAYAWQEA&#10;AH8FAAAAAA==&#10;">
                <v:fill on="f" focussize="0,0"/>
                <v:stroke on="f"/>
                <v:imagedata o:title=""/>
                <o:lock v:ext="edit" aspectratio="f"/>
                <v:textbox inset="0mm,0mm,0mm,0mm" style="mso-fit-shape-to-text:t;">
                  <w:txbxContent>
                    <w:tbl>
                      <w:tblPr>
                        <w:tblStyle w:val="8"/>
                        <w:tblW w:w="17133" w:type="dxa"/>
                        <w:tblInd w:w="108" w:type="dxa"/>
                        <w:tblLayout w:type="autofit"/>
                        <w:tblCellMar>
                          <w:top w:w="0" w:type="dxa"/>
                          <w:left w:w="108" w:type="dxa"/>
                          <w:bottom w:w="0" w:type="dxa"/>
                          <w:right w:w="108" w:type="dxa"/>
                        </w:tblCellMar>
                      </w:tblPr>
                      <w:tblGrid>
                        <w:gridCol w:w="846"/>
                        <w:gridCol w:w="1105"/>
                        <w:gridCol w:w="178"/>
                        <w:gridCol w:w="1098"/>
                        <w:gridCol w:w="283"/>
                        <w:gridCol w:w="1701"/>
                        <w:gridCol w:w="142"/>
                        <w:gridCol w:w="1559"/>
                        <w:gridCol w:w="171"/>
                        <w:gridCol w:w="236"/>
                        <w:gridCol w:w="236"/>
                        <w:gridCol w:w="350"/>
                        <w:gridCol w:w="141"/>
                        <w:gridCol w:w="709"/>
                        <w:gridCol w:w="284"/>
                        <w:gridCol w:w="708"/>
                        <w:gridCol w:w="284"/>
                        <w:gridCol w:w="709"/>
                        <w:gridCol w:w="3809"/>
                        <w:gridCol w:w="2584"/>
                      </w:tblGrid>
                      <w:tr>
                        <w:trPr>
                          <w:gridAfter w:val="2"/>
                          <w:wAfter w:w="6393" w:type="dxa"/>
                          <w:trHeight w:val="484" w:hRule="atLeast"/>
                        </w:trPr>
                        <w:tc>
                          <w:tcPr>
                            <w:tcW w:w="10740" w:type="dxa"/>
                            <w:gridSpan w:val="18"/>
                            <w:noWrap w:val="0"/>
                            <w:vAlign w:val="center"/>
                          </w:tcPr>
                          <w:p>
                            <w:pPr>
                              <w:widowControl/>
                              <w:rPr>
                                <w:rFonts w:ascii="仿宋_GB2312" w:hAnsi="仿宋_GB2312" w:eastAsia="仿宋_GB2312"/>
                                <w:kern w:val="1"/>
                                <w:sz w:val="32"/>
                                <w:szCs w:val="32"/>
                              </w:rPr>
                            </w:pPr>
                          </w:p>
                          <w:p>
                            <w:pPr>
                              <w:widowControl/>
                              <w:jc w:val="center"/>
                              <w:rPr>
                                <w:rFonts w:ascii="宋体" w:hAnsi="宋体" w:cs="宋体"/>
                                <w:sz w:val="32"/>
                                <w:szCs w:val="32"/>
                              </w:rPr>
                            </w:pPr>
                            <w:r>
                              <w:rPr>
                                <w:rFonts w:hint="eastAsia" w:ascii="仿宋_GB2312" w:hAnsi="仿宋_GB2312" w:eastAsia="仿宋_GB2312"/>
                                <w:kern w:val="1"/>
                                <w:sz w:val="32"/>
                                <w:szCs w:val="32"/>
                              </w:rPr>
                              <w:t xml:space="preserve"> </w:t>
                            </w:r>
                            <w:r>
                              <w:rPr>
                                <w:rFonts w:hint="eastAsia" w:ascii="宋体" w:hAnsi="宋体" w:cs="宋体"/>
                                <w:b/>
                                <w:bCs/>
                                <w:sz w:val="32"/>
                                <w:szCs w:val="32"/>
                              </w:rPr>
                              <w:t>项目支出事后绩效自评简表</w:t>
                            </w:r>
                            <w:r>
                              <w:rPr>
                                <w:rFonts w:hint="eastAsia" w:ascii="宋体" w:hAnsi="宋体" w:cs="宋体"/>
                                <w:sz w:val="32"/>
                                <w:szCs w:val="32"/>
                              </w:rPr>
                              <w:t xml:space="preserve"> </w:t>
                            </w:r>
                          </w:p>
                        </w:tc>
                      </w:tr>
                      <w:tr>
                        <w:tblPrEx>
                          <w:tblCellMar>
                            <w:top w:w="0" w:type="dxa"/>
                            <w:left w:w="108" w:type="dxa"/>
                            <w:bottom w:w="0" w:type="dxa"/>
                            <w:right w:w="108" w:type="dxa"/>
                          </w:tblCellMar>
                        </w:tblPrEx>
                        <w:trPr>
                          <w:gridAfter w:val="2"/>
                          <w:wAfter w:w="6393" w:type="dxa"/>
                          <w:trHeight w:val="311" w:hRule="atLeast"/>
                        </w:trPr>
                        <w:tc>
                          <w:tcPr>
                            <w:tcW w:w="10740" w:type="dxa"/>
                            <w:gridSpan w:val="18"/>
                            <w:noWrap w:val="0"/>
                            <w:vAlign w:val="center"/>
                          </w:tcPr>
                          <w:p>
                            <w:pPr>
                              <w:widowControl/>
                              <w:jc w:val="center"/>
                              <w:rPr>
                                <w:rFonts w:ascii="宋体" w:hAnsi="宋体" w:cs="宋体"/>
                                <w:sz w:val="22"/>
                              </w:rPr>
                            </w:pPr>
                            <w:r>
                              <w:rPr>
                                <w:rFonts w:hint="eastAsia" w:ascii="宋体" w:hAnsi="宋体" w:cs="宋体"/>
                                <w:sz w:val="22"/>
                              </w:rPr>
                              <w:t>（201</w:t>
                            </w:r>
                            <w:r>
                              <w:rPr>
                                <w:rFonts w:ascii="宋体" w:hAnsi="宋体" w:cs="宋体"/>
                                <w:sz w:val="22"/>
                              </w:rPr>
                              <w:t>9</w:t>
                            </w:r>
                            <w:r>
                              <w:rPr>
                                <w:rFonts w:hint="eastAsia" w:ascii="宋体" w:hAnsi="宋体" w:cs="宋体"/>
                                <w:sz w:val="22"/>
                              </w:rPr>
                              <w:t>年度）</w:t>
                            </w:r>
                          </w:p>
                        </w:tc>
                      </w:tr>
                      <w:tr>
                        <w:tblPrEx>
                          <w:tblCellMar>
                            <w:top w:w="0" w:type="dxa"/>
                            <w:left w:w="108" w:type="dxa"/>
                            <w:bottom w:w="0" w:type="dxa"/>
                            <w:right w:w="108" w:type="dxa"/>
                          </w:tblCellMar>
                        </w:tblPrEx>
                        <w:trPr>
                          <w:trHeight w:val="78" w:hRule="atLeast"/>
                        </w:trPr>
                        <w:tc>
                          <w:tcPr>
                            <w:tcW w:w="84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8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381" w:type="dxa"/>
                            <w:gridSpan w:val="2"/>
                            <w:tcBorders>
                              <w:bottom w:val="single" w:color="000000" w:sz="4" w:space="0"/>
                            </w:tcBorders>
                            <w:noWrap w:val="0"/>
                            <w:vAlign w:val="center"/>
                          </w:tcPr>
                          <w:p>
                            <w:pPr>
                              <w:widowControl/>
                              <w:jc w:val="left"/>
                              <w:rPr>
                                <w:rFonts w:ascii="宋体" w:hAnsi="宋体" w:cs="宋体"/>
                                <w:sz w:val="22"/>
                              </w:rPr>
                            </w:pPr>
                          </w:p>
                        </w:tc>
                        <w:tc>
                          <w:tcPr>
                            <w:tcW w:w="1843"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730"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36"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1200"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992" w:type="dxa"/>
                            <w:gridSpan w:val="2"/>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4802" w:type="dxa"/>
                            <w:gridSpan w:val="3"/>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c>
                          <w:tcPr>
                            <w:tcW w:w="2584" w:type="dxa"/>
                            <w:tcBorders>
                              <w:bottom w:val="single" w:color="000000" w:sz="4" w:space="0"/>
                            </w:tcBorders>
                            <w:noWrap w:val="0"/>
                            <w:vAlign w:val="center"/>
                          </w:tcPr>
                          <w:p>
                            <w:pPr>
                              <w:widowControl/>
                              <w:jc w:val="left"/>
                              <w:rPr>
                                <w:rFonts w:ascii="宋体" w:hAnsi="宋体" w:cs="宋体"/>
                                <w:sz w:val="22"/>
                              </w:rPr>
                            </w:pPr>
                            <w:r>
                              <w:rPr>
                                <w:rFonts w:hint="eastAsia" w:ascii="宋体" w:hAnsi="宋体" w:cs="宋体"/>
                                <w:sz w:val="22"/>
                              </w:rPr>
                              <w:t>　</w:t>
                            </w:r>
                          </w:p>
                        </w:tc>
                      </w:tr>
                      <w:tr>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项目名称</w:t>
                            </w:r>
                          </w:p>
                        </w:tc>
                        <w:tc>
                          <w:tcPr>
                            <w:tcW w:w="7230" w:type="dxa"/>
                            <w:gridSpan w:val="1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区综治办安全稳定信息员奖励经费</w:t>
                            </w:r>
                          </w:p>
                        </w:tc>
                      </w:tr>
                      <w:tr>
                        <w:trPr>
                          <w:gridAfter w:val="2"/>
                          <w:wAfter w:w="6393" w:type="dxa"/>
                          <w:trHeight w:val="370" w:hRule="atLeast"/>
                        </w:trPr>
                        <w:tc>
                          <w:tcPr>
                            <w:tcW w:w="35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主管部门及代码</w:t>
                            </w:r>
                          </w:p>
                        </w:tc>
                        <w:tc>
                          <w:tcPr>
                            <w:tcW w:w="3402" w:type="dxa"/>
                            <w:gridSpan w:val="3"/>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101008</w:t>
                            </w:r>
                          </w:p>
                        </w:tc>
                        <w:tc>
                          <w:tcPr>
                            <w:tcW w:w="1134" w:type="dxa"/>
                            <w:gridSpan w:val="5"/>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实施单位</w:t>
                            </w:r>
                          </w:p>
                        </w:tc>
                        <w:tc>
                          <w:tcPr>
                            <w:tcW w:w="26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丰台区委政法委</w:t>
                            </w:r>
                          </w:p>
                        </w:tc>
                      </w:tr>
                      <w:tr>
                        <w:tblPrEx>
                          <w:tblCellMar>
                            <w:top w:w="0" w:type="dxa"/>
                            <w:left w:w="108" w:type="dxa"/>
                            <w:bottom w:w="0" w:type="dxa"/>
                            <w:right w:w="108" w:type="dxa"/>
                          </w:tblCellMar>
                        </w:tblPrEx>
                        <w:trPr>
                          <w:gridAfter w:val="2"/>
                          <w:wAfter w:w="6393" w:type="dxa"/>
                          <w:trHeight w:val="674" w:hRule="atLeast"/>
                        </w:trPr>
                        <w:tc>
                          <w:tcPr>
                            <w:tcW w:w="351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项目资金 2.49（万元）</w:t>
                            </w:r>
                          </w:p>
                        </w:tc>
                        <w:tc>
                          <w:tcPr>
                            <w:tcW w:w="1843"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c>
                          <w:tcPr>
                            <w:tcW w:w="1559" w:type="dxa"/>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年初预算数（A）</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全年执行数（B）</w:t>
                            </w:r>
                          </w:p>
                        </w:tc>
                        <w:tc>
                          <w:tcPr>
                            <w:tcW w:w="993"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分值</w:t>
                            </w:r>
                          </w:p>
                          <w:p>
                            <w:pPr>
                              <w:widowControl/>
                              <w:jc w:val="center"/>
                              <w:rPr>
                                <w:rFonts w:ascii="宋体" w:hAnsi="宋体" w:cs="宋体"/>
                                <w:sz w:val="18"/>
                                <w:szCs w:val="18"/>
                              </w:rPr>
                            </w:pPr>
                            <w:r>
                              <w:rPr>
                                <w:rFonts w:hint="eastAsia" w:ascii="宋体" w:hAnsi="宋体" w:cs="宋体"/>
                                <w:sz w:val="18"/>
                                <w:szCs w:val="18"/>
                              </w:rPr>
                              <w:t>（10分）</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执行率（B/A)</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gridAfter w:val="2"/>
                          <w:wAfter w:w="6393" w:type="dxa"/>
                          <w:trHeight w:val="50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年度资金总额：</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164100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164100</w:t>
                            </w:r>
                            <w:r>
                              <w:rPr>
                                <w:rFonts w:hint="eastAsia" w:ascii="宋体" w:hAnsi="宋体" w:cs="宋体"/>
                                <w:sz w:val="18"/>
                                <w:szCs w:val="18"/>
                              </w:rPr>
                              <w:t xml:space="preserve"> 元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10</w:t>
                            </w:r>
                          </w:p>
                        </w:tc>
                      </w:tr>
                      <w:tr>
                        <w:trPr>
                          <w:gridAfter w:val="2"/>
                          <w:wAfter w:w="6393" w:type="dxa"/>
                          <w:trHeight w:val="555"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其中:财政拨款</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r>
                              <w:rPr>
                                <w:kern w:val="1"/>
                              </w:rPr>
                              <w:t xml:space="preserve"> </w:t>
                            </w:r>
                            <w:r>
                              <w:rPr>
                                <w:rFonts w:ascii="宋体" w:hAnsi="宋体" w:cs="宋体"/>
                                <w:sz w:val="18"/>
                                <w:szCs w:val="18"/>
                              </w:rPr>
                              <w:t>164100</w:t>
                            </w:r>
                            <w:r>
                              <w:rPr>
                                <w:rFonts w:hint="eastAsia" w:ascii="宋体" w:hAnsi="宋体" w:cs="宋体"/>
                                <w:sz w:val="18"/>
                                <w:szCs w:val="18"/>
                              </w:rPr>
                              <w:t xml:space="preserve"> 元</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ascii="宋体" w:hAnsi="宋体" w:cs="宋体"/>
                                <w:sz w:val="18"/>
                                <w:szCs w:val="18"/>
                              </w:rPr>
                              <w:t>164100</w:t>
                            </w:r>
                            <w:r>
                              <w:rPr>
                                <w:rFonts w:hint="eastAsia" w:ascii="宋体" w:hAnsi="宋体" w:cs="宋体"/>
                                <w:sz w:val="18"/>
                                <w:szCs w:val="18"/>
                              </w:rPr>
                              <w:t xml:space="preserve"> 元</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xml:space="preserve">　100%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rPr>
                          <w:gridAfter w:val="2"/>
                          <w:wAfter w:w="6393" w:type="dxa"/>
                          <w:trHeight w:val="370" w:hRule="atLeast"/>
                        </w:trPr>
                        <w:tc>
                          <w:tcPr>
                            <w:tcW w:w="351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843"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其他资金</w:t>
                            </w:r>
                          </w:p>
                        </w:tc>
                        <w:tc>
                          <w:tcPr>
                            <w:tcW w:w="1559" w:type="dxa"/>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0</w:t>
                            </w:r>
                          </w:p>
                        </w:tc>
                        <w:tc>
                          <w:tcPr>
                            <w:tcW w:w="1134" w:type="dxa"/>
                            <w:gridSpan w:val="5"/>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993" w:type="dxa"/>
                            <w:gridSpan w:val="2"/>
                            <w:tcBorders>
                              <w:bottom w:val="single" w:color="000000" w:sz="4" w:space="0"/>
                              <w:right w:val="single" w:color="000000" w:sz="4" w:space="0"/>
                            </w:tcBorders>
                            <w:noWrap w:val="0"/>
                            <w:vAlign w:val="center"/>
                          </w:tcPr>
                          <w:p>
                            <w:pPr>
                              <w:widowControl/>
                              <w:rPr>
                                <w:rFonts w:ascii="宋体" w:hAnsi="宋体" w:cs="宋体"/>
                                <w:sz w:val="18"/>
                                <w:szCs w:val="18"/>
                              </w:rPr>
                            </w:pPr>
                            <w:r>
                              <w:rPr>
                                <w:rFonts w:hint="eastAsia" w:ascii="宋体" w:hAnsi="宋体" w:cs="宋体"/>
                                <w:sz w:val="18"/>
                                <w:szCs w:val="18"/>
                              </w:rPr>
                              <w:t>　—</w:t>
                            </w:r>
                          </w:p>
                        </w:tc>
                        <w:tc>
                          <w:tcPr>
                            <w:tcW w:w="992" w:type="dxa"/>
                            <w:gridSpan w:val="2"/>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709" w:type="dxa"/>
                            <w:tcBorders>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gridAfter w:val="2"/>
                          <w:wAfter w:w="6393" w:type="dxa"/>
                          <w:trHeight w:val="1172" w:hRule="atLeast"/>
                        </w:trPr>
                        <w:tc>
                          <w:tcPr>
                            <w:tcW w:w="846" w:type="dxa"/>
                            <w:tcBorders>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年度目标</w:t>
                            </w:r>
                          </w:p>
                        </w:tc>
                        <w:tc>
                          <w:tcPr>
                            <w:tcW w:w="6066" w:type="dxa"/>
                            <w:gridSpan w:val="7"/>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为贯彻落实《中国共产党政法工作条例》，鼓励和发动群众提供有利于平安建设线索，维护安全与稳定，提升平安建设水平，区委政法委制定了丰台区平安建设信息员奖励办法，对提供违法犯罪、规模性聚集、采取极端行为滋事闹事等影响社会治安和平安建设的苗头性信息的人员进行奖励。</w:t>
                            </w:r>
                          </w:p>
                        </w:tc>
                        <w:tc>
                          <w:tcPr>
                            <w:tcW w:w="3828" w:type="dxa"/>
                            <w:gridSpan w:val="10"/>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维护丰台区安全与稳定，提升平安建设水平。</w:t>
                            </w:r>
                          </w:p>
                        </w:tc>
                      </w:tr>
                      <w:tr>
                        <w:tblPrEx>
                          <w:tblCellMar>
                            <w:top w:w="0" w:type="dxa"/>
                            <w:left w:w="108" w:type="dxa"/>
                            <w:bottom w:w="0" w:type="dxa"/>
                            <w:right w:w="108" w:type="dxa"/>
                          </w:tblCellMar>
                        </w:tblPrEx>
                        <w:trPr>
                          <w:gridAfter w:val="2"/>
                          <w:wAfter w:w="6393" w:type="dxa"/>
                          <w:trHeight w:val="737" w:hRule="atLeast"/>
                        </w:trPr>
                        <w:tc>
                          <w:tcPr>
                            <w:tcW w:w="846"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宋体" w:hAnsi="宋体" w:cs="宋体"/>
                                <w:sz w:val="18"/>
                                <w:szCs w:val="18"/>
                              </w:rPr>
                            </w:pPr>
                            <w:r>
                              <w:rPr>
                                <w:rFonts w:hint="eastAsia" w:ascii="宋体" w:hAnsi="宋体" w:cs="宋体"/>
                                <w:sz w:val="18"/>
                                <w:szCs w:val="18"/>
                              </w:rPr>
                              <w:t xml:space="preserve"> 绩效指标</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一级指标</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二级指标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年度指标值(A)</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全年实际值(B)</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分值</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得分</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未完成原因分析</w:t>
                            </w:r>
                          </w:p>
                        </w:tc>
                      </w:tr>
                      <w:tr>
                        <w:trPr>
                          <w:gridAfter w:val="2"/>
                          <w:wAfter w:w="6393" w:type="dxa"/>
                          <w:trHeight w:val="1044"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产</w:t>
                            </w:r>
                            <w:r>
                              <w:rPr>
                                <w:rFonts w:hint="eastAsia" w:ascii="宋体" w:hAnsi="宋体" w:cs="宋体"/>
                                <w:sz w:val="18"/>
                                <w:szCs w:val="18"/>
                              </w:rPr>
                              <w:br w:type="textWrapping"/>
                            </w:r>
                            <w:r>
                              <w:rPr>
                                <w:rFonts w:hint="eastAsia" w:ascii="宋体" w:hAnsi="宋体" w:cs="宋体"/>
                                <w:sz w:val="18"/>
                                <w:szCs w:val="18"/>
                              </w:rPr>
                              <w:t>出</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(50分)</w:t>
                            </w:r>
                          </w:p>
                        </w:tc>
                        <w:tc>
                          <w:tcPr>
                            <w:tcW w:w="1276" w:type="dxa"/>
                            <w:gridSpan w:val="2"/>
                            <w:tcBorders>
                              <w:top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数量指标</w:t>
                            </w:r>
                          </w:p>
                        </w:tc>
                        <w:tc>
                          <w:tcPr>
                            <w:tcW w:w="1984"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每月对优秀信息员进行奖励。</w:t>
                            </w:r>
                          </w:p>
                        </w:tc>
                        <w:tc>
                          <w:tcPr>
                            <w:tcW w:w="1701" w:type="dxa"/>
                            <w:gridSpan w:val="2"/>
                            <w:tcBorders>
                              <w:top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每月对优秀信息员进行奖励</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rPr>
                          <w:gridAfter w:val="2"/>
                          <w:wAfter w:w="6393" w:type="dxa"/>
                          <w:trHeight w:val="698"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质量指标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　</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活动参与度＞70%</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15</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709" w:hRule="atLeast"/>
                        </w:trPr>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进度指标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12月底前完成</w:t>
                            </w:r>
                          </w:p>
                        </w:tc>
                        <w:tc>
                          <w:tcPr>
                            <w:tcW w:w="1701" w:type="dxa"/>
                            <w:gridSpan w:val="2"/>
                            <w:tcBorders>
                              <w:top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12月底前完成</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1541"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成本指标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项目预16.41万，2019年初财政资金到位。</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实际支出16.41万，完成100%。2019年初财政资金到位。</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10</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rPr>
                          <w:gridAfter w:val="2"/>
                          <w:wAfter w:w="6393" w:type="dxa"/>
                          <w:trHeight w:val="1550"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restart"/>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果</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r>
                              <w:rPr>
                                <w:rFonts w:hint="eastAsia" w:ascii="宋体" w:hAnsi="宋体" w:cs="宋体"/>
                                <w:sz w:val="18"/>
                                <w:szCs w:val="18"/>
                              </w:rPr>
                              <w:br w:type="textWrapping"/>
                            </w:r>
                            <w:r>
                              <w:rPr>
                                <w:rFonts w:hint="eastAsia" w:ascii="宋体" w:hAnsi="宋体" w:cs="宋体"/>
                                <w:sz w:val="18"/>
                                <w:szCs w:val="18"/>
                              </w:rPr>
                              <w:t>(40分)</w:t>
                            </w: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效益指标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维护丰台区安全与稳定，提升平安建设水平。</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维护丰台区安全与稳定，提升平安建设水平。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20　</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rPr>
                          <w:gridAfter w:val="2"/>
                          <w:wAfter w:w="6393" w:type="dxa"/>
                          <w:trHeight w:val="977" w:hRule="atLeast"/>
                        </w:trPr>
                        <w:tc>
                          <w:tcPr>
                            <w:tcW w:w="846"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105"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sz w:val="18"/>
                                <w:szCs w:val="18"/>
                              </w:rPr>
                            </w:pPr>
                          </w:p>
                        </w:tc>
                        <w:tc>
                          <w:tcPr>
                            <w:tcW w:w="1276"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服务对象</w:t>
                            </w:r>
                          </w:p>
                          <w:p>
                            <w:pPr>
                              <w:widowControl/>
                              <w:jc w:val="center"/>
                              <w:rPr>
                                <w:rFonts w:ascii="宋体" w:hAnsi="宋体" w:cs="宋体"/>
                                <w:sz w:val="18"/>
                                <w:szCs w:val="18"/>
                              </w:rPr>
                            </w:pPr>
                            <w:r>
                              <w:rPr>
                                <w:rFonts w:hint="eastAsia" w:ascii="宋体" w:hAnsi="宋体" w:cs="宋体"/>
                                <w:sz w:val="18"/>
                                <w:szCs w:val="18"/>
                              </w:rPr>
                              <w:t>满意度指标</w:t>
                            </w:r>
                          </w:p>
                        </w:tc>
                        <w:tc>
                          <w:tcPr>
                            <w:tcW w:w="1984"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获得群众好评</w:t>
                            </w:r>
                          </w:p>
                        </w:tc>
                        <w:tc>
                          <w:tcPr>
                            <w:tcW w:w="1701" w:type="dxa"/>
                            <w:gridSpan w:val="2"/>
                            <w:tcBorders>
                              <w:top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好评率达98%　</w:t>
                            </w:r>
                          </w:p>
                        </w:tc>
                        <w:tc>
                          <w:tcPr>
                            <w:tcW w:w="9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w:t>
                            </w: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sz w:val="18"/>
                                <w:szCs w:val="18"/>
                              </w:rPr>
                            </w:pPr>
                          </w:p>
                        </w:tc>
                      </w:tr>
                      <w:tr>
                        <w:tblPrEx>
                          <w:tblCellMar>
                            <w:top w:w="0" w:type="dxa"/>
                            <w:left w:w="108" w:type="dxa"/>
                            <w:bottom w:w="0" w:type="dxa"/>
                            <w:right w:w="108" w:type="dxa"/>
                          </w:tblCellMar>
                        </w:tblPrEx>
                        <w:trPr>
                          <w:gridAfter w:val="2"/>
                          <w:wAfter w:w="6393" w:type="dxa"/>
                          <w:trHeight w:val="565" w:hRule="atLeast"/>
                        </w:trPr>
                        <w:tc>
                          <w:tcPr>
                            <w:tcW w:w="875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sz w:val="18"/>
                                <w:szCs w:val="18"/>
                              </w:rPr>
                            </w:pPr>
                            <w:r>
                              <w:rPr>
                                <w:rFonts w:hint="eastAsia" w:ascii="宋体" w:hAnsi="宋体" w:cs="宋体"/>
                                <w:b/>
                                <w:szCs w:val="18"/>
                              </w:rPr>
                              <w:t>总分：98</w:t>
                            </w:r>
                          </w:p>
                        </w:tc>
                        <w:tc>
                          <w:tcPr>
                            <w:tcW w:w="1985" w:type="dxa"/>
                            <w:gridSpan w:val="4"/>
                            <w:tcBorders>
                              <w:bottom w:val="single" w:color="000000" w:sz="4" w:space="0"/>
                              <w:right w:val="single" w:color="000000" w:sz="4" w:space="0"/>
                            </w:tcBorders>
                            <w:noWrap w:val="0"/>
                            <w:vAlign w:val="center"/>
                          </w:tcPr>
                          <w:p>
                            <w:pPr>
                              <w:widowControl/>
                              <w:jc w:val="left"/>
                              <w:rPr>
                                <w:rFonts w:ascii="宋体" w:hAnsi="宋体" w:cs="宋体"/>
                                <w:sz w:val="18"/>
                                <w:szCs w:val="18"/>
                              </w:rPr>
                            </w:pPr>
                            <w:r>
                              <w:rPr>
                                <w:rFonts w:hint="eastAsia" w:ascii="宋体" w:hAnsi="宋体" w:cs="宋体"/>
                                <w:sz w:val="18"/>
                                <w:szCs w:val="18"/>
                              </w:rPr>
                              <w:t>　</w:t>
                            </w:r>
                          </w:p>
                        </w:tc>
                      </w:tr>
                    </w:tbl>
                    <w:p/>
                  </w:txbxContent>
                </v:textbox>
                <w10:wrap type="square"/>
              </v:shape>
            </w:pict>
          </mc:Fallback>
        </mc:AlternateContent>
      </w:r>
    </w:p>
    <w:p>
      <w:pPr>
        <w:rPr>
          <w:rFonts w:ascii="黑体" w:hAnsi="黑体" w:eastAsia="黑体"/>
          <w:kern w:val="1"/>
          <w:sz w:val="28"/>
          <w:szCs w:val="28"/>
        </w:rPr>
      </w:pPr>
    </w:p>
    <w:p>
      <w:pPr>
        <w:pStyle w:val="7"/>
        <w:numPr>
          <w:ilvl w:val="0"/>
          <w:numId w:val="3"/>
        </w:numPr>
        <w:shd w:val="clear" w:fill="FFFFFF"/>
        <w:spacing w:before="0" w:beforeAutospacing="0" w:after="0" w:afterAutospacing="0"/>
        <w:ind w:left="420" w:leftChars="200" w:right="0" w:rightChars="0" w:firstLine="0"/>
        <w:jc w:val="both"/>
        <w:rPr>
          <w:rFonts w:hint="eastAsia" w:ascii="宋体" w:hAnsi="宋体" w:eastAsia="宋体" w:cs="宋体"/>
          <w:kern w:val="0"/>
          <w:sz w:val="32"/>
          <w:szCs w:val="32"/>
          <w:shd w:val="clear" w:fill="FFFFFF"/>
        </w:rPr>
      </w:pPr>
      <w:r>
        <w:rPr>
          <w:rFonts w:hint="eastAsia" w:ascii="宋体" w:hAnsi="宋体" w:eastAsia="宋体" w:cs="宋体"/>
          <w:kern w:val="0"/>
          <w:sz w:val="32"/>
          <w:szCs w:val="32"/>
          <w:shd w:val="clear" w:fill="FFFFFF"/>
        </w:rPr>
        <w:t>201</w:t>
      </w:r>
      <w:r>
        <w:rPr>
          <w:rFonts w:hint="eastAsia" w:ascii="宋体" w:hAnsi="宋体" w:eastAsia="宋体" w:cs="宋体"/>
          <w:kern w:val="0"/>
          <w:sz w:val="32"/>
          <w:szCs w:val="32"/>
          <w:shd w:val="clear" w:fill="FFFFFF"/>
          <w:lang w:val="en-US" w:eastAsia="zh-CN"/>
        </w:rPr>
        <w:t>9</w:t>
      </w:r>
      <w:r>
        <w:rPr>
          <w:rFonts w:hint="eastAsia" w:ascii="宋体" w:hAnsi="宋体" w:eastAsia="宋体" w:cs="宋体"/>
          <w:kern w:val="0"/>
          <w:sz w:val="32"/>
          <w:szCs w:val="32"/>
          <w:shd w:val="clear" w:fill="FFFFFF"/>
        </w:rPr>
        <w:t>年度部门决算报表</w:t>
      </w:r>
    </w:p>
    <w:p>
      <w:pPr>
        <w:numPr>
          <w:ilvl w:val="0"/>
          <w:numId w:val="4"/>
        </w:numPr>
        <w:rPr>
          <w:rFonts w:hint="eastAsia" w:ascii="仿宋_GB2312" w:eastAsia="仿宋_GB2312" w:cs="仿宋_GB2312"/>
          <w:kern w:val="0"/>
          <w:sz w:val="28"/>
          <w:szCs w:val="28"/>
        </w:rPr>
      </w:pPr>
      <w:r>
        <w:rPr>
          <w:rFonts w:hint="eastAsia" w:ascii="宋体" w:hAnsi="宋体" w:eastAsia="宋体" w:cs="宋体"/>
          <w:kern w:val="0"/>
          <w:sz w:val="32"/>
          <w:szCs w:val="32"/>
          <w:shd w:val="clear" w:fill="FFFFFF"/>
        </w:rPr>
        <w:t xml:space="preserve"> </w:t>
      </w:r>
      <w:r>
        <w:rPr>
          <w:rFonts w:hint="eastAsia" w:ascii="仿宋_GB2312" w:eastAsia="仿宋_GB2312" w:cs="仿宋_GB2312"/>
          <w:kern w:val="0"/>
          <w:sz w:val="28"/>
          <w:szCs w:val="28"/>
        </w:rPr>
        <w:t>收入支出决算总表</w:t>
      </w:r>
      <w:bookmarkStart w:id="1" w:name="_GoBack"/>
      <w:bookmarkEnd w:id="1"/>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收入决算表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支出决算表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财政拨款收入支出决算总表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一般公共预算财政拨款支出决算表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一般公共预算财政拨款基本支出决算表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政府性基金预算财政拨款收入支出决算表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政府性基金预算财政拨款基本支出决算表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财政拨款“三公”经费支出决算表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政府采购情况表</w:t>
      </w:r>
    </w:p>
    <w:p>
      <w:pPr>
        <w:numPr>
          <w:ilvl w:val="0"/>
          <w:numId w:val="4"/>
        </w:numPr>
        <w:rPr>
          <w:rFonts w:hint="eastAsia" w:ascii="仿宋_GB2312" w:eastAsia="仿宋_GB2312" w:cs="仿宋_GB2312"/>
          <w:kern w:val="0"/>
          <w:sz w:val="28"/>
          <w:szCs w:val="28"/>
        </w:rPr>
      </w:pPr>
      <w:r>
        <w:rPr>
          <w:rFonts w:hint="eastAsia" w:ascii="仿宋_GB2312" w:eastAsia="仿宋_GB2312" w:cs="仿宋_GB2312"/>
          <w:kern w:val="0"/>
          <w:sz w:val="28"/>
          <w:szCs w:val="28"/>
        </w:rPr>
        <w:t>政府购买服务支出情况表</w:t>
      </w:r>
    </w:p>
    <w:p>
      <w:pPr>
        <w:rPr>
          <w:rFonts w:ascii="黑体" w:hAnsi="黑体" w:eastAsia="黑体"/>
          <w:kern w:val="1"/>
          <w:sz w:val="28"/>
          <w:szCs w:val="28"/>
        </w:rPr>
      </w:pPr>
    </w:p>
    <w:p>
      <w:pPr>
        <w:rPr>
          <w:rFonts w:ascii="黑体" w:hAnsi="黑体" w:eastAsia="黑体"/>
          <w:kern w:val="1"/>
          <w:sz w:val="28"/>
          <w:szCs w:val="28"/>
        </w:rPr>
      </w:pPr>
    </w:p>
    <w:sectPr>
      <w:footerReference r:id="rId4" w:type="default"/>
      <w:footnotePr>
        <w:numFmt w:val="decimal"/>
      </w:footnotePr>
      <w:pgSz w:w="11906" w:h="16838"/>
      <w:pgMar w:top="1134" w:right="1134" w:bottom="1134" w:left="850" w:header="72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Arial Unicode MS"/>
    <w:panose1 w:val="02010600030101010101"/>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page" w:x="8329" w:y="1"/>
    </w:pPr>
    <w:r>
      <w:fldChar w:fldCharType="begin"/>
    </w:r>
    <w:r>
      <w:instrText xml:space="preserve"> PAGE \* Arabic </w:instrText>
    </w:r>
    <w:r>
      <w:fldChar w:fldCharType="separate"/>
    </w:r>
    <w: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page" w:x="5721" w:y="1"/>
    </w:pPr>
    <w:r>
      <w:fldChar w:fldCharType="begin"/>
    </w:r>
    <w:r>
      <w:instrText xml:space="preserve"> PAGE \* Arabic </w:instrText>
    </w:r>
    <w:r>
      <w:fldChar w:fldCharType="separate"/>
    </w:r>
    <w:r>
      <w:t>9</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AE52C"/>
    <w:multiLevelType w:val="multilevel"/>
    <w:tmpl w:val="373AE52C"/>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7FE73A7"/>
    <w:multiLevelType w:val="multilevel"/>
    <w:tmpl w:val="57FE73A7"/>
    <w:lvl w:ilvl="0" w:tentative="0">
      <w:start w:val="4"/>
      <w:numFmt w:val="chineseCounting"/>
      <w:suff w:val="space"/>
      <w:lvlText w:val="第%1部分"/>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2">
    <w:nsid w:val="5FD32888"/>
    <w:multiLevelType w:val="singleLevel"/>
    <w:tmpl w:val="5FD32888"/>
    <w:lvl w:ilvl="0" w:tentative="0">
      <w:start w:val="3"/>
      <w:numFmt w:val="chineseCounting"/>
      <w:suff w:val="nothing"/>
      <w:lvlText w:val="%1、"/>
      <w:lvlJc w:val="left"/>
      <w:pPr>
        <w:ind w:left="0" w:firstLine="0"/>
      </w:pPr>
    </w:lvl>
  </w:abstractNum>
  <w:abstractNum w:abstractNumId="3">
    <w:nsid w:val="7FFE8808"/>
    <w:multiLevelType w:val="singleLevel"/>
    <w:tmpl w:val="7FFE8808"/>
    <w:lvl w:ilvl="0" w:tentative="0">
      <w:start w:val="4"/>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embedSystemFonts/>
  <w:bordersDoNotSurroundHeader w:val="false"/>
  <w:bordersDoNotSurroundFooter w:val="false"/>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425"/>
  <w:drawingGridHorizontalSpacing w:val="0"/>
  <w:drawingGridVerticalSpacing w:val="0"/>
  <w:displayHorizontalDrawingGridEvery w:val="0"/>
  <w:displayVerticalDrawingGridEvery w:val="0"/>
  <w:doNotUseMarginsForDrawingGridOrigin w:val="true"/>
  <w:drawingGridHorizontalOrigin w:val="0"/>
  <w:drawingGridVerticalOrigin w:val="0"/>
  <w:noPunctuationKerning w:val="true"/>
  <w:characterSpacingControl w:val="doNotCompress"/>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CFE73A"/>
    <w:rsid w:val="7BBEA8C3"/>
    <w:rsid w:val="E7EFA789"/>
    <w:rsid w:val="F7FF2709"/>
    <w:rsid w:val="FCD9A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6" w:semiHidden="0" w:name="Default Paragraph Font"/>
    <w:lsdException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宋体" w:cstheme="minorBidi"/>
      <w:color w:val="000000"/>
      <w:sz w:val="21"/>
      <w:szCs w:val="24"/>
      <w:lang w:val="en-US" w:eastAsia="zh-CN" w:bidi="ar-SA"/>
    </w:rPr>
  </w:style>
  <w:style w:type="character" w:default="1" w:styleId="9">
    <w:name w:val="Default Paragraph Font"/>
    <w:qFormat/>
    <w:uiPriority w:val="6"/>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6"/>
    <w:pPr>
      <w:ind w:firstLine="645"/>
    </w:pPr>
    <w:rPr>
      <w:rFonts w:ascii="仿宋_GB2312" w:hAnsi="仿宋_GB2312" w:eastAsia="仿宋_GB2312" w:cs="Calibri"/>
      <w:kern w:val="1"/>
      <w:sz w:val="32"/>
      <w:szCs w:val="32"/>
    </w:rPr>
  </w:style>
  <w:style w:type="paragraph" w:styleId="3">
    <w:name w:val="Date"/>
    <w:basedOn w:val="1"/>
    <w:next w:val="1"/>
    <w:qFormat/>
    <w:uiPriority w:val="7"/>
    <w:pPr>
      <w:ind w:left="100"/>
    </w:pPr>
    <w:rPr>
      <w:kern w:val="1"/>
    </w:rPr>
  </w:style>
  <w:style w:type="paragraph" w:styleId="4">
    <w:name w:val="Balloon Text"/>
    <w:basedOn w:val="1"/>
    <w:qFormat/>
    <w:uiPriority w:val="6"/>
    <w:rPr>
      <w:kern w:val="1"/>
      <w:sz w:val="18"/>
      <w:szCs w:val="18"/>
    </w:rPr>
  </w:style>
  <w:style w:type="paragraph" w:styleId="5">
    <w:name w:val="footer"/>
    <w:basedOn w:val="1"/>
    <w:qFormat/>
    <w:uiPriority w:val="6"/>
    <w:pPr>
      <w:tabs>
        <w:tab w:val="center" w:pos="4153"/>
        <w:tab w:val="right" w:pos="8306"/>
      </w:tabs>
      <w:jc w:val="left"/>
    </w:pPr>
    <w:rPr>
      <w:kern w:val="1"/>
      <w:sz w:val="18"/>
      <w:szCs w:val="18"/>
    </w:rPr>
  </w:style>
  <w:style w:type="paragraph" w:styleId="6">
    <w:name w:val="header"/>
    <w:basedOn w:val="1"/>
    <w:qFormat/>
    <w:uiPriority w:val="6"/>
    <w:pPr>
      <w:pBdr>
        <w:bottom w:val="single" w:color="000000" w:sz="6" w:space="1"/>
      </w:pBdr>
      <w:tabs>
        <w:tab w:val="center" w:pos="4153"/>
        <w:tab w:val="right" w:pos="8306"/>
      </w:tabs>
      <w:jc w:val="center"/>
    </w:pPr>
    <w:rPr>
      <w:rFonts w:ascii="Calibri" w:hAnsi="Calibri" w:cs="Calibri"/>
      <w:kern w:val="1"/>
      <w:sz w:val="18"/>
      <w:szCs w:val="18"/>
    </w:rPr>
  </w:style>
  <w:style w:type="paragraph" w:styleId="7">
    <w:name w:val="Normal (Web)"/>
    <w:basedOn w:val="1"/>
    <w:qFormat/>
    <w:uiPriority w:val="7"/>
    <w:pPr>
      <w:spacing w:before="100" w:beforeAutospacing="1" w:after="100" w:afterAutospacing="1"/>
      <w:ind w:right="238"/>
      <w:jc w:val="left"/>
    </w:pPr>
    <w:rPr>
      <w:b/>
      <w:sz w:val="24"/>
      <w:szCs w:val="20"/>
    </w:rPr>
  </w:style>
  <w:style w:type="character" w:styleId="10">
    <w:name w:val="Strong"/>
    <w:basedOn w:val="9"/>
    <w:qFormat/>
    <w:uiPriority w:val="7"/>
    <w:rPr>
      <w:b/>
    </w:rPr>
  </w:style>
  <w:style w:type="character" w:styleId="11">
    <w:name w:val="page number"/>
    <w:basedOn w:val="9"/>
    <w:qFormat/>
    <w:uiPriority w:val="6"/>
  </w:style>
  <w:style w:type="paragraph" w:customStyle="1" w:styleId="12">
    <w:name w:val="Char"/>
    <w:basedOn w:val="1"/>
    <w:qFormat/>
    <w:uiPriority w:val="6"/>
    <w:rPr>
      <w:rFonts w:ascii="Tahoma" w:hAnsi="Tahoma" w:cs="Tahoma"/>
      <w:kern w:val="1"/>
      <w:sz w:val="24"/>
      <w:szCs w:val="20"/>
    </w:rPr>
  </w:style>
  <w:style w:type="paragraph" w:customStyle="1" w:styleId="13">
    <w:name w:val="Char1 Char Char Char"/>
    <w:basedOn w:val="1"/>
    <w:qFormat/>
    <w:uiPriority w:val="6"/>
    <w:pPr>
      <w:widowControl/>
      <w:spacing w:after="160" w:line="240" w:lineRule="exact"/>
      <w:jc w:val="left"/>
    </w:pPr>
    <w:rPr>
      <w:kern w:val="1"/>
      <w:szCs w:val="20"/>
    </w:rPr>
  </w:style>
  <w:style w:type="paragraph" w:customStyle="1" w:styleId="14">
    <w:name w:val="Char Char3 Char Char"/>
    <w:basedOn w:val="1"/>
    <w:qFormat/>
    <w:uiPriority w:val="6"/>
    <w:rPr>
      <w:kern w:val="1"/>
      <w:szCs w:val="21"/>
    </w:rPr>
  </w:style>
  <w:style w:type="paragraph" w:customStyle="1" w:styleId="15">
    <w:name w:val=" Char Char Char Char Char Char Char"/>
    <w:basedOn w:val="1"/>
    <w:qFormat/>
    <w:uiPriority w:val="6"/>
    <w:rPr>
      <w:rFonts w:ascii="Tahoma" w:hAnsi="Tahoma" w:cs="Tahoma"/>
      <w:kern w:val="1"/>
      <w:sz w:val="24"/>
      <w:szCs w:val="20"/>
    </w:rPr>
  </w:style>
  <w:style w:type="character" w:customStyle="1" w:styleId="16">
    <w:name w:val="页脚 Char"/>
    <w:basedOn w:val="9"/>
    <w:qFormat/>
    <w:uiPriority w:val="2"/>
    <w:rPr>
      <w:rFonts w:eastAsia="宋体"/>
      <w:kern w:val="1"/>
      <w:sz w:val="18"/>
      <w:szCs w:val="18"/>
      <w:lang w:val="en-US" w:eastAsia="zh-CN" w:bidi="ar-SA"/>
    </w:rPr>
  </w:style>
  <w:style w:type="character" w:customStyle="1" w:styleId="17">
    <w:name w:val="页眉 Char"/>
    <w:basedOn w:val="9"/>
    <w:qFormat/>
    <w:uiPriority w:val="2"/>
    <w:rPr>
      <w:rFonts w:ascii="Calibri" w:hAnsi="Calibri" w:eastAsia="宋体"/>
      <w:kern w:val="1"/>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Office_11.1.0.10161_F1E327BC-269C-435d-A152-05C5408002CA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2020-09-16T01:53:00Z</dcterms:created>
  <dc:creator>常程</dc:creator>
  <cp:lastModifiedBy>uos</cp:lastModifiedBy>
  <cp:lastPrinted>2020-06-05T17:20:00Z</cp:lastPrinted>
  <dcterms:modified xsi:type="dcterms:W3CDTF">2021-06-17T16:43:26Z</dcterms:modified>
  <dc:title>北京市财政局关于做好向市人大常委会报送2015年度市级部门决算（草案）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