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000000" w:themeColor="text1"/>
          <w:sz w:val="44"/>
          <w:szCs w:val="44"/>
          <w:shd w:val="clear" w:color="auto" w:fill="FFFFFF"/>
          <w:lang w:val="en-US" w:eastAsia="zh-CN"/>
          <w14:textFill>
            <w14:solidFill>
              <w14:schemeClr w14:val="tx1"/>
            </w14:solidFill>
          </w14:textFill>
        </w:rPr>
      </w:pPr>
      <w:r>
        <w:rPr>
          <w:rFonts w:hint="eastAsia" w:ascii="宋体" w:hAnsi="宋体" w:eastAsia="宋体" w:cs="宋体"/>
          <w:b/>
          <w:bCs w:val="0"/>
          <w:color w:val="000000" w:themeColor="text1"/>
          <w:sz w:val="44"/>
          <w:szCs w:val="44"/>
          <w:shd w:val="clear" w:color="auto" w:fill="FFFFFF"/>
          <w:lang w:eastAsia="zh-CN"/>
          <w14:textFill>
            <w14:solidFill>
              <w14:schemeClr w14:val="tx1"/>
            </w14:solidFill>
          </w14:textFill>
        </w:rPr>
        <w:t>北京市丰台区环境保护局</w:t>
      </w:r>
      <w:r>
        <w:rPr>
          <w:rFonts w:hint="eastAsia" w:ascii="宋体" w:hAnsi="宋体" w:eastAsia="宋体" w:cs="宋体"/>
          <w:b/>
          <w:bCs w:val="0"/>
          <w:color w:val="000000" w:themeColor="text1"/>
          <w:sz w:val="44"/>
          <w:szCs w:val="44"/>
          <w:shd w:val="clear" w:color="auto" w:fill="FFFFFF"/>
          <w:lang w:val="en-US" w:eastAsia="zh-CN"/>
          <w14:textFill>
            <w14:solidFill>
              <w14:schemeClr w14:val="tx1"/>
            </w14:solidFill>
          </w14:textFill>
        </w:rPr>
        <w:t>2019年部门预算情况说明</w:t>
      </w:r>
    </w:p>
    <w:p>
      <w:pPr>
        <w:jc w:val="center"/>
        <w:rPr>
          <w:rFonts w:hint="eastAsia" w:ascii="宋体" w:hAnsi="宋体" w:eastAsia="宋体" w:cs="宋体"/>
          <w:b/>
          <w:bCs w:val="0"/>
          <w:color w:val="000000" w:themeColor="text1"/>
          <w:sz w:val="44"/>
          <w:szCs w:val="44"/>
          <w:shd w:val="clear" w:color="auto" w:fill="FFFFFF"/>
          <w14:textFill>
            <w14:solidFill>
              <w14:schemeClr w14:val="tx1"/>
            </w14:solidFill>
          </w14:textFill>
        </w:rPr>
      </w:pPr>
    </w:p>
    <w:p>
      <w:pPr>
        <w:jc w:val="center"/>
        <w:rPr>
          <w:rFonts w:hint="eastAsia" w:ascii="宋体" w:hAnsi="宋体" w:eastAsia="宋体" w:cs="宋体"/>
          <w:b w:val="0"/>
          <w:bCs/>
          <w:color w:val="000000" w:themeColor="text1"/>
          <w:sz w:val="44"/>
          <w:szCs w:val="44"/>
          <w:shd w:val="clear" w:color="auto" w:fill="FFFFFF"/>
          <w14:textFill>
            <w14:solidFill>
              <w14:schemeClr w14:val="tx1"/>
            </w14:solidFill>
          </w14:textFill>
        </w:rPr>
      </w:pPr>
      <w:bookmarkStart w:id="0" w:name="_GoBack"/>
      <w:r>
        <w:rPr>
          <w:rFonts w:hint="eastAsia" w:ascii="黑体" w:hAnsi="黑体" w:eastAsia="黑体" w:cs="黑体"/>
          <w:b w:val="0"/>
          <w:bCs/>
          <w:color w:val="000000" w:themeColor="text1"/>
          <w:sz w:val="44"/>
          <w:szCs w:val="44"/>
          <w:shd w:val="clear" w:color="auto" w:fill="FFFFFF"/>
          <w14:textFill>
            <w14:solidFill>
              <w14:schemeClr w14:val="tx1"/>
            </w14:solidFill>
          </w14:textFill>
        </w:rPr>
        <w:t>目  录</w:t>
      </w:r>
      <w:bookmarkEnd w:id="0"/>
    </w:p>
    <w:p>
      <w:pPr>
        <w:keepNext w:val="0"/>
        <w:keepLines w:val="0"/>
        <w:pageBreakBefore w:val="0"/>
        <w:widowControl w:val="0"/>
        <w:tabs>
          <w:tab w:val="left" w:pos="630"/>
        </w:tabs>
        <w:kinsoku/>
        <w:wordWrap/>
        <w:overflowPunct/>
        <w:topLinePunct w:val="0"/>
        <w:autoSpaceDE/>
        <w:autoSpaceDN/>
        <w:bidi w:val="0"/>
        <w:adjustRightInd/>
        <w:snapToGrid/>
        <w:spacing w:before="157" w:beforeLines="50" w:after="157" w:afterLines="50" w:line="560" w:lineRule="exact"/>
        <w:ind w:firstLine="0" w:firstLineChars="0"/>
        <w:jc w:val="both"/>
        <w:textAlignment w:val="auto"/>
        <w:rPr>
          <w:rFonts w:hint="eastAsia" w:ascii="黑体" w:hAnsi="黑体" w:eastAsia="黑体" w:cs="黑体"/>
          <w:color w:val="000000" w:themeColor="text1"/>
          <w:spacing w:val="40"/>
          <w:sz w:val="28"/>
          <w:szCs w:val="28"/>
          <w:lang w:val="en-US" w:eastAsia="zh-CN"/>
          <w14:textFill>
            <w14:solidFill>
              <w14:schemeClr w14:val="tx1"/>
            </w14:solidFill>
          </w14:textFill>
        </w:rPr>
      </w:pPr>
      <w:r>
        <w:rPr>
          <w:rFonts w:hint="eastAsia" w:ascii="黑体" w:hAnsi="黑体" w:eastAsia="黑体" w:cs="黑体"/>
          <w:color w:val="000000" w:themeColor="text1"/>
          <w:spacing w:val="40"/>
          <w:sz w:val="28"/>
          <w:szCs w:val="28"/>
          <w:lang w:val="en-US" w:eastAsia="zh-CN"/>
          <w14:textFill>
            <w14:solidFill>
              <w14:schemeClr w14:val="tx1"/>
            </w14:solidFill>
          </w14:textFill>
        </w:rPr>
        <w:t>第一部分  2019年部门预算编制说明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一、</w:t>
      </w:r>
      <w:r>
        <w:rPr>
          <w:rFonts w:hint="eastAsia" w:ascii="宋体" w:hAnsi="宋体" w:cs="宋体"/>
          <w:b w:val="0"/>
          <w:bCs w:val="0"/>
          <w:color w:val="000000" w:themeColor="text1"/>
          <w:sz w:val="28"/>
          <w:szCs w:val="28"/>
          <w:shd w:val="clear" w:color="auto" w:fill="FFFFFF"/>
          <w14:textFill>
            <w14:solidFill>
              <w14:schemeClr w14:val="tx1"/>
            </w14:solidFill>
          </w14:textFill>
        </w:rPr>
        <w:t>部门基本情况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二、2019年收入及支出总体情况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三、主要支出内容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四、政府采购情况说明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五、机关运行经费财政拨款预算安排说明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六、行政事业性收费重点项目信息说明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七、固定资产占用使用情况说明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八、部门"三公"经费财政拨款预算说明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九、预算绩效管理情况说明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十、其他事项说明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十一、专业名词解释</w:t>
      </w:r>
    </w:p>
    <w:p>
      <w:pPr>
        <w:keepNext w:val="0"/>
        <w:keepLines w:val="0"/>
        <w:pageBreakBefore w:val="0"/>
        <w:widowControl w:val="0"/>
        <w:tabs>
          <w:tab w:val="left" w:pos="630"/>
        </w:tabs>
        <w:kinsoku/>
        <w:wordWrap/>
        <w:overflowPunct/>
        <w:topLinePunct w:val="0"/>
        <w:autoSpaceDE/>
        <w:autoSpaceDN/>
        <w:bidi w:val="0"/>
        <w:adjustRightInd/>
        <w:snapToGrid/>
        <w:spacing w:before="157" w:beforeLines="50" w:after="157" w:afterLines="50" w:line="560" w:lineRule="exact"/>
        <w:ind w:firstLine="0" w:firstLineChars="0"/>
        <w:jc w:val="both"/>
        <w:textAlignment w:val="auto"/>
        <w:rPr>
          <w:rFonts w:hint="eastAsia" w:ascii="黑体" w:hAnsi="黑体" w:eastAsia="黑体" w:cs="黑体"/>
          <w:color w:val="000000" w:themeColor="text1"/>
          <w:spacing w:val="40"/>
          <w:sz w:val="28"/>
          <w:szCs w:val="28"/>
          <w:lang w:val="en-US" w:eastAsia="zh-CN"/>
          <w14:textFill>
            <w14:solidFill>
              <w14:schemeClr w14:val="tx1"/>
            </w14:solidFill>
          </w14:textFill>
        </w:rPr>
      </w:pPr>
      <w:r>
        <w:rPr>
          <w:rFonts w:hint="eastAsia" w:ascii="黑体" w:hAnsi="黑体" w:eastAsia="黑体" w:cs="黑体"/>
          <w:color w:val="000000" w:themeColor="text1"/>
          <w:spacing w:val="40"/>
          <w:sz w:val="28"/>
          <w:szCs w:val="28"/>
          <w:lang w:val="en-US" w:eastAsia="zh-CN"/>
          <w14:textFill>
            <w14:solidFill>
              <w14:schemeClr w14:val="tx1"/>
            </w14:solidFill>
          </w14:textFill>
        </w:rPr>
        <w:t>第二部分  2019年部门预算表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val="en-US"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val="en-US" w:eastAsia="zh-CN"/>
          <w14:textFill>
            <w14:solidFill>
              <w14:schemeClr w14:val="tx1"/>
            </w14:solidFill>
          </w14:textFill>
        </w:rPr>
        <w:t>一、部门预算编制说明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二、收支预算总表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三、收入预算总表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四、支出预算总表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五、财政拨款收支预算总表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六、财政拨款收入预算总表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七、财政拨款支出总表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八、一般公共预算支出情况表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九、政府性基金预算支出表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十、一般公共预算基本支出计划情况表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十一、2019年“三公经费”预算财政拨款情况表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十二、项目支出预算表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pPr>
      <w:r>
        <w:rPr>
          <w:rFonts w:hint="eastAsia" w:ascii="宋体" w:hAnsi="宋体" w:cs="宋体"/>
          <w:b w:val="0"/>
          <w:bCs w:val="0"/>
          <w:color w:val="000000" w:themeColor="text1"/>
          <w:sz w:val="28"/>
          <w:szCs w:val="28"/>
          <w:shd w:val="clear" w:color="auto" w:fill="FFFFFF"/>
          <w:lang w:eastAsia="zh-CN"/>
          <w14:textFill>
            <w14:solidFill>
              <w14:schemeClr w14:val="tx1"/>
            </w14:solidFill>
          </w14:textFill>
        </w:rPr>
        <w:t>十三、项目绩效目标表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both"/>
        <w:textAlignment w:val="auto"/>
        <w:rPr>
          <w:rStyle w:val="6"/>
          <w:rFonts w:ascii="宋体" w:hAnsi="宋体" w:cs="宋体"/>
          <w:color w:val="000000" w:themeColor="text1"/>
          <w:sz w:val="28"/>
          <w:szCs w:val="28"/>
          <w:shd w:val="clear" w:color="auto" w:fill="FFFFFF"/>
          <w14:textFill>
            <w14:solidFill>
              <w14:schemeClr w14:val="tx1"/>
            </w14:solidFill>
          </w14:textFill>
        </w:rPr>
      </w:pPr>
    </w:p>
    <w:p>
      <w:pPr>
        <w:keepNext w:val="0"/>
        <w:keepLines w:val="0"/>
        <w:pageBreakBefore w:val="0"/>
        <w:widowControl w:val="0"/>
        <w:tabs>
          <w:tab w:val="left" w:pos="630"/>
        </w:tabs>
        <w:kinsoku/>
        <w:wordWrap/>
        <w:overflowPunct/>
        <w:topLinePunct w:val="0"/>
        <w:autoSpaceDE/>
        <w:autoSpaceDN/>
        <w:bidi w:val="0"/>
        <w:adjustRightInd/>
        <w:snapToGrid/>
        <w:spacing w:before="157" w:beforeLines="50" w:after="157" w:afterLines="50" w:line="560" w:lineRule="exact"/>
        <w:ind w:firstLine="0" w:firstLineChars="0"/>
        <w:jc w:val="center"/>
        <w:textAlignment w:val="auto"/>
        <w:rPr>
          <w:rFonts w:hint="eastAsia" w:ascii="黑体" w:hAnsi="黑体" w:eastAsia="黑体" w:cs="黑体"/>
          <w:color w:val="000000" w:themeColor="text1"/>
          <w:spacing w:val="40"/>
          <w:sz w:val="32"/>
          <w:szCs w:val="32"/>
          <w:lang w:val="en-US" w:eastAsia="zh-CN"/>
          <w14:textFill>
            <w14:solidFill>
              <w14:schemeClr w14:val="tx1"/>
            </w14:solidFill>
          </w14:textFill>
        </w:rPr>
      </w:pPr>
      <w:r>
        <w:rPr>
          <w:rFonts w:hint="eastAsia" w:ascii="黑体" w:hAnsi="黑体" w:eastAsia="黑体" w:cs="黑体"/>
          <w:color w:val="000000" w:themeColor="text1"/>
          <w:spacing w:val="40"/>
          <w:sz w:val="32"/>
          <w:szCs w:val="32"/>
          <w:lang w:val="en-US" w:eastAsia="zh-CN"/>
          <w14:textFill>
            <w14:solidFill>
              <w14:schemeClr w14:val="tx1"/>
            </w14:solidFill>
          </w14:textFill>
        </w:rPr>
        <w:t>第一部分 2019年部门预算情况说明</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560" w:firstLineChars="200"/>
        <w:jc w:val="both"/>
        <w:textAlignment w:val="auto"/>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一、</w:t>
      </w:r>
      <w:r>
        <w:rPr>
          <w:rFonts w:hint="eastAsia" w:ascii="黑体" w:hAnsi="黑体" w:eastAsia="黑体" w:cs="黑体"/>
          <w:color w:val="000000" w:themeColor="text1"/>
          <w:sz w:val="28"/>
          <w:szCs w:val="28"/>
          <w14:textFill>
            <w14:solidFill>
              <w14:schemeClr w14:val="tx1"/>
            </w14:solidFill>
          </w14:textFill>
        </w:rPr>
        <w:t>部门基本情况</w:t>
      </w:r>
    </w:p>
    <w:p>
      <w:pPr>
        <w:keepNext w:val="0"/>
        <w:keepLines w:val="0"/>
        <w:pageBreakBefore w:val="0"/>
        <w:widowControl/>
        <w:kinsoku/>
        <w:wordWrap/>
        <w:overflowPunct/>
        <w:topLinePunct w:val="0"/>
        <w:autoSpaceDE/>
        <w:autoSpaceDN/>
        <w:bidi w:val="0"/>
        <w:adjustRightInd w:val="0"/>
        <w:snapToGrid/>
        <w:spacing w:line="560" w:lineRule="exact"/>
        <w:ind w:firstLine="622" w:firstLineChars="200"/>
        <w:jc w:val="both"/>
        <w:textAlignment w:val="auto"/>
        <w:rPr>
          <w:rFonts w:hint="eastAsia" w:ascii="宋体" w:hAnsi="宋体" w:eastAsia="宋体" w:cs="宋体"/>
          <w:b/>
          <w:bCs/>
          <w:color w:val="000000" w:themeColor="text1"/>
          <w:spacing w:val="15"/>
          <w:kern w:val="0"/>
          <w:sz w:val="28"/>
          <w:szCs w:val="28"/>
          <w:lang w:eastAsia="zh-CN"/>
          <w14:textFill>
            <w14:solidFill>
              <w14:schemeClr w14:val="tx1"/>
            </w14:solidFill>
          </w14:textFill>
        </w:rPr>
      </w:pPr>
      <w:r>
        <w:rPr>
          <w:rFonts w:hint="eastAsia" w:ascii="宋体" w:hAnsi="宋体" w:eastAsia="宋体" w:cs="宋体"/>
          <w:b/>
          <w:bCs/>
          <w:color w:val="000000" w:themeColor="text1"/>
          <w:spacing w:val="15"/>
          <w:kern w:val="0"/>
          <w:sz w:val="28"/>
          <w:szCs w:val="28"/>
          <w:lang w:eastAsia="zh-CN"/>
          <w14:textFill>
            <w14:solidFill>
              <w14:schemeClr w14:val="tx1"/>
            </w14:solidFill>
          </w14:textFill>
        </w:rPr>
        <w:t>（一）</w:t>
      </w:r>
      <w:r>
        <w:rPr>
          <w:rFonts w:hint="eastAsia" w:ascii="宋体" w:hAnsi="宋体" w:eastAsia="宋体" w:cs="宋体"/>
          <w:b/>
          <w:bCs/>
          <w:color w:val="000000" w:themeColor="text1"/>
          <w:spacing w:val="15"/>
          <w:kern w:val="0"/>
          <w:sz w:val="28"/>
          <w:szCs w:val="28"/>
          <w14:textFill>
            <w14:solidFill>
              <w14:schemeClr w14:val="tx1"/>
            </w14:solidFill>
          </w14:textFill>
        </w:rPr>
        <w:t>部门职</w:t>
      </w:r>
      <w:r>
        <w:rPr>
          <w:rFonts w:hint="eastAsia" w:ascii="宋体" w:hAnsi="宋体" w:cs="宋体"/>
          <w:b/>
          <w:bCs/>
          <w:color w:val="000000" w:themeColor="text1"/>
          <w:spacing w:val="15"/>
          <w:kern w:val="0"/>
          <w:sz w:val="28"/>
          <w:szCs w:val="28"/>
          <w:lang w:eastAsia="zh-CN"/>
          <w14:textFill>
            <w14:solidFill>
              <w14:schemeClr w14:val="tx1"/>
            </w14:solidFill>
          </w14:textFill>
        </w:rPr>
        <w:t>责</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default" w:ascii="宋体" w:hAnsi="宋体" w:cs="宋体"/>
          <w:color w:val="000000" w:themeColor="text1"/>
          <w:spacing w:val="15"/>
          <w:kern w:val="0"/>
          <w:sz w:val="28"/>
          <w:szCs w:val="28"/>
          <w:lang w:val="en-US" w:eastAsia="zh-CN"/>
          <w14:textFill>
            <w14:solidFill>
              <w14:schemeClr w14:val="tx1"/>
            </w14:solidFill>
          </w14:textFill>
        </w:rPr>
      </w:pPr>
      <w:r>
        <w:rPr>
          <w:rFonts w:hint="eastAsia" w:ascii="宋体" w:hAnsi="宋体" w:cs="宋体"/>
          <w:color w:val="000000" w:themeColor="text1"/>
          <w:spacing w:val="15"/>
          <w:kern w:val="0"/>
          <w:sz w:val="28"/>
          <w:szCs w:val="28"/>
          <w:lang w:val="en-US" w:eastAsia="zh-CN"/>
          <w14:textFill>
            <w14:solidFill>
              <w14:schemeClr w14:val="tx1"/>
            </w14:solidFill>
          </w14:textFill>
        </w:rPr>
        <w:t>丰台区环境保护局主要职责为：</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1.</w:t>
      </w:r>
      <w:r>
        <w:rPr>
          <w:rFonts w:hint="eastAsia" w:ascii="宋体" w:hAnsi="宋体" w:eastAsia="宋体" w:cs="宋体"/>
          <w:color w:val="000000" w:themeColor="text1"/>
          <w:spacing w:val="15"/>
          <w:kern w:val="0"/>
          <w:sz w:val="28"/>
          <w:szCs w:val="28"/>
          <w14:textFill>
            <w14:solidFill>
              <w14:schemeClr w14:val="tx1"/>
            </w14:solidFill>
          </w14:textFill>
        </w:rPr>
        <w:t>贯彻落实国家和北京市环境保护的法律、法规、规章和政策；拟订本区环境保护总体规划并组织实施；组织编制环境保护功能区划；负责环境形势综合分析。</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2.</w:t>
      </w:r>
      <w:r>
        <w:rPr>
          <w:rFonts w:hint="eastAsia" w:ascii="宋体" w:hAnsi="宋体" w:eastAsia="宋体" w:cs="宋体"/>
          <w:color w:val="000000" w:themeColor="text1"/>
          <w:spacing w:val="15"/>
          <w:kern w:val="0"/>
          <w:sz w:val="28"/>
          <w:szCs w:val="28"/>
          <w14:textFill>
            <w14:solidFill>
              <w14:schemeClr w14:val="tx1"/>
            </w14:solidFill>
          </w14:textFill>
        </w:rPr>
        <w:t>负责本区环境问题的统筹协调和监督管理；组织协调环境污染事故和生态破坏事件的调查处理，参与突发环境事件的应急处置。</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3.</w:t>
      </w:r>
      <w:r>
        <w:rPr>
          <w:rFonts w:hint="eastAsia" w:ascii="宋体" w:hAnsi="宋体" w:eastAsia="宋体" w:cs="宋体"/>
          <w:color w:val="000000" w:themeColor="text1"/>
          <w:spacing w:val="15"/>
          <w:kern w:val="0"/>
          <w:sz w:val="28"/>
          <w:szCs w:val="28"/>
          <w14:textFill>
            <w14:solidFill>
              <w14:schemeClr w14:val="tx1"/>
            </w14:solidFill>
          </w14:textFill>
        </w:rPr>
        <w:t>负责协调、组织、落实本区污染减排目标；组织制定本区主要污染物排放总量控制计划并监督实施，实施排污许可证制度；组织实施环境保护目标责任制；督查、督办、核查有关部门、单位污染物减排任务完成情况。</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4.</w:t>
      </w:r>
      <w:r>
        <w:rPr>
          <w:rFonts w:hint="eastAsia" w:ascii="宋体" w:hAnsi="宋体" w:eastAsia="宋体" w:cs="宋体"/>
          <w:color w:val="000000" w:themeColor="text1"/>
          <w:spacing w:val="15"/>
          <w:kern w:val="0"/>
          <w:sz w:val="28"/>
          <w:szCs w:val="28"/>
          <w14:textFill>
            <w14:solidFill>
              <w14:schemeClr w14:val="tx1"/>
            </w14:solidFill>
          </w14:textFill>
        </w:rPr>
        <w:t>负责本区环境污染防治监督管理；负责本区水体、大气、固体废物、噪声、恶臭、化学品、机动车污染源等环境污染防治的日常监督管理；参与本区城市环境综合整治工作；负责组织开展环境保护执法检查；负责限期治理、排污申报登记、排污收费等制度的实施；参与促进清洁生产；会同有关部门监督管理水源防护区环境保护；组织指导街道（地区）乡镇的环境保护综合整治工作。</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5.</w:t>
      </w:r>
      <w:r>
        <w:rPr>
          <w:rFonts w:hint="eastAsia" w:ascii="宋体" w:hAnsi="宋体" w:eastAsia="宋体" w:cs="宋体"/>
          <w:color w:val="000000" w:themeColor="text1"/>
          <w:spacing w:val="15"/>
          <w:kern w:val="0"/>
          <w:sz w:val="28"/>
          <w:szCs w:val="28"/>
          <w14:textFill>
            <w14:solidFill>
              <w14:schemeClr w14:val="tx1"/>
            </w14:solidFill>
          </w14:textFill>
        </w:rPr>
        <w:t>按照有关规定审批建设项目环境影响评价文件，负责建设项目主体工程与环境保护设施同时设计、同时施工、同时投产使用的监督管理，负责建设项目竣工环境保护验收，参与从源头上预防、控制环境污染和环境破坏的工作。</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6.</w:t>
      </w:r>
      <w:r>
        <w:rPr>
          <w:rFonts w:hint="eastAsia" w:ascii="宋体" w:hAnsi="宋体" w:eastAsia="宋体" w:cs="宋体"/>
          <w:color w:val="000000" w:themeColor="text1"/>
          <w:spacing w:val="15"/>
          <w:kern w:val="0"/>
          <w:sz w:val="28"/>
          <w:szCs w:val="28"/>
          <w14:textFill>
            <w14:solidFill>
              <w14:schemeClr w14:val="tx1"/>
            </w14:solidFill>
          </w14:textFill>
        </w:rPr>
        <w:t>指导、协调、监督本区生态保护工作；监督本区对生态环境有影响的自然资源开发利用活动、重要生态环境建设和生态破坏恢复工作；协调、指导农村生态保护工作。</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7.</w:t>
      </w:r>
      <w:r>
        <w:rPr>
          <w:rFonts w:hint="eastAsia" w:ascii="宋体" w:hAnsi="宋体" w:eastAsia="宋体" w:cs="宋体"/>
          <w:color w:val="000000" w:themeColor="text1"/>
          <w:spacing w:val="15"/>
          <w:kern w:val="0"/>
          <w:sz w:val="28"/>
          <w:szCs w:val="28"/>
          <w14:textFill>
            <w14:solidFill>
              <w14:schemeClr w14:val="tx1"/>
            </w14:solidFill>
          </w14:textFill>
        </w:rPr>
        <w:t>负责本区辐射安全的监督管理；负责编制区域内辐射环境事故应急预案并会同有关部门应急处置；负责区域内放射源和射线装置的日常监督管理。</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8.</w:t>
      </w:r>
      <w:r>
        <w:rPr>
          <w:rFonts w:hint="eastAsia" w:ascii="宋体" w:hAnsi="宋体" w:eastAsia="宋体" w:cs="宋体"/>
          <w:color w:val="000000" w:themeColor="text1"/>
          <w:spacing w:val="15"/>
          <w:kern w:val="0"/>
          <w:sz w:val="28"/>
          <w:szCs w:val="28"/>
          <w14:textFill>
            <w14:solidFill>
              <w14:schemeClr w14:val="tx1"/>
            </w14:solidFill>
          </w14:textFill>
        </w:rPr>
        <w:t>负责本区环境监测和环境统计工作；组织实施环境质量监测和污染源监督性监测，编报环境质量报告书；研究并提出防治污染对策。</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9.</w:t>
      </w:r>
      <w:r>
        <w:rPr>
          <w:rFonts w:hint="eastAsia" w:ascii="宋体" w:hAnsi="宋体" w:eastAsia="宋体" w:cs="宋体"/>
          <w:color w:val="000000" w:themeColor="text1"/>
          <w:spacing w:val="15"/>
          <w:kern w:val="0"/>
          <w:sz w:val="28"/>
          <w:szCs w:val="28"/>
          <w14:textFill>
            <w14:solidFill>
              <w14:schemeClr w14:val="tx1"/>
            </w14:solidFill>
          </w14:textFill>
        </w:rPr>
        <w:t>会同科技部门组织开展本区环境保护科技工作；组织、协调实施环境保护及污染治理的示范工作，推动环境保护科研成果和技术应用；参与促进环境保护产业发展，推进清洁生产。</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10.</w:t>
      </w:r>
      <w:r>
        <w:rPr>
          <w:rFonts w:hint="eastAsia" w:ascii="宋体" w:hAnsi="宋体" w:eastAsia="宋体" w:cs="宋体"/>
          <w:color w:val="000000" w:themeColor="text1"/>
          <w:spacing w:val="15"/>
          <w:kern w:val="0"/>
          <w:sz w:val="28"/>
          <w:szCs w:val="28"/>
          <w14:textFill>
            <w14:solidFill>
              <w14:schemeClr w14:val="tx1"/>
            </w14:solidFill>
          </w14:textFill>
        </w:rPr>
        <w:t>组织、指导和协调本区环境保护宣传教育工作。制定环境保护宣传教育规划并组织实施；协调开展生态文明建设和环境友好型社会建设的宣传教育工作；推动社会组织和公众参与环境保护。</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11.承办区政府交办的其他事项。</w:t>
      </w:r>
    </w:p>
    <w:p>
      <w:pPr>
        <w:keepNext w:val="0"/>
        <w:keepLines w:val="0"/>
        <w:pageBreakBefore w:val="0"/>
        <w:widowControl/>
        <w:kinsoku/>
        <w:wordWrap/>
        <w:overflowPunct/>
        <w:topLinePunct w:val="0"/>
        <w:autoSpaceDE/>
        <w:autoSpaceDN/>
        <w:bidi w:val="0"/>
        <w:adjustRightInd w:val="0"/>
        <w:snapToGrid/>
        <w:spacing w:line="560" w:lineRule="exact"/>
        <w:ind w:firstLine="622" w:firstLineChars="200"/>
        <w:jc w:val="both"/>
        <w:textAlignment w:val="auto"/>
        <w:rPr>
          <w:rFonts w:hint="eastAsia" w:ascii="宋体" w:hAnsi="宋体" w:cs="宋体"/>
          <w:b/>
          <w:bCs/>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15"/>
          <w:kern w:val="0"/>
          <w:sz w:val="28"/>
          <w:szCs w:val="28"/>
          <w:lang w:val="en-US" w:eastAsia="zh-CN"/>
          <w14:textFill>
            <w14:solidFill>
              <w14:schemeClr w14:val="tx1"/>
            </w14:solidFill>
          </w14:textFill>
        </w:rPr>
        <w:t>（二）</w:t>
      </w:r>
      <w:r>
        <w:rPr>
          <w:rFonts w:hint="eastAsia" w:ascii="宋体" w:hAnsi="宋体" w:cs="宋体"/>
          <w:b/>
          <w:bCs/>
          <w:color w:val="000000" w:themeColor="text1"/>
          <w:spacing w:val="15"/>
          <w:kern w:val="0"/>
          <w:sz w:val="28"/>
          <w:szCs w:val="28"/>
          <w:lang w:val="en-US" w:eastAsia="zh-CN"/>
          <w14:textFill>
            <w14:solidFill>
              <w14:schemeClr w14:val="tx1"/>
            </w14:solidFill>
          </w14:textFill>
        </w:rPr>
        <w:t>人员构成情况</w:t>
      </w:r>
    </w:p>
    <w:p>
      <w:pPr>
        <w:keepNext w:val="0"/>
        <w:keepLines w:val="0"/>
        <w:pageBreakBefore w:val="0"/>
        <w:widowControl w:val="0"/>
        <w:tabs>
          <w:tab w:val="center" w:pos="6979"/>
        </w:tabs>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b/>
          <w:bCs/>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截至2018年底，</w:t>
      </w:r>
      <w:r>
        <w:rPr>
          <w:rFonts w:hint="eastAsia" w:ascii="宋体" w:hAnsi="宋体" w:cs="宋体"/>
          <w:color w:val="000000" w:themeColor="text1"/>
          <w:kern w:val="0"/>
          <w:sz w:val="28"/>
          <w:szCs w:val="28"/>
          <w:lang w:val="en-US" w:eastAsia="zh-CN"/>
          <w14:textFill>
            <w14:solidFill>
              <w14:schemeClr w14:val="tx1"/>
            </w14:solidFill>
          </w14:textFill>
        </w:rPr>
        <w:t>本部门</w:t>
      </w:r>
      <w:r>
        <w:rPr>
          <w:rFonts w:hint="eastAsia" w:ascii="宋体" w:hAnsi="宋体" w:eastAsia="宋体" w:cs="宋体"/>
          <w:color w:val="000000" w:themeColor="text1"/>
          <w:kern w:val="0"/>
          <w:sz w:val="28"/>
          <w:szCs w:val="28"/>
          <w:lang w:val="en-US" w:eastAsia="zh-CN"/>
          <w14:textFill>
            <w14:solidFill>
              <w14:schemeClr w14:val="tx1"/>
            </w14:solidFill>
          </w14:textFill>
        </w:rPr>
        <w:t>共有行政编制88人，实际83人；事业编制79人，实际74人；离退休人员49人。</w:t>
      </w:r>
    </w:p>
    <w:p>
      <w:pPr>
        <w:keepNext w:val="0"/>
        <w:keepLines w:val="0"/>
        <w:pageBreakBefore w:val="0"/>
        <w:widowControl/>
        <w:kinsoku/>
        <w:wordWrap/>
        <w:overflowPunct/>
        <w:topLinePunct w:val="0"/>
        <w:autoSpaceDE/>
        <w:autoSpaceDN/>
        <w:bidi w:val="0"/>
        <w:adjustRightInd w:val="0"/>
        <w:snapToGrid/>
        <w:spacing w:line="560" w:lineRule="exact"/>
        <w:ind w:firstLine="622" w:firstLineChars="200"/>
        <w:jc w:val="both"/>
        <w:textAlignment w:val="auto"/>
        <w:rPr>
          <w:rFonts w:hint="eastAsia" w:ascii="宋体" w:hAnsi="宋体" w:eastAsia="宋体" w:cs="宋体"/>
          <w:b/>
          <w:bCs/>
          <w:color w:val="000000" w:themeColor="text1"/>
          <w:spacing w:val="15"/>
          <w:kern w:val="0"/>
          <w:sz w:val="28"/>
          <w:szCs w:val="28"/>
          <w:lang w:val="en-US" w:eastAsia="zh-CN"/>
          <w14:textFill>
            <w14:solidFill>
              <w14:schemeClr w14:val="tx1"/>
            </w14:solidFill>
          </w14:textFill>
        </w:rPr>
      </w:pPr>
      <w:r>
        <w:rPr>
          <w:rFonts w:hint="eastAsia" w:ascii="宋体" w:hAnsi="宋体" w:cs="宋体"/>
          <w:b/>
          <w:bCs/>
          <w:color w:val="000000" w:themeColor="text1"/>
          <w:spacing w:val="15"/>
          <w:kern w:val="0"/>
          <w:sz w:val="28"/>
          <w:szCs w:val="28"/>
          <w:lang w:val="en-US" w:eastAsia="zh-CN"/>
          <w14:textFill>
            <w14:solidFill>
              <w14:schemeClr w14:val="tx1"/>
            </w14:solidFill>
          </w14:textFill>
        </w:rPr>
        <w:t>（三）</w:t>
      </w:r>
      <w:r>
        <w:rPr>
          <w:rFonts w:hint="eastAsia" w:ascii="宋体" w:hAnsi="宋体" w:eastAsia="宋体" w:cs="宋体"/>
          <w:b/>
          <w:bCs/>
          <w:color w:val="000000" w:themeColor="text1"/>
          <w:spacing w:val="15"/>
          <w:kern w:val="0"/>
          <w:sz w:val="28"/>
          <w:szCs w:val="28"/>
          <w:lang w:val="en-US" w:eastAsia="zh-CN"/>
          <w14:textFill>
            <w14:solidFill>
              <w14:schemeClr w14:val="tx1"/>
            </w14:solidFill>
          </w14:textFill>
        </w:rPr>
        <w:t>机构设置情况及单位性质</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北京市丰台区环境保护局行政本级下设有行政执法机构1个，为北京市丰台区环境监察支队；全额拨款事业单位3个，分别为：北京市丰台区机动车排放管理站、北京市丰台区环境保护监测站、丰台区环境影响评价评估中心。</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1.办公室主要职责: 负责机关日常运转工作，负责文电、会务、机要、档案等工作；承担信息、信访、议案、建议议案提案办理、安全、保密、政府信息公开等工作；承担重要事项的组织和督查工作，承担全局性重要文稿的起草工作；承担生态环境保护新闻审核和发布，负责推动社会组织和公众参与生态环境保护，负责生态环境领域固定资产投资和项目管理相关工作；参与生态保护补偿工作，承担人事、机构编制、队伍建设等工作，负责离退休人员的管理与服务工作。 </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2.财务科主要职责：承担财务、资产管理、内部审计等工作。 </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3.机关党委主要职责：承担局党组落实党要管党、全面从严治党责任和党风廉政建设主体责任的具体工作，负责纪律检查、党风廉政建设工作，负责党群工作。 </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4.综合科主要职责：组织起草本区生态环境政策、规划，协调和审核生态环境专项规划，实施生态环境保护目标责任制，组织开展生态环境形势分析，组织生态环境保护科学研究，负责生态环境保护重大课题的调查研究。 </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5.督查科主要职责：负责本区中央和北京市生态环境保护督察整改工作的综合协调；具体组织开展对本区各部门、各街乡镇生态环境保护工作任务落实情况的督查工作。 </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6.大气污染防治科主要职责：负责本区大气污染防治的监督管理，组织拟订应对气候变化和温室气体减排的规划、政策、措施，并协调实施。 </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7.水生态环境科主要职责：负责本区地表水、地下水生态环境监督管理。 </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8.自然生态科（土壤保护科）主要职责：组织开展生态状况评估工作，监督对生态环境有影响的自然资源开发利用活动、重要生态环境建设和生态破坏恢复工作；负责自然保护地、生态保护红线相关监管工作，负责本区土壤污染防治、生态保护管理；组织指导农村生态环境保护工作，监督指导农业面源污染治理工作。 </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9.污染源科（辐射安全管理科）（安全生产科）主要职责：负责污染源综合管理，承担污染物排放总量控制综合协调和管理工作；组织开展环境统计、污染源普查、排污权交易等工作；负责固体废物、化学品、重金属的监督管理，负责噪声污染防治工作；加挂安全生产科，承担安全生产年度或阶段性重点工作方案制定、协调督促、统计汇总、信息报送等日常运转工作。 </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10.行政审批科（法制科）主要职责：承担相关行政许可事项的办理及政策咨询、业务查询和信息发布工作；按权限审批政策、规划和建设项目环境影响评价文件；按权限审批辐射安全许可证，负责排污许可证的审核发放工作，负责机关推进依法行政综合工作；负责行政执法工作的监督、指导和协调，承担行政复议、行政赔偿和行政应诉的有关工作。 </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11.环境监察支队主要职责：负责组织协调环境污染事故和生态破坏事件的调查处理; 拟定、修订本区空气重污染日应急工作预案；参与突发环境事件的应急处置;负责本区水体、大气、固体废物、噪声、恶臭等环境污染防治的日常监督管理;会同有关部门监督管理水源防护区环境保护工作;参与本区城市环境综合整治工作，组织开展环境保护执法检查;负责限期治理、排污申报登记、排污收费、建设项目主体工程与环境保护设施同时设计、同时施工、同时投产使用执行情况检查；负责组织实施本区污染源监督性在线监测；负责本区辐射安全监督管理，负责辐射应急管理工作。 </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12.环境保护监测站主要职责：负责组织实施环境质量监测和污染源监督性监测，编报环境质量报告书。 </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13.机动车排放管理站主要职责：贯彻落实国家和市有关机动车污染控制的法律法规、政策和标准，落实市政府控制大气污染的相关措施；负责制定本区机动车排放监督检查工作计划并组织实施；负责对本区机动车尾气排放、外地进京车辆和群众举报排放超标车辆进行监督检查；负责采用遥感技术对机动车排放进行检测；负责收集、分析机动车排放的有关资料和数据。 </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14.环境影响评价评估中心主要职责：负责建设项目申报前期的现场调查；负责分析环境影响评价文件的可行性；负责组织专家对重点敏感项目进行论证及咨询；负责对本区建设项目环境影响报告书（表）及竣工验收报告等技术文件拟写技术评估意见。 </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560" w:firstLineChars="200"/>
        <w:jc w:val="both"/>
        <w:textAlignment w:val="auto"/>
        <w:rPr>
          <w:rFonts w:hint="eastAsia" w:ascii="黑体" w:hAnsi="黑体" w:eastAsia="黑体" w:cs="黑体"/>
          <w:color w:val="000000" w:themeColor="text1"/>
          <w:sz w:val="28"/>
          <w:szCs w:val="28"/>
          <w:lang w:eastAsia="zh-CN"/>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二、2019年收入及支出总体情况</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2019年部门收入预算17718.207万元，同比2018年增加8181.6809万元，增长85.79%，</w:t>
      </w:r>
      <w:r>
        <w:rPr>
          <w:rFonts w:hint="eastAsia" w:ascii="宋体" w:hAnsi="宋体" w:cs="宋体"/>
          <w:color w:val="000000" w:themeColor="text1"/>
          <w:spacing w:val="15"/>
          <w:kern w:val="0"/>
          <w:sz w:val="28"/>
          <w:szCs w:val="28"/>
          <w:lang w:val="en-US" w:eastAsia="zh-CN"/>
          <w14:textFill>
            <w14:solidFill>
              <w14:schemeClr w14:val="tx1"/>
            </w14:solidFill>
          </w14:textFill>
        </w:rPr>
        <w:t>原因是：污染防治投入加大。</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其中：财政拨款17718.207万元，上级补助收入0万元，事业收入0万元，经营收入0万元，附属单位缴款0万元，其他收入0万元，用事业基金弥补收支差额0万元，上年结转和结余0万元。</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2019年部门支出预算17718.207万元，比2018年增加8181.6809万元，增长85.79%，</w:t>
      </w:r>
      <w:r>
        <w:rPr>
          <w:rFonts w:hint="eastAsia" w:ascii="宋体" w:hAnsi="宋体" w:cs="宋体"/>
          <w:color w:val="000000" w:themeColor="text1"/>
          <w:spacing w:val="15"/>
          <w:kern w:val="0"/>
          <w:sz w:val="28"/>
          <w:szCs w:val="28"/>
          <w:lang w:val="en-US" w:eastAsia="zh-CN"/>
          <w14:textFill>
            <w14:solidFill>
              <w14:schemeClr w14:val="tx1"/>
            </w14:solidFill>
          </w14:textFill>
        </w:rPr>
        <w:t>原因是：污染防治投入加大。</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其中基本支出预算4695.0576万元，项目支出预算13023.1494万元。按支出功能分类，一般公共服务支出4.56万元，教育支出32.75万元，社会保障和就业支出485.0982万元，节能环保支出16473.0907万元，住房保障支出722.7081万元。</w:t>
      </w:r>
    </w:p>
    <w:p>
      <w:pPr>
        <w:widowControl/>
        <w:adjustRightInd w:val="0"/>
        <w:spacing w:line="440" w:lineRule="exact"/>
        <w:jc w:val="both"/>
        <w:rPr>
          <w:rFonts w:hint="eastAsia" w:ascii="黑体" w:hAnsi="黑体" w:eastAsia="黑体" w:cs="黑体"/>
          <w:color w:val="000000" w:themeColor="text1"/>
          <w:kern w:val="0"/>
          <w:sz w:val="28"/>
          <w:szCs w:val="28"/>
          <w:lang w:val="en-US" w:eastAsia="zh-CN" w:bidi="ar-SA"/>
          <w14:textFill>
            <w14:solidFill>
              <w14:schemeClr w14:val="tx1"/>
            </w14:solidFill>
          </w14:textFill>
        </w:rPr>
      </w:pPr>
      <w:r>
        <w:rPr>
          <w:rFonts w:ascii="宋体" w:hAnsi="宋体" w:cs="宋体"/>
          <w:b/>
          <w:color w:val="000000" w:themeColor="text1"/>
          <w:spacing w:val="15"/>
          <w:kern w:val="0"/>
          <w:sz w:val="28"/>
          <w:szCs w:val="28"/>
          <w14:textFill>
            <w14:solidFill>
              <w14:schemeClr w14:val="tx1"/>
            </w14:solidFill>
          </w14:textFill>
        </w:rPr>
        <w:t xml:space="preserve"> </w:t>
      </w:r>
      <w:r>
        <w:rPr>
          <w:rFonts w:hint="eastAsia" w:ascii="黑体" w:hAnsi="黑体" w:eastAsia="黑体" w:cs="黑体"/>
          <w:color w:val="000000" w:themeColor="text1"/>
          <w:kern w:val="0"/>
          <w:sz w:val="28"/>
          <w:szCs w:val="28"/>
          <w:lang w:val="en-US" w:eastAsia="zh-CN" w:bidi="ar-SA"/>
          <w14:textFill>
            <w14:solidFill>
              <w14:schemeClr w14:val="tx1"/>
            </w14:solidFill>
          </w14:textFill>
        </w:rPr>
        <w:t xml:space="preserve">   三、主要支出内容</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上述支出中，主要用于以下内容：</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cs="宋体"/>
          <w:color w:val="000000" w:themeColor="text1"/>
          <w:spacing w:val="15"/>
          <w:kern w:val="0"/>
          <w:sz w:val="28"/>
          <w:szCs w:val="28"/>
          <w:lang w:val="en-US" w:eastAsia="zh-CN"/>
          <w14:textFill>
            <w14:solidFill>
              <w14:schemeClr w14:val="tx1"/>
            </w14:solidFill>
          </w14:textFill>
        </w:rPr>
        <w:t>1.</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行政机关、事业单位人员工资及日常运转经费；</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cs="宋体"/>
          <w:color w:val="000000" w:themeColor="text1"/>
          <w:spacing w:val="15"/>
          <w:kern w:val="0"/>
          <w:sz w:val="28"/>
          <w:szCs w:val="28"/>
          <w:lang w:val="en-US" w:eastAsia="zh-CN"/>
          <w14:textFill>
            <w14:solidFill>
              <w14:schemeClr w14:val="tx1"/>
            </w14:solidFill>
          </w14:textFill>
        </w:rPr>
        <w:t>2.</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节能环保事业支出，主要为环境质量监测、环境执法监察、机动车尾气排放检测和执法、环境公共信息服务、环境应急管理、环境信息化运维等经费。项目支出预算中专项资金主要安排了燃气锅炉低氮燃烧技术改造补助资金、委托监测费用、丰台区颗粒物来源解析项目费用、丰台区第二次全国污染源普查预算经费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000000" w:themeColor="text1"/>
          <w:sz w:val="28"/>
          <w:szCs w:val="36"/>
          <w14:textFill>
            <w14:solidFill>
              <w14:schemeClr w14:val="tx1"/>
            </w14:solidFill>
          </w14:textFill>
        </w:rPr>
      </w:pPr>
      <w:r>
        <w:rPr>
          <w:rFonts w:hint="eastAsia" w:ascii="黑体" w:hAnsi="黑体" w:eastAsia="黑体" w:cs="黑体"/>
          <w:color w:val="000000" w:themeColor="text1"/>
          <w:sz w:val="28"/>
          <w:szCs w:val="36"/>
          <w14:textFill>
            <w14:solidFill>
              <w14:schemeClr w14:val="tx1"/>
            </w14:solidFill>
          </w14:textFill>
        </w:rPr>
        <w:t>四、政府采购情况说明</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2019年政府采购预算总额为1980.8311万元，其中：政府采购货物预算859.3933万元，政府采购工程预算0万元，政府采购服务预算1121.4378万元。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000000" w:themeColor="text1"/>
          <w:sz w:val="28"/>
          <w:szCs w:val="36"/>
          <w14:textFill>
            <w14:solidFill>
              <w14:schemeClr w14:val="tx1"/>
            </w14:solidFill>
          </w14:textFill>
        </w:rPr>
      </w:pPr>
      <w:r>
        <w:rPr>
          <w:rFonts w:hint="eastAsia" w:ascii="黑体" w:hAnsi="黑体" w:eastAsia="黑体" w:cs="黑体"/>
          <w:color w:val="000000" w:themeColor="text1"/>
          <w:sz w:val="28"/>
          <w:szCs w:val="36"/>
          <w14:textFill>
            <w14:solidFill>
              <w14:schemeClr w14:val="tx1"/>
            </w14:solidFill>
          </w14:textFill>
        </w:rPr>
        <w:t>五、机关运行经费财政拨款预算安排说明</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2019年本部门行政单位（含参照公务员法管理事业单位）履行一般行政管理职能、维持机关运行，用财政拨款安排的基本支出中的日常公用经费合计315.46万元，主要用于：办公及印刷、水电费、邮电费、会议培训、日常维修及工会会费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000000" w:themeColor="text1"/>
          <w:sz w:val="28"/>
          <w:szCs w:val="36"/>
          <w14:textFill>
            <w14:solidFill>
              <w14:schemeClr w14:val="tx1"/>
            </w14:solidFill>
          </w14:textFill>
        </w:rPr>
      </w:pPr>
      <w:r>
        <w:rPr>
          <w:rFonts w:hint="eastAsia" w:ascii="黑体" w:hAnsi="黑体" w:eastAsia="黑体" w:cs="黑体"/>
          <w:color w:val="000000" w:themeColor="text1"/>
          <w:sz w:val="28"/>
          <w:szCs w:val="36"/>
          <w14:textFill>
            <w14:solidFill>
              <w14:schemeClr w14:val="tx1"/>
            </w14:solidFill>
          </w14:textFill>
        </w:rPr>
        <w:t>六、行政事业性收费重点项目信息说明</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本单位不涉及此项内容。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000000" w:themeColor="text1"/>
          <w:sz w:val="28"/>
          <w:szCs w:val="36"/>
          <w14:textFill>
            <w14:solidFill>
              <w14:schemeClr w14:val="tx1"/>
            </w14:solidFill>
          </w14:textFill>
        </w:rPr>
      </w:pPr>
      <w:r>
        <w:rPr>
          <w:rFonts w:hint="eastAsia" w:ascii="黑体" w:hAnsi="黑体" w:eastAsia="黑体" w:cs="黑体"/>
          <w:color w:val="000000" w:themeColor="text1"/>
          <w:sz w:val="28"/>
          <w:szCs w:val="36"/>
          <w:lang w:eastAsia="zh-CN"/>
          <w14:textFill>
            <w14:solidFill>
              <w14:schemeClr w14:val="tx1"/>
            </w14:solidFill>
          </w14:textFill>
        </w:rPr>
        <w:t>七、</w:t>
      </w:r>
      <w:r>
        <w:rPr>
          <w:rFonts w:hint="eastAsia" w:ascii="黑体" w:hAnsi="黑体" w:eastAsia="黑体" w:cs="黑体"/>
          <w:color w:val="000000" w:themeColor="text1"/>
          <w:sz w:val="28"/>
          <w:szCs w:val="36"/>
          <w14:textFill>
            <w14:solidFill>
              <w14:schemeClr w14:val="tx1"/>
            </w14:solidFill>
          </w14:textFill>
        </w:rPr>
        <w:t>固定资产占用使用情况说明</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截止2018年底，本部门（包括各下属单位）固定资产总额</w:t>
      </w:r>
      <w:r>
        <w:rPr>
          <w:rFonts w:hint="eastAsia" w:ascii="宋体" w:hAnsi="宋体" w:cs="宋体"/>
          <w:color w:val="000000" w:themeColor="text1"/>
          <w:spacing w:val="15"/>
          <w:kern w:val="0"/>
          <w:sz w:val="28"/>
          <w:szCs w:val="28"/>
          <w:lang w:val="en-US" w:eastAsia="zh-CN"/>
          <w14:textFill>
            <w14:solidFill>
              <w14:schemeClr w14:val="tx1"/>
            </w14:solidFill>
          </w14:textFill>
        </w:rPr>
        <w:t>3797.23</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万元，其中：车辆</w:t>
      </w:r>
      <w:r>
        <w:rPr>
          <w:rFonts w:hint="eastAsia" w:ascii="宋体" w:hAnsi="宋体" w:cs="宋体"/>
          <w:color w:val="000000" w:themeColor="text1"/>
          <w:spacing w:val="15"/>
          <w:kern w:val="0"/>
          <w:sz w:val="28"/>
          <w:szCs w:val="28"/>
          <w:lang w:val="en-US" w:eastAsia="zh-CN"/>
          <w14:textFill>
            <w14:solidFill>
              <w14:schemeClr w14:val="tx1"/>
            </w14:solidFill>
          </w14:textFill>
        </w:rPr>
        <w:t>7</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台，</w:t>
      </w:r>
      <w:r>
        <w:rPr>
          <w:rFonts w:hint="eastAsia" w:ascii="宋体" w:hAnsi="宋体" w:cs="宋体"/>
          <w:color w:val="000000" w:themeColor="text1"/>
          <w:spacing w:val="15"/>
          <w:kern w:val="0"/>
          <w:sz w:val="28"/>
          <w:szCs w:val="28"/>
          <w:lang w:val="en-US" w:eastAsia="zh-CN"/>
          <w14:textFill>
            <w14:solidFill>
              <w14:schemeClr w14:val="tx1"/>
            </w14:solidFill>
          </w14:textFill>
        </w:rPr>
        <w:t>152.42</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万元；单位价值50万元以上的通用设备</w:t>
      </w:r>
      <w:r>
        <w:rPr>
          <w:rFonts w:hint="eastAsia" w:ascii="宋体" w:hAnsi="宋体" w:cs="宋体"/>
          <w:color w:val="000000" w:themeColor="text1"/>
          <w:spacing w:val="15"/>
          <w:kern w:val="0"/>
          <w:sz w:val="28"/>
          <w:szCs w:val="28"/>
          <w:lang w:val="en-US" w:eastAsia="zh-CN"/>
          <w14:textFill>
            <w14:solidFill>
              <w14:schemeClr w14:val="tx1"/>
            </w14:solidFill>
          </w14:textFill>
        </w:rPr>
        <w:t>8</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台（套）、</w:t>
      </w:r>
      <w:r>
        <w:rPr>
          <w:rFonts w:hint="eastAsia" w:ascii="宋体" w:hAnsi="宋体" w:cs="宋体"/>
          <w:color w:val="000000" w:themeColor="text1"/>
          <w:spacing w:val="15"/>
          <w:kern w:val="0"/>
          <w:sz w:val="28"/>
          <w:szCs w:val="28"/>
          <w:lang w:val="en-US" w:eastAsia="zh-CN"/>
          <w14:textFill>
            <w14:solidFill>
              <w14:schemeClr w14:val="tx1"/>
            </w14:solidFill>
          </w14:textFill>
        </w:rPr>
        <w:t>699.02</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万元，单位价值100万元以上的专用设备</w:t>
      </w:r>
      <w:r>
        <w:rPr>
          <w:rFonts w:hint="eastAsia" w:ascii="宋体" w:hAnsi="宋体" w:cs="宋体"/>
          <w:color w:val="000000" w:themeColor="text1"/>
          <w:spacing w:val="15"/>
          <w:kern w:val="0"/>
          <w:sz w:val="28"/>
          <w:szCs w:val="28"/>
          <w:lang w:val="en-US" w:eastAsia="zh-CN"/>
          <w14:textFill>
            <w14:solidFill>
              <w14:schemeClr w14:val="tx1"/>
            </w14:solidFill>
          </w14:textFill>
        </w:rPr>
        <w:t>3</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台（套）、</w:t>
      </w:r>
      <w:r>
        <w:rPr>
          <w:rFonts w:hint="eastAsia" w:ascii="宋体" w:hAnsi="宋体" w:cs="宋体"/>
          <w:color w:val="000000" w:themeColor="text1"/>
          <w:spacing w:val="15"/>
          <w:kern w:val="0"/>
          <w:sz w:val="28"/>
          <w:szCs w:val="28"/>
          <w:lang w:val="en-US" w:eastAsia="zh-CN"/>
          <w14:textFill>
            <w14:solidFill>
              <w14:schemeClr w14:val="tx1"/>
            </w14:solidFill>
          </w14:textFill>
        </w:rPr>
        <w:t>458.92</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000000" w:themeColor="text1"/>
          <w:sz w:val="28"/>
          <w:szCs w:val="36"/>
          <w:lang w:eastAsia="zh-CN"/>
          <w14:textFill>
            <w14:solidFill>
              <w14:schemeClr w14:val="tx1"/>
            </w14:solidFill>
          </w14:textFill>
        </w:rPr>
      </w:pPr>
      <w:r>
        <w:rPr>
          <w:rFonts w:hint="eastAsia" w:ascii="黑体" w:hAnsi="黑体" w:eastAsia="黑体" w:cs="黑体"/>
          <w:color w:val="000000" w:themeColor="text1"/>
          <w:sz w:val="28"/>
          <w:szCs w:val="36"/>
          <w:lang w:eastAsia="zh-CN"/>
          <w14:textFill>
            <w14:solidFill>
              <w14:schemeClr w14:val="tx1"/>
            </w14:solidFill>
          </w14:textFill>
        </w:rPr>
        <w:t>八、部门"三公"经费财政拨款预算说明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color w:val="000000" w:themeColor="text1"/>
          <w:sz w:val="28"/>
          <w:szCs w:val="28"/>
          <w:shd w:val="clear" w:color="auto" w:fill="FFFFFF"/>
          <w14:textFill>
            <w14:solidFill>
              <w14:schemeClr w14:val="tx1"/>
            </w14:solidFill>
          </w14:textFill>
        </w:rPr>
      </w:pPr>
      <w:r>
        <w:rPr>
          <w:rFonts w:hint="eastAsia"/>
          <w:b/>
          <w:bCs/>
          <w:color w:val="000000" w:themeColor="text1"/>
          <w:sz w:val="28"/>
          <w:szCs w:val="28"/>
          <w:shd w:val="clear" w:color="auto" w:fill="FFFFFF"/>
          <w14:textFill>
            <w14:solidFill>
              <w14:schemeClr w14:val="tx1"/>
            </w14:solidFill>
          </w14:textFill>
        </w:rPr>
        <w:t xml:space="preserve"> </w:t>
      </w:r>
      <w:r>
        <w:rPr>
          <w:rFonts w:hint="eastAsia"/>
          <w:color w:val="000000" w:themeColor="text1"/>
          <w:sz w:val="28"/>
          <w:szCs w:val="28"/>
          <w:shd w:val="clear" w:color="auto" w:fill="FFFFFF"/>
          <w14:textFill>
            <w14:solidFill>
              <w14:schemeClr w14:val="tx1"/>
            </w14:solidFill>
          </w14:textFill>
        </w:rPr>
        <w:t>2019年部门预算“三公”经费财政拨款预算安排</w:t>
      </w:r>
      <w:r>
        <w:rPr>
          <w:rFonts w:hint="eastAsia"/>
          <w:color w:val="000000" w:themeColor="text1"/>
          <w:sz w:val="28"/>
          <w:szCs w:val="28"/>
          <w:shd w:val="clear" w:color="auto" w:fill="FFFFFF"/>
          <w:lang w:val="en-US" w:eastAsia="zh-CN"/>
          <w14:textFill>
            <w14:solidFill>
              <w14:schemeClr w14:val="tx1"/>
            </w14:solidFill>
          </w14:textFill>
        </w:rPr>
        <w:t>22.31</w:t>
      </w:r>
      <w:r>
        <w:rPr>
          <w:rFonts w:hint="eastAsia"/>
          <w:color w:val="000000" w:themeColor="text1"/>
          <w:sz w:val="28"/>
          <w:szCs w:val="28"/>
          <w:shd w:val="clear" w:color="auto" w:fill="FFFFFF"/>
          <w14:textFill>
            <w14:solidFill>
              <w14:schemeClr w14:val="tx1"/>
            </w14:solidFill>
          </w14:textFill>
        </w:rPr>
        <w:t>万元，</w:t>
      </w:r>
      <w:r>
        <w:rPr>
          <w:rFonts w:hint="eastAsia"/>
          <w:color w:val="000000" w:themeColor="text1"/>
          <w:sz w:val="28"/>
          <w:szCs w:val="28"/>
          <w:shd w:val="clear" w:color="auto" w:fill="FFFFFF"/>
          <w:lang w:eastAsia="zh-CN"/>
          <w14:textFill>
            <w14:solidFill>
              <w14:schemeClr w14:val="tx1"/>
            </w14:solidFill>
          </w14:textFill>
        </w:rPr>
        <w:t>与</w:t>
      </w:r>
      <w:r>
        <w:rPr>
          <w:rFonts w:hint="eastAsia"/>
          <w:color w:val="000000" w:themeColor="text1"/>
          <w:sz w:val="28"/>
          <w:szCs w:val="28"/>
          <w:shd w:val="clear" w:color="auto" w:fill="FFFFFF"/>
          <w14:textFill>
            <w14:solidFill>
              <w14:schemeClr w14:val="tx1"/>
            </w14:solidFill>
          </w14:textFill>
        </w:rPr>
        <w:t>2018年“三公”经费财政拨款预算</w:t>
      </w:r>
      <w:r>
        <w:rPr>
          <w:rFonts w:hint="eastAsia"/>
          <w:color w:val="000000" w:themeColor="text1"/>
          <w:sz w:val="28"/>
          <w:szCs w:val="28"/>
          <w:shd w:val="clear" w:color="auto" w:fill="FFFFFF"/>
          <w:lang w:eastAsia="zh-CN"/>
          <w14:textFill>
            <w14:solidFill>
              <w14:schemeClr w14:val="tx1"/>
            </w14:solidFill>
          </w14:textFill>
        </w:rPr>
        <w:t>持平</w:t>
      </w:r>
      <w:r>
        <w:rPr>
          <w:rFonts w:hint="eastAsia"/>
          <w:color w:val="000000" w:themeColor="text1"/>
          <w:sz w:val="28"/>
          <w:szCs w:val="28"/>
          <w:shd w:val="clear" w:color="auto" w:fill="FFFFFF"/>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spacing w:line="560" w:lineRule="exact"/>
        <w:ind w:firstLine="622" w:firstLineChars="200"/>
        <w:jc w:val="both"/>
        <w:textAlignment w:val="auto"/>
        <w:rPr>
          <w:rFonts w:hint="eastAsia" w:ascii="宋体" w:hAnsi="宋体" w:eastAsia="宋体" w:cs="宋体"/>
          <w:b/>
          <w:bCs/>
          <w:color w:val="000000" w:themeColor="text1"/>
          <w:spacing w:val="15"/>
          <w:kern w:val="0"/>
          <w:sz w:val="28"/>
          <w:szCs w:val="28"/>
          <w:lang w:eastAsia="zh-CN"/>
          <w14:textFill>
            <w14:solidFill>
              <w14:schemeClr w14:val="tx1"/>
            </w14:solidFill>
          </w14:textFill>
        </w:rPr>
      </w:pPr>
      <w:r>
        <w:rPr>
          <w:rFonts w:hint="eastAsia" w:ascii="宋体" w:hAnsi="宋体" w:eastAsia="宋体" w:cs="宋体"/>
          <w:b/>
          <w:bCs/>
          <w:color w:val="000000" w:themeColor="text1"/>
          <w:spacing w:val="15"/>
          <w:kern w:val="0"/>
          <w:sz w:val="28"/>
          <w:szCs w:val="28"/>
          <w:lang w:eastAsia="zh-CN"/>
          <w14:textFill>
            <w14:solidFill>
              <w14:schemeClr w14:val="tx1"/>
            </w14:solidFill>
          </w14:textFill>
        </w:rPr>
        <w:t>（一）因公出国（境）费用</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2019年度无因公出国（境）费用预算。</w:t>
      </w:r>
    </w:p>
    <w:p>
      <w:pPr>
        <w:keepNext w:val="0"/>
        <w:keepLines w:val="0"/>
        <w:pageBreakBefore w:val="0"/>
        <w:widowControl/>
        <w:kinsoku/>
        <w:wordWrap/>
        <w:overflowPunct/>
        <w:topLinePunct w:val="0"/>
        <w:autoSpaceDE/>
        <w:autoSpaceDN/>
        <w:bidi w:val="0"/>
        <w:adjustRightInd w:val="0"/>
        <w:snapToGrid/>
        <w:spacing w:line="560" w:lineRule="exact"/>
        <w:ind w:firstLine="622" w:firstLineChars="200"/>
        <w:jc w:val="both"/>
        <w:textAlignment w:val="auto"/>
        <w:rPr>
          <w:rFonts w:hint="eastAsia" w:ascii="宋体" w:hAnsi="宋体" w:eastAsia="宋体" w:cs="宋体"/>
          <w:b/>
          <w:bCs/>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15"/>
          <w:kern w:val="0"/>
          <w:sz w:val="28"/>
          <w:szCs w:val="28"/>
          <w:lang w:val="en-US" w:eastAsia="zh-CN"/>
          <w14:textFill>
            <w14:solidFill>
              <w14:schemeClr w14:val="tx1"/>
            </w14:solidFill>
          </w14:textFill>
        </w:rPr>
        <w:t>（二）公务接待费</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2019年</w:t>
      </w:r>
      <w:r>
        <w:rPr>
          <w:rFonts w:hint="eastAsia" w:ascii="宋体" w:hAnsi="宋体" w:cs="宋体"/>
          <w:color w:val="000000" w:themeColor="text1"/>
          <w:spacing w:val="15"/>
          <w:kern w:val="0"/>
          <w:sz w:val="28"/>
          <w:szCs w:val="28"/>
          <w:lang w:val="en-US" w:eastAsia="zh-CN"/>
          <w14:textFill>
            <w14:solidFill>
              <w14:schemeClr w14:val="tx1"/>
            </w14:solidFill>
          </w14:textFill>
        </w:rPr>
        <w:t>财政拨款预算安排</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2.71万元，主要用于接待环保系统检查、调研等接待费用，与2018年</w:t>
      </w:r>
      <w:r>
        <w:rPr>
          <w:rFonts w:hint="eastAsia" w:ascii="宋体" w:hAnsi="宋体" w:cs="宋体"/>
          <w:color w:val="000000" w:themeColor="text1"/>
          <w:spacing w:val="15"/>
          <w:kern w:val="0"/>
          <w:sz w:val="28"/>
          <w:szCs w:val="28"/>
          <w:lang w:val="en-US" w:eastAsia="zh-CN"/>
          <w14:textFill>
            <w14:solidFill>
              <w14:schemeClr w14:val="tx1"/>
            </w14:solidFill>
          </w14:textFill>
        </w:rPr>
        <w:t>财政拨款预算安排数</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持平。</w:t>
      </w:r>
    </w:p>
    <w:p>
      <w:pPr>
        <w:keepNext w:val="0"/>
        <w:keepLines w:val="0"/>
        <w:pageBreakBefore w:val="0"/>
        <w:widowControl/>
        <w:kinsoku/>
        <w:wordWrap/>
        <w:overflowPunct/>
        <w:topLinePunct w:val="0"/>
        <w:autoSpaceDE/>
        <w:autoSpaceDN/>
        <w:bidi w:val="0"/>
        <w:adjustRightInd w:val="0"/>
        <w:snapToGrid/>
        <w:spacing w:line="560" w:lineRule="exact"/>
        <w:ind w:firstLine="622" w:firstLineChars="200"/>
        <w:jc w:val="both"/>
        <w:textAlignment w:val="auto"/>
        <w:rPr>
          <w:rFonts w:hint="eastAsia" w:ascii="宋体" w:hAnsi="宋体" w:eastAsia="宋体" w:cs="宋体"/>
          <w:b/>
          <w:bCs/>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15"/>
          <w:kern w:val="0"/>
          <w:sz w:val="28"/>
          <w:szCs w:val="28"/>
          <w:lang w:val="en-US" w:eastAsia="zh-CN"/>
          <w14:textFill>
            <w14:solidFill>
              <w14:schemeClr w14:val="tx1"/>
            </w14:solidFill>
          </w14:textFill>
        </w:rPr>
        <w:t>（三）公务用车购置和运行维护费</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2019年</w:t>
      </w:r>
      <w:r>
        <w:rPr>
          <w:rFonts w:hint="eastAsia" w:ascii="宋体" w:hAnsi="宋体" w:cs="宋体"/>
          <w:color w:val="000000" w:themeColor="text1"/>
          <w:spacing w:val="15"/>
          <w:kern w:val="0"/>
          <w:sz w:val="28"/>
          <w:szCs w:val="28"/>
          <w:lang w:val="en-US" w:eastAsia="zh-CN"/>
          <w14:textFill>
            <w14:solidFill>
              <w14:schemeClr w14:val="tx1"/>
            </w14:solidFill>
          </w14:textFill>
        </w:rPr>
        <w:t>财政拨款预算安排</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19.6万元，与2018年</w:t>
      </w:r>
      <w:r>
        <w:rPr>
          <w:rFonts w:hint="eastAsia" w:ascii="宋体" w:hAnsi="宋体" w:cs="宋体"/>
          <w:color w:val="000000" w:themeColor="text1"/>
          <w:spacing w:val="15"/>
          <w:kern w:val="0"/>
          <w:sz w:val="28"/>
          <w:szCs w:val="28"/>
          <w:lang w:val="en-US" w:eastAsia="zh-CN"/>
          <w14:textFill>
            <w14:solidFill>
              <w14:schemeClr w14:val="tx1"/>
            </w14:solidFill>
          </w14:textFill>
        </w:rPr>
        <w:t>财政拨款预算安排数</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持平，其中：公务用车运行维护费2019年预算数19.6万元，与2018年</w:t>
      </w:r>
      <w:r>
        <w:rPr>
          <w:rFonts w:hint="eastAsia" w:ascii="宋体" w:hAnsi="宋体" w:cs="宋体"/>
          <w:color w:val="000000" w:themeColor="text1"/>
          <w:spacing w:val="15"/>
          <w:kern w:val="0"/>
          <w:sz w:val="28"/>
          <w:szCs w:val="28"/>
          <w:lang w:val="en-US" w:eastAsia="zh-CN"/>
          <w14:textFill>
            <w14:solidFill>
              <w14:schemeClr w14:val="tx1"/>
            </w14:solidFill>
          </w14:textFill>
        </w:rPr>
        <w:t>财政拨款预算安排数</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持平。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000000" w:themeColor="text1"/>
          <w:sz w:val="28"/>
          <w:szCs w:val="36"/>
          <w:lang w:eastAsia="zh-CN"/>
          <w14:textFill>
            <w14:solidFill>
              <w14:schemeClr w14:val="tx1"/>
            </w14:solidFill>
          </w14:textFill>
        </w:rPr>
      </w:pPr>
      <w:r>
        <w:rPr>
          <w:rFonts w:hint="eastAsia" w:ascii="黑体" w:hAnsi="黑体" w:eastAsia="黑体" w:cs="黑体"/>
          <w:color w:val="000000" w:themeColor="text1"/>
          <w:sz w:val="28"/>
          <w:szCs w:val="36"/>
          <w:lang w:eastAsia="zh-CN"/>
          <w14:textFill>
            <w14:solidFill>
              <w14:schemeClr w14:val="tx1"/>
            </w14:solidFill>
          </w14:textFill>
        </w:rPr>
        <w:t>九、预算绩效管理情况说明</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2019年，</w:t>
      </w:r>
      <w:r>
        <w:rPr>
          <w:rFonts w:hint="eastAsia" w:ascii="宋体" w:hAnsi="宋体" w:cs="宋体"/>
          <w:color w:val="000000" w:themeColor="text1"/>
          <w:spacing w:val="15"/>
          <w:kern w:val="0"/>
          <w:sz w:val="28"/>
          <w:szCs w:val="28"/>
          <w:lang w:val="en-US" w:eastAsia="zh-CN"/>
          <w14:textFill>
            <w14:solidFill>
              <w14:schemeClr w14:val="tx1"/>
            </w14:solidFill>
          </w14:textFill>
        </w:rPr>
        <w:t>丰台区环境保护局</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填报绩效目标的预算项目</w:t>
      </w:r>
      <w:r>
        <w:rPr>
          <w:rFonts w:hint="eastAsia" w:ascii="宋体" w:hAnsi="宋体" w:cs="宋体"/>
          <w:color w:val="000000" w:themeColor="text1"/>
          <w:spacing w:val="15"/>
          <w:kern w:val="0"/>
          <w:sz w:val="28"/>
          <w:szCs w:val="28"/>
          <w:lang w:val="en-US" w:eastAsia="zh-CN"/>
          <w14:textFill>
            <w14:solidFill>
              <w14:schemeClr w14:val="tx1"/>
            </w14:solidFill>
          </w14:textFill>
        </w:rPr>
        <w:t>5</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个，占本部门全部预算项目</w:t>
      </w:r>
      <w:r>
        <w:rPr>
          <w:rFonts w:hint="eastAsia" w:ascii="宋体" w:hAnsi="宋体" w:cs="宋体"/>
          <w:color w:val="000000" w:themeColor="text1"/>
          <w:spacing w:val="15"/>
          <w:kern w:val="0"/>
          <w:sz w:val="28"/>
          <w:szCs w:val="28"/>
          <w:lang w:val="en-US" w:eastAsia="zh-CN"/>
          <w14:textFill>
            <w14:solidFill>
              <w14:schemeClr w14:val="tx1"/>
            </w14:solidFill>
          </w14:textFill>
        </w:rPr>
        <w:t>37</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个的</w:t>
      </w:r>
      <w:r>
        <w:rPr>
          <w:rFonts w:hint="eastAsia" w:ascii="宋体" w:hAnsi="宋体" w:cs="宋体"/>
          <w:color w:val="000000" w:themeColor="text1"/>
          <w:spacing w:val="15"/>
          <w:kern w:val="0"/>
          <w:sz w:val="28"/>
          <w:szCs w:val="28"/>
          <w:lang w:val="en-US" w:eastAsia="zh-CN"/>
          <w14:textFill>
            <w14:solidFill>
              <w14:schemeClr w14:val="tx1"/>
            </w14:solidFill>
          </w14:textFill>
        </w:rPr>
        <w:t>13.51</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xml:space="preserve">%。填报绩效目标的项目支出预算  </w:t>
      </w:r>
      <w:r>
        <w:rPr>
          <w:rFonts w:hint="eastAsia" w:ascii="宋体" w:hAnsi="宋体" w:cs="宋体"/>
          <w:color w:val="000000" w:themeColor="text1"/>
          <w:spacing w:val="15"/>
          <w:kern w:val="0"/>
          <w:sz w:val="28"/>
          <w:szCs w:val="28"/>
          <w:lang w:val="en-US" w:eastAsia="zh-CN"/>
          <w14:textFill>
            <w14:solidFill>
              <w14:schemeClr w14:val="tx1"/>
            </w14:solidFill>
          </w14:textFill>
        </w:rPr>
        <w:t>10947.765</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万元，占本部门全部项目支出预算的</w:t>
      </w:r>
      <w:r>
        <w:rPr>
          <w:rFonts w:hint="eastAsia" w:ascii="宋体" w:hAnsi="宋体" w:cs="宋体"/>
          <w:color w:val="000000" w:themeColor="text1"/>
          <w:spacing w:val="15"/>
          <w:kern w:val="0"/>
          <w:sz w:val="28"/>
          <w:szCs w:val="28"/>
          <w:lang w:val="en-US" w:eastAsia="zh-CN"/>
          <w14:textFill>
            <w14:solidFill>
              <w14:schemeClr w14:val="tx1"/>
            </w14:solidFill>
          </w14:textFill>
        </w:rPr>
        <w:t>84.06</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000000" w:themeColor="text1"/>
          <w:sz w:val="28"/>
          <w:szCs w:val="36"/>
          <w:lang w:eastAsia="zh-CN"/>
          <w14:textFill>
            <w14:solidFill>
              <w14:schemeClr w14:val="tx1"/>
            </w14:solidFill>
          </w14:textFill>
        </w:rPr>
      </w:pPr>
      <w:r>
        <w:rPr>
          <w:rFonts w:hint="eastAsia" w:ascii="黑体" w:hAnsi="黑体" w:eastAsia="黑体" w:cs="黑体"/>
          <w:color w:val="000000" w:themeColor="text1"/>
          <w:sz w:val="28"/>
          <w:szCs w:val="36"/>
          <w:lang w:eastAsia="zh-CN"/>
          <w14:textFill>
            <w14:solidFill>
              <w14:schemeClr w14:val="tx1"/>
            </w14:solidFill>
          </w14:textFill>
        </w:rPr>
        <w:t>其他事项说明</w:t>
      </w:r>
    </w:p>
    <w:p>
      <w:pPr>
        <w:keepNext w:val="0"/>
        <w:keepLines w:val="0"/>
        <w:pageBreakBefore w:val="0"/>
        <w:widowControl/>
        <w:kinsoku/>
        <w:wordWrap/>
        <w:overflowPunct/>
        <w:topLinePunct w:val="0"/>
        <w:autoSpaceDE/>
        <w:autoSpaceDN/>
        <w:bidi w:val="0"/>
        <w:adjustRightInd w:val="0"/>
        <w:snapToGrid/>
        <w:spacing w:line="560" w:lineRule="exact"/>
        <w:ind w:firstLine="620"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000000" w:themeColor="text1"/>
          <w:sz w:val="28"/>
          <w:szCs w:val="36"/>
          <w:lang w:eastAsia="zh-CN"/>
          <w14:textFill>
            <w14:solidFill>
              <w14:schemeClr w14:val="tx1"/>
            </w14:solidFill>
          </w14:textFill>
        </w:rPr>
      </w:pPr>
      <w:r>
        <w:rPr>
          <w:rFonts w:hint="eastAsia" w:ascii="黑体" w:hAnsi="黑体" w:eastAsia="黑体" w:cs="黑体"/>
          <w:color w:val="000000" w:themeColor="text1"/>
          <w:sz w:val="28"/>
          <w:szCs w:val="36"/>
          <w:lang w:eastAsia="zh-CN"/>
          <w14:textFill>
            <w14:solidFill>
              <w14:schemeClr w14:val="tx1"/>
            </w14:solidFill>
          </w14:textFill>
        </w:rPr>
        <w:t>十一、专业名词解释</w:t>
      </w:r>
    </w:p>
    <w:p>
      <w:pPr>
        <w:keepNext w:val="0"/>
        <w:keepLines w:val="0"/>
        <w:pageBreakBefore w:val="0"/>
        <w:widowControl/>
        <w:kinsoku/>
        <w:wordWrap/>
        <w:overflowPunct/>
        <w:topLinePunct w:val="0"/>
        <w:autoSpaceDE/>
        <w:autoSpaceDN/>
        <w:bidi w:val="0"/>
        <w:adjustRightInd w:val="0"/>
        <w:snapToGrid/>
        <w:spacing w:line="560" w:lineRule="exact"/>
        <w:ind w:firstLine="622"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15"/>
          <w:kern w:val="0"/>
          <w:sz w:val="28"/>
          <w:szCs w:val="28"/>
          <w:lang w:val="en-US" w:eastAsia="zh-CN"/>
          <w14:textFill>
            <w14:solidFill>
              <w14:schemeClr w14:val="tx1"/>
            </w14:solidFill>
          </w14:textFill>
        </w:rPr>
        <w:t>预算</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：指遵循统筹兼顾、勤俭节约、量力而行、讲求绩效和收支平衡的原则编制，经法定程序审核批准的国家年度集中性财政收支计划。政府的全部收入和支出都应当纳入预算，地方各级预算一般不列赤字。</w:t>
      </w:r>
    </w:p>
    <w:p>
      <w:pPr>
        <w:keepNext w:val="0"/>
        <w:keepLines w:val="0"/>
        <w:pageBreakBefore w:val="0"/>
        <w:widowControl/>
        <w:kinsoku/>
        <w:wordWrap/>
        <w:overflowPunct/>
        <w:topLinePunct w:val="0"/>
        <w:autoSpaceDE/>
        <w:autoSpaceDN/>
        <w:bidi w:val="0"/>
        <w:adjustRightInd w:val="0"/>
        <w:snapToGrid/>
        <w:spacing w:line="560" w:lineRule="exact"/>
        <w:ind w:firstLine="622"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15"/>
          <w:kern w:val="0"/>
          <w:sz w:val="28"/>
          <w:szCs w:val="28"/>
          <w:lang w:val="en-US" w:eastAsia="zh-CN"/>
          <w14:textFill>
            <w14:solidFill>
              <w14:schemeClr w14:val="tx1"/>
            </w14:solidFill>
          </w14:textFill>
        </w:rPr>
        <w:t>部门预算</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pPr>
        <w:keepNext w:val="0"/>
        <w:keepLines w:val="0"/>
        <w:pageBreakBefore w:val="0"/>
        <w:widowControl/>
        <w:kinsoku/>
        <w:wordWrap/>
        <w:overflowPunct/>
        <w:topLinePunct w:val="0"/>
        <w:autoSpaceDE/>
        <w:autoSpaceDN/>
        <w:bidi w:val="0"/>
        <w:adjustRightInd w:val="0"/>
        <w:snapToGrid/>
        <w:spacing w:line="560" w:lineRule="exact"/>
        <w:ind w:firstLine="622"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15"/>
          <w:kern w:val="0"/>
          <w:sz w:val="28"/>
          <w:szCs w:val="28"/>
          <w:lang w:val="en-US" w:eastAsia="zh-CN"/>
          <w14:textFill>
            <w14:solidFill>
              <w14:schemeClr w14:val="tx1"/>
            </w14:solidFill>
          </w14:textFill>
        </w:rPr>
        <w:t>政府采购</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 指各级国家机关、事业单位和团体组织，使用财政性资金采购依法制定的集中采购目录以内的或者采购限额标准以上的货物、工程和服务的行为。政府采购是规范财政支出管理和强化预算约束的有效措施。</w:t>
      </w:r>
    </w:p>
    <w:p>
      <w:pPr>
        <w:keepNext w:val="0"/>
        <w:keepLines w:val="0"/>
        <w:pageBreakBefore w:val="0"/>
        <w:widowControl/>
        <w:kinsoku/>
        <w:wordWrap/>
        <w:overflowPunct/>
        <w:topLinePunct w:val="0"/>
        <w:autoSpaceDE/>
        <w:autoSpaceDN/>
        <w:bidi w:val="0"/>
        <w:adjustRightInd w:val="0"/>
        <w:snapToGrid/>
        <w:spacing w:line="560" w:lineRule="exact"/>
        <w:ind w:firstLine="622"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15"/>
          <w:kern w:val="0"/>
          <w:sz w:val="28"/>
          <w:szCs w:val="28"/>
          <w:lang w:val="en-US" w:eastAsia="zh-CN"/>
          <w14:textFill>
            <w14:solidFill>
              <w14:schemeClr w14:val="tx1"/>
            </w14:solidFill>
          </w14:textFill>
        </w:rPr>
        <w:t>机关运行经费</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val="0"/>
        <w:snapToGrid/>
        <w:spacing w:line="560" w:lineRule="exact"/>
        <w:ind w:firstLine="622" w:firstLineChars="200"/>
        <w:jc w:val="both"/>
        <w:textAlignment w:val="auto"/>
        <w:rPr>
          <w:rFonts w:hint="eastAsia" w:ascii="宋体" w:hAnsi="宋体" w:eastAsia="宋体" w:cs="宋体"/>
          <w:color w:val="000000" w:themeColor="text1"/>
          <w:spacing w:val="15"/>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15"/>
          <w:kern w:val="0"/>
          <w:sz w:val="28"/>
          <w:szCs w:val="28"/>
          <w:lang w:val="en-US" w:eastAsia="zh-CN"/>
          <w14:textFill>
            <w14:solidFill>
              <w14:schemeClr w14:val="tx1"/>
            </w14:solidFill>
          </w14:textFill>
        </w:rPr>
        <w:t>“三公”经费</w:t>
      </w:r>
      <w:r>
        <w:rPr>
          <w:rFonts w:hint="eastAsia" w:ascii="宋体" w:hAnsi="宋体" w:eastAsia="宋体" w:cs="宋体"/>
          <w:color w:val="000000" w:themeColor="text1"/>
          <w:spacing w:val="15"/>
          <w:kern w:val="0"/>
          <w:sz w:val="28"/>
          <w:szCs w:val="28"/>
          <w:lang w:val="en-US" w:eastAsia="zh-CN"/>
          <w14:textFill>
            <w14:solidFill>
              <w14:schemeClr w14:val="tx1"/>
            </w14:solidFill>
          </w14:textFill>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keepNext w:val="0"/>
        <w:keepLines w:val="0"/>
        <w:pageBreakBefore w:val="0"/>
        <w:widowControl w:val="0"/>
        <w:tabs>
          <w:tab w:val="left" w:pos="630"/>
        </w:tabs>
        <w:kinsoku/>
        <w:wordWrap/>
        <w:overflowPunct/>
        <w:topLinePunct w:val="0"/>
        <w:autoSpaceDE/>
        <w:autoSpaceDN/>
        <w:bidi w:val="0"/>
        <w:adjustRightInd/>
        <w:snapToGrid/>
        <w:spacing w:before="157" w:beforeLines="50" w:after="157" w:afterLines="50" w:line="560" w:lineRule="exact"/>
        <w:ind w:firstLine="0" w:firstLineChars="0"/>
        <w:jc w:val="center"/>
        <w:textAlignment w:val="auto"/>
        <w:rPr>
          <w:rFonts w:hint="eastAsia" w:ascii="黑体" w:hAnsi="黑体" w:eastAsia="黑体" w:cs="黑体"/>
          <w:color w:val="000000" w:themeColor="text1"/>
          <w:spacing w:val="40"/>
          <w:sz w:val="32"/>
          <w:szCs w:val="32"/>
          <w:lang w:val="en-US" w:eastAsia="zh-CN"/>
          <w14:textFill>
            <w14:solidFill>
              <w14:schemeClr w14:val="tx1"/>
            </w14:solidFill>
          </w14:textFill>
        </w:rPr>
      </w:pPr>
      <w:r>
        <w:rPr>
          <w:rFonts w:hint="eastAsia" w:ascii="黑体" w:hAnsi="黑体" w:eastAsia="黑体" w:cs="黑体"/>
          <w:color w:val="000000" w:themeColor="text1"/>
          <w:spacing w:val="40"/>
          <w:sz w:val="32"/>
          <w:szCs w:val="32"/>
          <w:lang w:val="en-US" w:eastAsia="zh-CN"/>
          <w14:textFill>
            <w14:solidFill>
              <w14:schemeClr w14:val="tx1"/>
            </w14:solidFill>
          </w14:textFill>
        </w:rPr>
        <w:t>第二部分 2019年部门预算表</w:t>
      </w:r>
    </w:p>
    <w:p>
      <w:pPr>
        <w:ind w:firstLine="281" w:firstLineChars="100"/>
        <w:jc w:val="left"/>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w:t>
      </w:r>
    </w:p>
    <w:p>
      <w:pPr>
        <w:widowControl/>
        <w:spacing w:line="440" w:lineRule="exact"/>
        <w:jc w:val="center"/>
        <w:rPr>
          <w:rFonts w:ascii="宋体" w:hAnsi="宋体" w:cs="宋体"/>
          <w:b/>
          <w:color w:val="000000" w:themeColor="text1"/>
          <w:spacing w:val="15"/>
          <w:kern w:val="0"/>
          <w:sz w:val="36"/>
          <w:szCs w:val="36"/>
          <w14:textFill>
            <w14:solidFill>
              <w14:schemeClr w14:val="tx1"/>
            </w14:solidFill>
          </w14:textFill>
        </w:rPr>
      </w:pPr>
    </w:p>
    <w:p>
      <w:pPr>
        <w:widowControl/>
        <w:spacing w:line="440" w:lineRule="exact"/>
        <w:jc w:val="center"/>
        <w:rPr>
          <w:rFonts w:ascii="宋体" w:hAnsi="宋体" w:cs="宋体"/>
          <w:b/>
          <w:color w:val="000000" w:themeColor="text1"/>
          <w:spacing w:val="15"/>
          <w:kern w:val="0"/>
          <w:sz w:val="36"/>
          <w:szCs w:val="36"/>
          <w14:textFill>
            <w14:solidFill>
              <w14:schemeClr w14:val="tx1"/>
            </w14:solidFill>
          </w14:textFill>
        </w:rPr>
      </w:pPr>
    </w:p>
    <w:p>
      <w:pPr>
        <w:widowControl/>
        <w:spacing w:line="440" w:lineRule="exact"/>
        <w:jc w:val="center"/>
        <w:rPr>
          <w:rFonts w:ascii="宋体" w:hAnsi="宋体" w:cs="宋体"/>
          <w:b/>
          <w:color w:val="000000" w:themeColor="text1"/>
          <w:spacing w:val="15"/>
          <w:kern w:val="0"/>
          <w:sz w:val="36"/>
          <w:szCs w:val="36"/>
          <w14:textFill>
            <w14:solidFill>
              <w14:schemeClr w14:val="tx1"/>
            </w14:solidFill>
          </w14:textFill>
        </w:rPr>
      </w:pPr>
    </w:p>
    <w:sectPr>
      <w:footerReference r:id="rId3" w:type="default"/>
      <w:footerReference r:id="rId4" w:type="even"/>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E75F1D"/>
    <w:multiLevelType w:val="singleLevel"/>
    <w:tmpl w:val="C4E75F1D"/>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B4636"/>
    <w:rsid w:val="000E1E42"/>
    <w:rsid w:val="00263A60"/>
    <w:rsid w:val="00271986"/>
    <w:rsid w:val="00A160DB"/>
    <w:rsid w:val="014E20C9"/>
    <w:rsid w:val="08512A69"/>
    <w:rsid w:val="114811C7"/>
    <w:rsid w:val="224D214B"/>
    <w:rsid w:val="22A91E90"/>
    <w:rsid w:val="38DF1967"/>
    <w:rsid w:val="3ED43509"/>
    <w:rsid w:val="52C03B6D"/>
    <w:rsid w:val="591A035E"/>
    <w:rsid w:val="637B4636"/>
    <w:rsid w:val="71282B30"/>
    <w:rsid w:val="75657432"/>
    <w:rsid w:val="7B72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 w:type="character" w:styleId="7">
    <w:name w:val="page number"/>
    <w:basedOn w:val="5"/>
    <w:qFormat/>
    <w:uiPriority w:val="0"/>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184</Words>
  <Characters>1054</Characters>
  <Lines>8</Lines>
  <Paragraphs>2</Paragraphs>
  <TotalTime>4</TotalTime>
  <ScaleCrop>false</ScaleCrop>
  <LinksUpToDate>false</LinksUpToDate>
  <CharactersWithSpaces>1236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2021-06-07T06:17:00Z</dcterms:created>
  <dc:creator>马常平</dc:creator>
  <cp:lastModifiedBy>zhangtingting</cp:lastModifiedBy>
  <dcterms:modified xsi:type="dcterms:W3CDTF">2021-06-21T03:37:06Z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BBC99139B3C048B4BD53A823DC2B5D6B</vt:lpwstr>
  </property>
</Properties>
</file>