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24272" w14:textId="77777777" w:rsidR="00517CC5" w:rsidRDefault="00000000">
      <w:pPr>
        <w:jc w:val="center"/>
        <w:rPr>
          <w:rFonts w:ascii="宋体" w:hAnsi="宋体" w:cs="宋体" w:hint="eastAsia"/>
          <w:b/>
          <w:color w:val="000000" w:themeColor="text1"/>
          <w:sz w:val="44"/>
          <w:szCs w:val="44"/>
          <w:shd w:val="clear" w:color="auto" w:fill="FFFFFF"/>
        </w:rPr>
      </w:pPr>
      <w:r>
        <w:rPr>
          <w:rFonts w:ascii="宋体" w:hAnsi="宋体" w:cs="宋体" w:hint="eastAsia"/>
          <w:b/>
          <w:color w:val="000000" w:themeColor="text1"/>
          <w:sz w:val="44"/>
          <w:szCs w:val="44"/>
          <w:shd w:val="clear" w:color="auto" w:fill="FFFFFF"/>
        </w:rPr>
        <w:t>北京市丰台区环境保护局2019年部门预算情况说明</w:t>
      </w:r>
    </w:p>
    <w:p w14:paraId="6A0BDB3D" w14:textId="77777777" w:rsidR="00517CC5" w:rsidRDefault="00517CC5">
      <w:pPr>
        <w:jc w:val="center"/>
        <w:rPr>
          <w:rFonts w:ascii="宋体" w:hAnsi="宋体" w:cs="宋体" w:hint="eastAsia"/>
          <w:b/>
          <w:color w:val="000000" w:themeColor="text1"/>
          <w:sz w:val="44"/>
          <w:szCs w:val="44"/>
          <w:shd w:val="clear" w:color="auto" w:fill="FFFFFF"/>
        </w:rPr>
      </w:pPr>
    </w:p>
    <w:p w14:paraId="63E6AC78" w14:textId="77777777" w:rsidR="00517CC5" w:rsidRDefault="00000000">
      <w:pPr>
        <w:jc w:val="center"/>
        <w:rPr>
          <w:rFonts w:ascii="宋体" w:hAnsi="宋体" w:cs="宋体" w:hint="eastAsia"/>
          <w:bCs/>
          <w:color w:val="000000" w:themeColor="text1"/>
          <w:sz w:val="44"/>
          <w:szCs w:val="44"/>
          <w:shd w:val="clear" w:color="auto" w:fill="FFFFFF"/>
        </w:rPr>
      </w:pPr>
      <w:r>
        <w:rPr>
          <w:rFonts w:ascii="黑体" w:eastAsia="黑体" w:hAnsi="黑体" w:cs="黑体" w:hint="eastAsia"/>
          <w:bCs/>
          <w:color w:val="000000" w:themeColor="text1"/>
          <w:sz w:val="44"/>
          <w:szCs w:val="44"/>
          <w:shd w:val="clear" w:color="auto" w:fill="FFFFFF"/>
        </w:rPr>
        <w:t>目  录</w:t>
      </w:r>
    </w:p>
    <w:p w14:paraId="2373545B" w14:textId="77777777" w:rsidR="00517CC5" w:rsidRDefault="00000000">
      <w:pPr>
        <w:tabs>
          <w:tab w:val="left" w:pos="630"/>
        </w:tabs>
        <w:spacing w:beforeLines="50" w:before="156" w:afterLines="50" w:after="156" w:line="560" w:lineRule="exact"/>
        <w:rPr>
          <w:rFonts w:ascii="黑体" w:eastAsia="黑体" w:hAnsi="黑体" w:cs="黑体" w:hint="eastAsia"/>
          <w:color w:val="000000" w:themeColor="text1"/>
          <w:spacing w:val="40"/>
          <w:sz w:val="28"/>
          <w:szCs w:val="28"/>
        </w:rPr>
      </w:pPr>
      <w:r>
        <w:rPr>
          <w:rFonts w:ascii="黑体" w:eastAsia="黑体" w:hAnsi="黑体" w:cs="黑体" w:hint="eastAsia"/>
          <w:color w:val="000000" w:themeColor="text1"/>
          <w:spacing w:val="40"/>
          <w:sz w:val="28"/>
          <w:szCs w:val="28"/>
        </w:rPr>
        <w:t>第一部分  2019年部门预算编制说明</w:t>
      </w:r>
    </w:p>
    <w:p w14:paraId="1A77FBF4"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一、部门基本情况</w:t>
      </w:r>
    </w:p>
    <w:p w14:paraId="080991C4"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二、2019年收入及支出总体情况</w:t>
      </w:r>
    </w:p>
    <w:p w14:paraId="7229C2AC"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三、主要支出内容</w:t>
      </w:r>
    </w:p>
    <w:p w14:paraId="471E42B6"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四、政府采购情况说明</w:t>
      </w:r>
    </w:p>
    <w:p w14:paraId="6EF20E44"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五、机关运行经费财政拨款预算安排说明</w:t>
      </w:r>
    </w:p>
    <w:p w14:paraId="571A31D9"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六、行政事业性收费重点项目信息说明</w:t>
      </w:r>
    </w:p>
    <w:p w14:paraId="22F74872"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七、固定资产占用使用情况说明</w:t>
      </w:r>
    </w:p>
    <w:p w14:paraId="03A30580"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八、部门"三公"经费财政拨款预算说明</w:t>
      </w:r>
    </w:p>
    <w:p w14:paraId="2016A8F0"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九、预算绩效管理情况说明</w:t>
      </w:r>
    </w:p>
    <w:p w14:paraId="205BC3D3"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十、其他事项说明</w:t>
      </w:r>
    </w:p>
    <w:p w14:paraId="7B7437D0"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十一、专业名词解释</w:t>
      </w:r>
    </w:p>
    <w:p w14:paraId="348E0F50" w14:textId="77777777" w:rsidR="00517CC5" w:rsidRDefault="00000000">
      <w:pPr>
        <w:tabs>
          <w:tab w:val="left" w:pos="630"/>
        </w:tabs>
        <w:spacing w:beforeLines="50" w:before="156" w:afterLines="50" w:after="156" w:line="560" w:lineRule="exact"/>
        <w:rPr>
          <w:rFonts w:ascii="黑体" w:eastAsia="黑体" w:hAnsi="黑体" w:cs="黑体" w:hint="eastAsia"/>
          <w:color w:val="000000" w:themeColor="text1"/>
          <w:spacing w:val="40"/>
          <w:sz w:val="28"/>
          <w:szCs w:val="28"/>
        </w:rPr>
      </w:pPr>
      <w:r>
        <w:rPr>
          <w:rFonts w:ascii="黑体" w:eastAsia="黑体" w:hAnsi="黑体" w:cs="黑体" w:hint="eastAsia"/>
          <w:color w:val="000000" w:themeColor="text1"/>
          <w:spacing w:val="40"/>
          <w:sz w:val="28"/>
          <w:szCs w:val="28"/>
        </w:rPr>
        <w:t>第二部分  2019年部门预算表</w:t>
      </w:r>
    </w:p>
    <w:p w14:paraId="48EE4781"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一、部门预算编制说明</w:t>
      </w:r>
    </w:p>
    <w:p w14:paraId="7839F8BA"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二、收支预算总表</w:t>
      </w:r>
    </w:p>
    <w:p w14:paraId="6307E1BE"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三、收入预算总表</w:t>
      </w:r>
    </w:p>
    <w:p w14:paraId="406C1EB3"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四、支出预算总表</w:t>
      </w:r>
    </w:p>
    <w:p w14:paraId="0EE2895B"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五、财政拨款收支预算总表</w:t>
      </w:r>
    </w:p>
    <w:p w14:paraId="23BC10BF"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六、财政拨款收入预算总表</w:t>
      </w:r>
    </w:p>
    <w:p w14:paraId="00DB3B12"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七、财政拨款支出总表</w:t>
      </w:r>
    </w:p>
    <w:p w14:paraId="7575C02F"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lastRenderedPageBreak/>
        <w:t>八、一般公共预算支出情况表</w:t>
      </w:r>
    </w:p>
    <w:p w14:paraId="415AB014"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九、政府性基金预算支出表</w:t>
      </w:r>
    </w:p>
    <w:p w14:paraId="4F21CEF3"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十、一般公共预算基本支出计划情况表</w:t>
      </w:r>
    </w:p>
    <w:p w14:paraId="5F0D1864"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十一、2019年“三公经费”预算财政拨款情况表</w:t>
      </w:r>
    </w:p>
    <w:p w14:paraId="146DA58C"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十二、项目支出预算表</w:t>
      </w:r>
    </w:p>
    <w:p w14:paraId="4D74B0F1" w14:textId="77777777" w:rsidR="00517CC5" w:rsidRDefault="00000000">
      <w:pPr>
        <w:spacing w:line="560" w:lineRule="exact"/>
        <w:ind w:firstLineChars="200" w:firstLine="560"/>
        <w:rPr>
          <w:rFonts w:ascii="宋体" w:hAnsi="宋体" w:cs="宋体" w:hint="eastAsia"/>
          <w:color w:val="000000" w:themeColor="text1"/>
          <w:sz w:val="28"/>
          <w:szCs w:val="28"/>
          <w:shd w:val="clear" w:color="auto" w:fill="FFFFFF"/>
        </w:rPr>
      </w:pPr>
      <w:r>
        <w:rPr>
          <w:rFonts w:ascii="宋体" w:hAnsi="宋体" w:cs="宋体" w:hint="eastAsia"/>
          <w:color w:val="000000" w:themeColor="text1"/>
          <w:sz w:val="28"/>
          <w:szCs w:val="28"/>
          <w:shd w:val="clear" w:color="auto" w:fill="FFFFFF"/>
        </w:rPr>
        <w:t>十三、项目绩效目标表</w:t>
      </w:r>
    </w:p>
    <w:p w14:paraId="10B4F987" w14:textId="77777777" w:rsidR="00517CC5" w:rsidRDefault="00517CC5">
      <w:pPr>
        <w:spacing w:beforeLines="50" w:before="156" w:afterLines="50" w:after="156" w:line="560" w:lineRule="exact"/>
        <w:rPr>
          <w:rStyle w:val="a5"/>
          <w:rFonts w:ascii="宋体" w:hAnsi="宋体" w:cs="宋体" w:hint="eastAsia"/>
          <w:color w:val="000000" w:themeColor="text1"/>
          <w:sz w:val="28"/>
          <w:szCs w:val="28"/>
          <w:shd w:val="clear" w:color="auto" w:fill="FFFFFF"/>
        </w:rPr>
      </w:pPr>
    </w:p>
    <w:p w14:paraId="09D559B5" w14:textId="77777777" w:rsidR="00517CC5" w:rsidRDefault="00000000">
      <w:pPr>
        <w:tabs>
          <w:tab w:val="left" w:pos="630"/>
        </w:tabs>
        <w:spacing w:beforeLines="50" w:before="156" w:afterLines="50" w:after="156" w:line="560" w:lineRule="exact"/>
        <w:jc w:val="center"/>
        <w:rPr>
          <w:rFonts w:ascii="黑体" w:eastAsia="黑体" w:hAnsi="黑体" w:cs="黑体" w:hint="eastAsia"/>
          <w:color w:val="000000" w:themeColor="text1"/>
          <w:spacing w:val="40"/>
          <w:sz w:val="32"/>
          <w:szCs w:val="32"/>
        </w:rPr>
      </w:pPr>
      <w:r>
        <w:rPr>
          <w:rFonts w:ascii="黑体" w:eastAsia="黑体" w:hAnsi="黑体" w:cs="黑体" w:hint="eastAsia"/>
          <w:color w:val="000000" w:themeColor="text1"/>
          <w:spacing w:val="40"/>
          <w:sz w:val="32"/>
          <w:szCs w:val="32"/>
        </w:rPr>
        <w:t>第一部分 2019年部门预算情况说明</w:t>
      </w:r>
    </w:p>
    <w:p w14:paraId="58DF27EE" w14:textId="77777777" w:rsidR="00517CC5" w:rsidRDefault="00000000">
      <w:pPr>
        <w:pStyle w:val="a4"/>
        <w:shd w:val="clear" w:color="auto" w:fill="FFFFFF"/>
        <w:spacing w:before="0" w:beforeAutospacing="0" w:after="0" w:afterAutospacing="0" w:line="560" w:lineRule="exact"/>
        <w:ind w:firstLineChars="200" w:firstLine="560"/>
        <w:jc w:val="both"/>
        <w:rPr>
          <w:rFonts w:ascii="黑体" w:eastAsia="黑体" w:hAnsi="黑体" w:cs="黑体" w:hint="eastAsia"/>
          <w:b/>
          <w:bCs/>
          <w:color w:val="000000" w:themeColor="text1"/>
          <w:sz w:val="28"/>
          <w:szCs w:val="28"/>
        </w:rPr>
      </w:pPr>
      <w:r>
        <w:rPr>
          <w:rFonts w:ascii="黑体" w:eastAsia="黑体" w:hAnsi="黑体" w:cs="黑体" w:hint="eastAsia"/>
          <w:color w:val="000000" w:themeColor="text1"/>
          <w:sz w:val="28"/>
          <w:szCs w:val="28"/>
        </w:rPr>
        <w:t>一、部门基本情况</w:t>
      </w:r>
    </w:p>
    <w:p w14:paraId="040BB1A0" w14:textId="77777777" w:rsidR="00517CC5" w:rsidRDefault="00000000">
      <w:pPr>
        <w:widowControl/>
        <w:adjustRightInd w:val="0"/>
        <w:spacing w:line="560" w:lineRule="exact"/>
        <w:ind w:firstLineChars="200" w:firstLine="622"/>
        <w:rPr>
          <w:rFonts w:ascii="宋体" w:hAnsi="宋体" w:cs="宋体" w:hint="eastAsia"/>
          <w:b/>
          <w:bCs/>
          <w:color w:val="000000" w:themeColor="text1"/>
          <w:spacing w:val="15"/>
          <w:kern w:val="0"/>
          <w:sz w:val="28"/>
          <w:szCs w:val="28"/>
        </w:rPr>
      </w:pPr>
      <w:r>
        <w:rPr>
          <w:rFonts w:ascii="宋体" w:hAnsi="宋体" w:cs="宋体" w:hint="eastAsia"/>
          <w:b/>
          <w:bCs/>
          <w:color w:val="000000" w:themeColor="text1"/>
          <w:spacing w:val="15"/>
          <w:kern w:val="0"/>
          <w:sz w:val="28"/>
          <w:szCs w:val="28"/>
        </w:rPr>
        <w:t>（一）部门职责</w:t>
      </w:r>
    </w:p>
    <w:p w14:paraId="4FAA0AA2"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丰台区环境保护局主要职责为：</w:t>
      </w:r>
    </w:p>
    <w:p w14:paraId="4966DBF1"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1.贯彻落实国家和北京市环境保护的法律、法规、规章和政策；拟订本区环境保护总体规划并组织实施；组织编制环境保护功能区划；负责环境形势综合分析。</w:t>
      </w:r>
    </w:p>
    <w:p w14:paraId="0A108665"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2.负责本区环境问题的统筹协调和监督管理；组织协调环境污染事故和生态破坏事件的调查处理，参与突发环境事件的应急处置。</w:t>
      </w:r>
    </w:p>
    <w:p w14:paraId="37007C00"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3.负责协调、组织、落实本区污染减排目标；组织制定本区主要污染物排放总量控制计划并监督实施，实施排污许可证制度；组织实施环境保护目标责任制；督查、督办、核查有关部门、单位污染物减</w:t>
      </w:r>
      <w:proofErr w:type="gramStart"/>
      <w:r>
        <w:rPr>
          <w:rFonts w:ascii="宋体" w:hAnsi="宋体" w:cs="宋体" w:hint="eastAsia"/>
          <w:color w:val="000000" w:themeColor="text1"/>
          <w:spacing w:val="15"/>
          <w:kern w:val="0"/>
          <w:sz w:val="28"/>
          <w:szCs w:val="28"/>
        </w:rPr>
        <w:t>排任务</w:t>
      </w:r>
      <w:proofErr w:type="gramEnd"/>
      <w:r>
        <w:rPr>
          <w:rFonts w:ascii="宋体" w:hAnsi="宋体" w:cs="宋体" w:hint="eastAsia"/>
          <w:color w:val="000000" w:themeColor="text1"/>
          <w:spacing w:val="15"/>
          <w:kern w:val="0"/>
          <w:sz w:val="28"/>
          <w:szCs w:val="28"/>
        </w:rPr>
        <w:t>完成情况。</w:t>
      </w:r>
    </w:p>
    <w:p w14:paraId="28A1E564"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4.负责本区环境污染防治监督管理；负责本区水体、大气、固体废物、噪声、恶臭、化学品、机动车污染源等环境污染防治的日常监督管理；参与本区城市环境综合整治工作；负责组织开展环境保护执法检查；负责限期治理、排污申报登记、排污收费等制度的实施；参与促进清洁</w:t>
      </w:r>
      <w:r>
        <w:rPr>
          <w:rFonts w:ascii="宋体" w:hAnsi="宋体" w:cs="宋体" w:hint="eastAsia"/>
          <w:color w:val="000000" w:themeColor="text1"/>
          <w:spacing w:val="15"/>
          <w:kern w:val="0"/>
          <w:sz w:val="28"/>
          <w:szCs w:val="28"/>
        </w:rPr>
        <w:lastRenderedPageBreak/>
        <w:t>生产；会同有关部门监督管理水源防护区环境保护；组织指导街道（地区）乡镇的环境保护综合整治工作。</w:t>
      </w:r>
    </w:p>
    <w:p w14:paraId="65E9FB8D"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5.按照有关规定审批建设项目环境影响评价文件，负责建设项目主体工程与环境保护设施同时设计、同时施工、同时投产使用的监督管理，负责建设项目竣工环境保护验收，参与从源头上预防、控制环境污染和环境破坏的工作。</w:t>
      </w:r>
    </w:p>
    <w:p w14:paraId="5C644256"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6.指导、协调、监督本区生态保护工作；监督本区对生态环境有影响的自然资源开发利用活动、重要生态环境建设和生态破坏恢复工作；协调、指导农村生态保护工作。</w:t>
      </w:r>
    </w:p>
    <w:p w14:paraId="0D51CF96"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7.负责本区辐射安全的监督管理；负责编制区域内辐射环境事故应急预案并会同有关部门应急处置；负责区域内放射源和射线装置的日常监督管理。</w:t>
      </w:r>
    </w:p>
    <w:p w14:paraId="16956804"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8.负责本区环境监测和环境统计工作；组织实施环境质量监测和污染源监督性监测，编报环境质量报告书；研究并提出防治污染对策。</w:t>
      </w:r>
    </w:p>
    <w:p w14:paraId="7CC40F9B"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9.会同科技部门组织开展本区环境保护科技工作；组织、协调实施环境保护及污染治理的示范工作，推动环境保护科研成果和技术应用；参与促进环境保护产业发展，推进清洁生产。</w:t>
      </w:r>
    </w:p>
    <w:p w14:paraId="0897A952"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10.组织、指导和协调本区环境保护宣传教育工作。制定环境保护宣传教育规划并组织实施；协调开展生态文明建设和环境友好型社会建设的宣传教育工作；推动社会组织和公众参与环境保护。</w:t>
      </w:r>
    </w:p>
    <w:p w14:paraId="3D475394"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11.承办区政府交办的其他事项。</w:t>
      </w:r>
    </w:p>
    <w:p w14:paraId="745E35B8" w14:textId="77777777" w:rsidR="00517CC5" w:rsidRDefault="00000000">
      <w:pPr>
        <w:widowControl/>
        <w:adjustRightInd w:val="0"/>
        <w:spacing w:line="560" w:lineRule="exact"/>
        <w:ind w:firstLineChars="200" w:firstLine="622"/>
        <w:rPr>
          <w:rFonts w:ascii="宋体" w:hAnsi="宋体" w:cs="宋体" w:hint="eastAsia"/>
          <w:b/>
          <w:bCs/>
          <w:color w:val="000000" w:themeColor="text1"/>
          <w:spacing w:val="15"/>
          <w:kern w:val="0"/>
          <w:sz w:val="28"/>
          <w:szCs w:val="28"/>
        </w:rPr>
      </w:pPr>
      <w:r>
        <w:rPr>
          <w:rFonts w:ascii="宋体" w:hAnsi="宋体" w:cs="宋体" w:hint="eastAsia"/>
          <w:b/>
          <w:bCs/>
          <w:color w:val="000000" w:themeColor="text1"/>
          <w:spacing w:val="15"/>
          <w:kern w:val="0"/>
          <w:sz w:val="28"/>
          <w:szCs w:val="28"/>
        </w:rPr>
        <w:t>（二）人员构成情况</w:t>
      </w:r>
    </w:p>
    <w:p w14:paraId="5D3FD5B1" w14:textId="77777777" w:rsidR="00517CC5" w:rsidRDefault="00000000">
      <w:pPr>
        <w:tabs>
          <w:tab w:val="center" w:pos="6979"/>
        </w:tabs>
        <w:spacing w:line="560" w:lineRule="exact"/>
        <w:ind w:firstLineChars="200" w:firstLine="560"/>
        <w:rPr>
          <w:rFonts w:ascii="宋体" w:hAnsi="宋体" w:cs="宋体" w:hint="eastAsia"/>
          <w:b/>
          <w:bCs/>
          <w:color w:val="000000" w:themeColor="text1"/>
          <w:spacing w:val="15"/>
          <w:kern w:val="0"/>
          <w:sz w:val="28"/>
          <w:szCs w:val="28"/>
        </w:rPr>
      </w:pPr>
      <w:r>
        <w:rPr>
          <w:rFonts w:ascii="宋体" w:hAnsi="宋体" w:cs="宋体" w:hint="eastAsia"/>
          <w:color w:val="000000" w:themeColor="text1"/>
          <w:kern w:val="0"/>
          <w:sz w:val="28"/>
          <w:szCs w:val="28"/>
        </w:rPr>
        <w:t>截至2018年底，本部门共有行政编制88人，实际83人；事业编制79人，实际74人；离退休人员49人。</w:t>
      </w:r>
    </w:p>
    <w:p w14:paraId="74F5DF42" w14:textId="77777777" w:rsidR="00517CC5" w:rsidRDefault="00000000">
      <w:pPr>
        <w:widowControl/>
        <w:adjustRightInd w:val="0"/>
        <w:spacing w:line="560" w:lineRule="exact"/>
        <w:ind w:firstLineChars="200" w:firstLine="622"/>
        <w:rPr>
          <w:rFonts w:ascii="宋体" w:hAnsi="宋体" w:cs="宋体" w:hint="eastAsia"/>
          <w:b/>
          <w:bCs/>
          <w:color w:val="000000" w:themeColor="text1"/>
          <w:spacing w:val="15"/>
          <w:kern w:val="0"/>
          <w:sz w:val="28"/>
          <w:szCs w:val="28"/>
        </w:rPr>
      </w:pPr>
      <w:r>
        <w:rPr>
          <w:rFonts w:ascii="宋体" w:hAnsi="宋体" w:cs="宋体" w:hint="eastAsia"/>
          <w:b/>
          <w:bCs/>
          <w:color w:val="000000" w:themeColor="text1"/>
          <w:spacing w:val="15"/>
          <w:kern w:val="0"/>
          <w:sz w:val="28"/>
          <w:szCs w:val="28"/>
        </w:rPr>
        <w:t>（三）机构设置情况及单位性质</w:t>
      </w:r>
    </w:p>
    <w:p w14:paraId="1782DFC4"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lastRenderedPageBreak/>
        <w:t>北京市丰台区环境保护局行政本级下设有行政执法机构1个，为北京市丰台区环境监察支队；全额拨款事业单位3个，分别为：北京市丰台区机动车排放管理站、北京市丰台区环境保护监测站、丰台区环境影响评价评估中心。</w:t>
      </w:r>
    </w:p>
    <w:p w14:paraId="12CF0E30"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 xml:space="preserve">1.办公室主要职责: 负责机关日常运转工作，负责文电、会务、机要、档案等工作；承担信息、信访、议案、建议议案提案办理、安全、保密、政府信息公开等工作；承担重要事项的组织和督查工作，承担全局性重要文稿的起草工作；承担生态环境保护新闻审核和发布，负责推动社会组织和公众参与生态环境保护，负责生态环境领域固定资产投资和项目管理相关工作；参与生态保护补偿工作，承担人事、机构编制、队伍建设等工作，负责离退休人员的管理与服务工作。 </w:t>
      </w:r>
    </w:p>
    <w:p w14:paraId="2C6012D1"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 xml:space="preserve">2.财务科主要职责：承担财务、资产管理、内部审计等工作。 </w:t>
      </w:r>
    </w:p>
    <w:p w14:paraId="7CBEAB6C" w14:textId="7CDE96EC"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3.机关党委主要职责：</w:t>
      </w:r>
      <w:proofErr w:type="gramStart"/>
      <w:r>
        <w:rPr>
          <w:rFonts w:ascii="宋体" w:hAnsi="宋体" w:cs="宋体" w:hint="eastAsia"/>
          <w:color w:val="000000" w:themeColor="text1"/>
          <w:spacing w:val="15"/>
          <w:kern w:val="0"/>
          <w:sz w:val="28"/>
          <w:szCs w:val="28"/>
        </w:rPr>
        <w:t>承担局</w:t>
      </w:r>
      <w:proofErr w:type="gramEnd"/>
      <w:r>
        <w:rPr>
          <w:rFonts w:ascii="宋体" w:hAnsi="宋体" w:cs="宋体" w:hint="eastAsia"/>
          <w:color w:val="000000" w:themeColor="text1"/>
          <w:spacing w:val="15"/>
          <w:kern w:val="0"/>
          <w:sz w:val="28"/>
          <w:szCs w:val="28"/>
        </w:rPr>
        <w:t>党组落实党要管党、</w:t>
      </w:r>
      <w:r w:rsidR="00E40FF5">
        <w:rPr>
          <w:rFonts w:ascii="宋体" w:hAnsi="宋体" w:cs="宋体" w:hint="eastAsia"/>
          <w:color w:val="000000" w:themeColor="text1"/>
          <w:spacing w:val="15"/>
          <w:kern w:val="0"/>
          <w:sz w:val="28"/>
          <w:szCs w:val="28"/>
        </w:rPr>
        <w:t>全面从严治党主体责任</w:t>
      </w:r>
      <w:r>
        <w:rPr>
          <w:rFonts w:ascii="宋体" w:hAnsi="宋体" w:cs="宋体" w:hint="eastAsia"/>
          <w:color w:val="000000" w:themeColor="text1"/>
          <w:spacing w:val="15"/>
          <w:kern w:val="0"/>
          <w:sz w:val="28"/>
          <w:szCs w:val="28"/>
        </w:rPr>
        <w:t xml:space="preserve">和党风廉政建设主体责任的具体工作，负责纪律检查、党风廉政建设工作，负责党群工作。 </w:t>
      </w:r>
    </w:p>
    <w:p w14:paraId="39C343B9"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 xml:space="preserve">4.综合科主要职责：组织起草本区生态环境政策、规划，协调和审核生态环境专项规划，实施生态环境保护目标责任制，组织开展生态环境形势分析，组织生态环境保护科学研究，负责生态环境保护重大课题的调查研究。 </w:t>
      </w:r>
    </w:p>
    <w:p w14:paraId="1309E2DB"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 xml:space="preserve">5.督查科主要职责：负责本区中央和北京市生态环境保护督察整改工作的综合协调；具体组织开展对本区各部门、各街乡镇生态环境保护工作任务落实情况的督查工作。 </w:t>
      </w:r>
    </w:p>
    <w:p w14:paraId="7D50AC71"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 xml:space="preserve">6.大气污染防治科主要职责：负责本区大气污染防治的监督管理，组织拟订应对气候变化和温室气体减排的规划、政策、措施，并协调实施。 </w:t>
      </w:r>
    </w:p>
    <w:p w14:paraId="1AF476CB"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lastRenderedPageBreak/>
        <w:t xml:space="preserve">7.水生态环境科主要职责：负责本区地表水、地下水生态环境监督管理。 </w:t>
      </w:r>
    </w:p>
    <w:p w14:paraId="2F7E1A72"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8.自然生态科（土壤保护科）主要职责：组织开展生态状况评估工作，监督对生态环境有影响的自然资源开发利用活动、重要生态环境建设和生态破坏恢复工作；负责自然保护地、生态保护红</w:t>
      </w:r>
      <w:proofErr w:type="gramStart"/>
      <w:r>
        <w:rPr>
          <w:rFonts w:ascii="宋体" w:hAnsi="宋体" w:cs="宋体" w:hint="eastAsia"/>
          <w:color w:val="000000" w:themeColor="text1"/>
          <w:spacing w:val="15"/>
          <w:kern w:val="0"/>
          <w:sz w:val="28"/>
          <w:szCs w:val="28"/>
        </w:rPr>
        <w:t>线相关</w:t>
      </w:r>
      <w:proofErr w:type="gramEnd"/>
      <w:r>
        <w:rPr>
          <w:rFonts w:ascii="宋体" w:hAnsi="宋体" w:cs="宋体" w:hint="eastAsia"/>
          <w:color w:val="000000" w:themeColor="text1"/>
          <w:spacing w:val="15"/>
          <w:kern w:val="0"/>
          <w:sz w:val="28"/>
          <w:szCs w:val="28"/>
        </w:rPr>
        <w:t xml:space="preserve">监管工作，负责本区土壤污染防治、生态保护管理；组织指导农村生态环境保护工作，监督指导农业面源污染治理工作。 </w:t>
      </w:r>
    </w:p>
    <w:p w14:paraId="13C952F2"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 xml:space="preserve">9.污染源科（辐射安全管理科）（安全生产科）主要职责：负责污染源综合管理，承担污染物排放总量控制综合协调和管理工作；组织开展环境统计、污染源普查、排污权交易等工作；负责固体废物、化学品、重金属的监督管理，负责噪声污染防治工作；加挂安全生产科，承担安全生产年度或阶段性重点工作方案制定、协调督促、统计汇总、信息报送等日常运转工作。 </w:t>
      </w:r>
    </w:p>
    <w:p w14:paraId="2D7FC4FD"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 xml:space="preserve">10.行政审批科（法制科）主要职责：承担相关行政许可事项的办理及政策咨询、业务查询和信息发布工作；按权限审批政策、规划和建设项目环境影响评价文件；按权限审批辐射安全许可证，负责排污许可证的审核发放工作，负责机关推进依法行政综合工作；负责行政执法工作的监督、指导和协调，承担行政复议、行政赔偿和行政应诉的有关工作。 </w:t>
      </w:r>
    </w:p>
    <w:p w14:paraId="19B4E4CC"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11.环境监察支队主要职责：负责组织协调环境污染事故和生态破坏事件的调查处理; 拟定、修订本区空气重污染日应急工作预案；参与突发环境事件的应急处置;负责本区水体、大气、固体废物、噪声、恶臭等环境污染防治的日常监督管理;会同有关部门监督管理水源防护区环境保护工作;参与本区城市环境综合整治工作，组织开展环境保护执法检查;负责限期治理、排污申报登记、排污收费、建设项目主体工程与环境保护设施同时设计、同时施工、同时投产使用执行情况检查；负责组织实</w:t>
      </w:r>
      <w:r>
        <w:rPr>
          <w:rFonts w:ascii="宋体" w:hAnsi="宋体" w:cs="宋体" w:hint="eastAsia"/>
          <w:color w:val="000000" w:themeColor="text1"/>
          <w:spacing w:val="15"/>
          <w:kern w:val="0"/>
          <w:sz w:val="28"/>
          <w:szCs w:val="28"/>
        </w:rPr>
        <w:lastRenderedPageBreak/>
        <w:t xml:space="preserve">施本区污染源监督性在线监测；负责本区辐射安全监督管理，负责辐射应急管理工作。 </w:t>
      </w:r>
    </w:p>
    <w:p w14:paraId="4BBA1324"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 xml:space="preserve">12.环境保护监测站主要职责：负责组织实施环境质量监测和污染源监督性监测，编报环境质量报告书。 </w:t>
      </w:r>
    </w:p>
    <w:p w14:paraId="3C7D2C49"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 xml:space="preserve">13.机动车排放管理站主要职责：贯彻落实国家和市有关机动车污染控制的法律法规、政策和标准，落实市政府控制大气污染的相关措施；负责制定本区机动车排放监督检查工作计划并组织实施；负责对本区机动车尾气排放、外地进京车辆和群众举报排放超标车辆进行监督检查；负责采用遥感技术对机动车排放进行检测；负责收集、分析机动车排放的有关资料和数据。 </w:t>
      </w:r>
    </w:p>
    <w:p w14:paraId="2918CF0D"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 xml:space="preserve">14.环境影响评价评估中心主要职责：负责建设项目申报前期的现场调查；负责分析环境影响评价文件的可行性；负责组织专家对重点敏感项目进行论证及咨询；负责对本区建设项目环境影响报告书（表）及竣工验收报告等技术文件拟写技术评估意见。 </w:t>
      </w:r>
    </w:p>
    <w:p w14:paraId="37CBFA18" w14:textId="77777777" w:rsidR="00517CC5" w:rsidRDefault="00000000">
      <w:pPr>
        <w:pStyle w:val="a4"/>
        <w:shd w:val="clear" w:color="auto" w:fill="FFFFFF"/>
        <w:spacing w:before="0" w:beforeAutospacing="0" w:after="0" w:afterAutospacing="0" w:line="560" w:lineRule="exact"/>
        <w:ind w:firstLineChars="200" w:firstLine="560"/>
        <w:jc w:val="both"/>
        <w:rPr>
          <w:rFonts w:ascii="黑体" w:eastAsia="黑体" w:hAnsi="黑体" w:cs="黑体" w:hint="eastAsia"/>
          <w:color w:val="000000" w:themeColor="text1"/>
          <w:sz w:val="28"/>
          <w:szCs w:val="28"/>
        </w:rPr>
      </w:pPr>
      <w:r>
        <w:rPr>
          <w:rFonts w:ascii="黑体" w:eastAsia="黑体" w:hAnsi="黑体" w:cs="黑体" w:hint="eastAsia"/>
          <w:color w:val="000000" w:themeColor="text1"/>
          <w:sz w:val="28"/>
          <w:szCs w:val="28"/>
        </w:rPr>
        <w:t>二、2019年收入及支出总体情况</w:t>
      </w:r>
    </w:p>
    <w:p w14:paraId="2746326D"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2019年部门收入预算17718.207万元，同比2018年增加8181.6809万元，增长85.79%，原因是：污染防治投入加大。其中：财政拨款17718.207万元，上级补助收入0万元，事业收入0万元，经营收入0万元，附属单位缴款0万元，其他收入0万元，用事业基金弥补收支差额0万元，上年结转和结余0万元。</w:t>
      </w:r>
    </w:p>
    <w:p w14:paraId="4B0952EB"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2019年部门支出预算17718.207万元，比2018年增加8181.6809万元，增长85.79%，原因是：污染防治投入加大。其中基本支出预算4695.0576万元，项目支出预算13023.1494万元。按支出功能分类，一般公共服务支出4.56万元，教育支出32.75万元，社会保障和就业支出</w:t>
      </w:r>
      <w:r>
        <w:rPr>
          <w:rFonts w:ascii="宋体" w:hAnsi="宋体" w:cs="宋体" w:hint="eastAsia"/>
          <w:color w:val="000000" w:themeColor="text1"/>
          <w:spacing w:val="15"/>
          <w:kern w:val="0"/>
          <w:sz w:val="28"/>
          <w:szCs w:val="28"/>
        </w:rPr>
        <w:lastRenderedPageBreak/>
        <w:t>485.0982万元，节能环保支出16473.0907万元，住房保障支出722.7081万元。</w:t>
      </w:r>
    </w:p>
    <w:p w14:paraId="3FBEDA9C" w14:textId="77777777" w:rsidR="00517CC5" w:rsidRDefault="00000000">
      <w:pPr>
        <w:widowControl/>
        <w:adjustRightInd w:val="0"/>
        <w:spacing w:line="440" w:lineRule="exact"/>
        <w:rPr>
          <w:rFonts w:ascii="黑体" w:eastAsia="黑体" w:hAnsi="黑体" w:cs="黑体" w:hint="eastAsia"/>
          <w:color w:val="000000" w:themeColor="text1"/>
          <w:kern w:val="0"/>
          <w:sz w:val="28"/>
          <w:szCs w:val="28"/>
        </w:rPr>
      </w:pPr>
      <w:r>
        <w:rPr>
          <w:rFonts w:ascii="宋体" w:hAnsi="宋体" w:cs="宋体"/>
          <w:b/>
          <w:color w:val="000000" w:themeColor="text1"/>
          <w:spacing w:val="15"/>
          <w:kern w:val="0"/>
          <w:sz w:val="28"/>
          <w:szCs w:val="28"/>
        </w:rPr>
        <w:t xml:space="preserve"> </w:t>
      </w:r>
      <w:r>
        <w:rPr>
          <w:rFonts w:ascii="黑体" w:eastAsia="黑体" w:hAnsi="黑体" w:cs="黑体" w:hint="eastAsia"/>
          <w:color w:val="000000" w:themeColor="text1"/>
          <w:kern w:val="0"/>
          <w:sz w:val="28"/>
          <w:szCs w:val="28"/>
        </w:rPr>
        <w:t xml:space="preserve">   三、主要支出内容</w:t>
      </w:r>
    </w:p>
    <w:p w14:paraId="17D57954"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上述支出中，主要用于以下内容：</w:t>
      </w:r>
    </w:p>
    <w:p w14:paraId="739C3925"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1.行政机关、事业单位人员工资及日常运转经费；</w:t>
      </w:r>
    </w:p>
    <w:p w14:paraId="4B493208"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2.节能环保事业支出，主要为环境质量监测、环境执法监察、机动车尾气排放检测和执法、环境公共信息服务、环境应急管理、环境信息化运维等经费。项目支出预算中专项资金主要安排了燃气</w:t>
      </w:r>
      <w:proofErr w:type="gramStart"/>
      <w:r>
        <w:rPr>
          <w:rFonts w:ascii="宋体" w:hAnsi="宋体" w:cs="宋体" w:hint="eastAsia"/>
          <w:color w:val="000000" w:themeColor="text1"/>
          <w:spacing w:val="15"/>
          <w:kern w:val="0"/>
          <w:sz w:val="28"/>
          <w:szCs w:val="28"/>
        </w:rPr>
        <w:t>锅炉低氮燃烧</w:t>
      </w:r>
      <w:proofErr w:type="gramEnd"/>
      <w:r>
        <w:rPr>
          <w:rFonts w:ascii="宋体" w:hAnsi="宋体" w:cs="宋体" w:hint="eastAsia"/>
          <w:color w:val="000000" w:themeColor="text1"/>
          <w:spacing w:val="15"/>
          <w:kern w:val="0"/>
          <w:sz w:val="28"/>
          <w:szCs w:val="28"/>
        </w:rPr>
        <w:t>技术改造补助资金、委托监测费用、丰台区颗粒物来源解析项目费用、丰台区第二次全国污染源普查预算经费等。</w:t>
      </w:r>
    </w:p>
    <w:p w14:paraId="521144D5" w14:textId="77777777" w:rsidR="00517CC5" w:rsidRDefault="00000000">
      <w:pPr>
        <w:spacing w:line="560" w:lineRule="exact"/>
        <w:ind w:firstLineChars="200" w:firstLine="560"/>
        <w:rPr>
          <w:rFonts w:ascii="黑体" w:eastAsia="黑体" w:hAnsi="黑体" w:cs="黑体" w:hint="eastAsia"/>
          <w:color w:val="000000" w:themeColor="text1"/>
          <w:sz w:val="28"/>
          <w:szCs w:val="36"/>
        </w:rPr>
      </w:pPr>
      <w:r>
        <w:rPr>
          <w:rFonts w:ascii="黑体" w:eastAsia="黑体" w:hAnsi="黑体" w:cs="黑体" w:hint="eastAsia"/>
          <w:color w:val="000000" w:themeColor="text1"/>
          <w:sz w:val="28"/>
          <w:szCs w:val="36"/>
        </w:rPr>
        <w:t>四、政府采购情况说明</w:t>
      </w:r>
    </w:p>
    <w:p w14:paraId="7B8A76BE"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2019年政府采购预算总额为1980.8311万元，其中：政府采购货物预算859.3933万元，政府采购工程预算0万元，政府采购服务预算1121.4378万元。</w:t>
      </w:r>
    </w:p>
    <w:p w14:paraId="09FA4F49" w14:textId="77777777" w:rsidR="00517CC5" w:rsidRDefault="00000000">
      <w:pPr>
        <w:spacing w:line="560" w:lineRule="exact"/>
        <w:ind w:firstLineChars="200" w:firstLine="560"/>
        <w:rPr>
          <w:rFonts w:ascii="黑体" w:eastAsia="黑体" w:hAnsi="黑体" w:cs="黑体" w:hint="eastAsia"/>
          <w:color w:val="000000" w:themeColor="text1"/>
          <w:sz w:val="28"/>
          <w:szCs w:val="36"/>
        </w:rPr>
      </w:pPr>
      <w:r>
        <w:rPr>
          <w:rFonts w:ascii="黑体" w:eastAsia="黑体" w:hAnsi="黑体" w:cs="黑体" w:hint="eastAsia"/>
          <w:color w:val="000000" w:themeColor="text1"/>
          <w:sz w:val="28"/>
          <w:szCs w:val="36"/>
        </w:rPr>
        <w:t>五、机关运行经费财政拨款预算安排说明</w:t>
      </w:r>
    </w:p>
    <w:p w14:paraId="62C06B86"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2019年本部门行政单位（含参照公务员法管理事业单位）履行一般行政管理职能、维持机关运行，用财政拨款安排的基本支出中的日常公用经费合计315.46万元，主要用于：办公及印刷、水电费、邮电费、会议培训、日常维修及工会会费等。</w:t>
      </w:r>
    </w:p>
    <w:p w14:paraId="0AE9E2E0" w14:textId="77777777" w:rsidR="00517CC5" w:rsidRDefault="00000000">
      <w:pPr>
        <w:spacing w:line="560" w:lineRule="exact"/>
        <w:ind w:firstLineChars="200" w:firstLine="560"/>
        <w:rPr>
          <w:rFonts w:ascii="黑体" w:eastAsia="黑体" w:hAnsi="黑体" w:cs="黑体" w:hint="eastAsia"/>
          <w:color w:val="000000" w:themeColor="text1"/>
          <w:sz w:val="28"/>
          <w:szCs w:val="36"/>
        </w:rPr>
      </w:pPr>
      <w:r>
        <w:rPr>
          <w:rFonts w:ascii="黑体" w:eastAsia="黑体" w:hAnsi="黑体" w:cs="黑体" w:hint="eastAsia"/>
          <w:color w:val="000000" w:themeColor="text1"/>
          <w:sz w:val="28"/>
          <w:szCs w:val="36"/>
        </w:rPr>
        <w:t>六、行政事业性收费重点项目信息说明</w:t>
      </w:r>
    </w:p>
    <w:p w14:paraId="49B17421"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本单位不涉及此项内容。</w:t>
      </w:r>
    </w:p>
    <w:p w14:paraId="37C0FE24" w14:textId="77777777" w:rsidR="00517CC5" w:rsidRDefault="00000000">
      <w:pPr>
        <w:spacing w:line="560" w:lineRule="exact"/>
        <w:ind w:firstLineChars="200" w:firstLine="560"/>
        <w:rPr>
          <w:rFonts w:ascii="黑体" w:eastAsia="黑体" w:hAnsi="黑体" w:cs="黑体" w:hint="eastAsia"/>
          <w:color w:val="000000" w:themeColor="text1"/>
          <w:sz w:val="28"/>
          <w:szCs w:val="36"/>
        </w:rPr>
      </w:pPr>
      <w:r>
        <w:rPr>
          <w:rFonts w:ascii="黑体" w:eastAsia="黑体" w:hAnsi="黑体" w:cs="黑体" w:hint="eastAsia"/>
          <w:color w:val="000000" w:themeColor="text1"/>
          <w:sz w:val="28"/>
          <w:szCs w:val="36"/>
        </w:rPr>
        <w:t>七、固定资产占用使用情况说明</w:t>
      </w:r>
    </w:p>
    <w:p w14:paraId="01E270FE"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截止2018年底，本部门（包括各下属单位）固定资产总额3797.23万元，其中：车辆7台，152.42万元；单位价值50万元以上的通用设备8台（套）、699.02万元，单位价值100万元以上的专用设备3台（套）、458.92万元。</w:t>
      </w:r>
    </w:p>
    <w:p w14:paraId="67155F71" w14:textId="77777777" w:rsidR="00517CC5" w:rsidRDefault="00000000">
      <w:pPr>
        <w:spacing w:line="560" w:lineRule="exact"/>
        <w:ind w:firstLineChars="200" w:firstLine="560"/>
        <w:rPr>
          <w:rFonts w:ascii="黑体" w:eastAsia="黑体" w:hAnsi="黑体" w:cs="黑体" w:hint="eastAsia"/>
          <w:color w:val="000000" w:themeColor="text1"/>
          <w:sz w:val="28"/>
          <w:szCs w:val="36"/>
        </w:rPr>
      </w:pPr>
      <w:r>
        <w:rPr>
          <w:rFonts w:ascii="黑体" w:eastAsia="黑体" w:hAnsi="黑体" w:cs="黑体" w:hint="eastAsia"/>
          <w:color w:val="000000" w:themeColor="text1"/>
          <w:sz w:val="28"/>
          <w:szCs w:val="36"/>
        </w:rPr>
        <w:lastRenderedPageBreak/>
        <w:t>八、部门"三公"经费财政拨款预算说明</w:t>
      </w:r>
    </w:p>
    <w:p w14:paraId="39FB6179" w14:textId="77777777" w:rsidR="00517CC5" w:rsidRDefault="00000000">
      <w:pPr>
        <w:pStyle w:val="a4"/>
        <w:shd w:val="clear" w:color="auto" w:fill="FFFFFF"/>
        <w:spacing w:before="0" w:beforeAutospacing="0" w:after="0" w:afterAutospacing="0" w:line="560" w:lineRule="exact"/>
        <w:ind w:firstLineChars="200" w:firstLine="562"/>
        <w:rPr>
          <w:rFonts w:hint="eastAsia"/>
          <w:color w:val="000000" w:themeColor="text1"/>
          <w:sz w:val="28"/>
          <w:szCs w:val="28"/>
          <w:shd w:val="clear" w:color="auto" w:fill="FFFFFF"/>
        </w:rPr>
      </w:pPr>
      <w:r>
        <w:rPr>
          <w:rFonts w:hint="eastAsia"/>
          <w:b/>
          <w:bCs/>
          <w:color w:val="000000" w:themeColor="text1"/>
          <w:sz w:val="28"/>
          <w:szCs w:val="28"/>
          <w:shd w:val="clear" w:color="auto" w:fill="FFFFFF"/>
        </w:rPr>
        <w:t xml:space="preserve"> </w:t>
      </w:r>
      <w:r>
        <w:rPr>
          <w:rFonts w:hint="eastAsia"/>
          <w:color w:val="000000" w:themeColor="text1"/>
          <w:sz w:val="28"/>
          <w:szCs w:val="28"/>
          <w:shd w:val="clear" w:color="auto" w:fill="FFFFFF"/>
        </w:rPr>
        <w:t>2019年部门预算“三公”经费财政拨款预算安排22.31万元，与2018年“三公”经费财政拨款预算持平。</w:t>
      </w:r>
    </w:p>
    <w:p w14:paraId="7BD72D41" w14:textId="77777777" w:rsidR="00517CC5" w:rsidRDefault="00000000">
      <w:pPr>
        <w:widowControl/>
        <w:adjustRightInd w:val="0"/>
        <w:spacing w:line="560" w:lineRule="exact"/>
        <w:ind w:firstLineChars="200" w:firstLine="622"/>
        <w:rPr>
          <w:rFonts w:ascii="宋体" w:hAnsi="宋体" w:cs="宋体" w:hint="eastAsia"/>
          <w:b/>
          <w:bCs/>
          <w:color w:val="000000" w:themeColor="text1"/>
          <w:spacing w:val="15"/>
          <w:kern w:val="0"/>
          <w:sz w:val="28"/>
          <w:szCs w:val="28"/>
        </w:rPr>
      </w:pPr>
      <w:r>
        <w:rPr>
          <w:rFonts w:ascii="宋体" w:hAnsi="宋体" w:cs="宋体" w:hint="eastAsia"/>
          <w:b/>
          <w:bCs/>
          <w:color w:val="000000" w:themeColor="text1"/>
          <w:spacing w:val="15"/>
          <w:kern w:val="0"/>
          <w:sz w:val="28"/>
          <w:szCs w:val="28"/>
        </w:rPr>
        <w:t>（一）因公出国（境）费用</w:t>
      </w:r>
    </w:p>
    <w:p w14:paraId="08F00FB3"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2019年度无因公出国（境）费用预算。</w:t>
      </w:r>
    </w:p>
    <w:p w14:paraId="7C970DE1" w14:textId="77777777" w:rsidR="00517CC5" w:rsidRDefault="00000000">
      <w:pPr>
        <w:widowControl/>
        <w:adjustRightInd w:val="0"/>
        <w:spacing w:line="560" w:lineRule="exact"/>
        <w:ind w:firstLineChars="200" w:firstLine="622"/>
        <w:rPr>
          <w:rFonts w:ascii="宋体" w:hAnsi="宋体" w:cs="宋体" w:hint="eastAsia"/>
          <w:b/>
          <w:bCs/>
          <w:color w:val="000000" w:themeColor="text1"/>
          <w:spacing w:val="15"/>
          <w:kern w:val="0"/>
          <w:sz w:val="28"/>
          <w:szCs w:val="28"/>
        </w:rPr>
      </w:pPr>
      <w:r>
        <w:rPr>
          <w:rFonts w:ascii="宋体" w:hAnsi="宋体" w:cs="宋体" w:hint="eastAsia"/>
          <w:b/>
          <w:bCs/>
          <w:color w:val="000000" w:themeColor="text1"/>
          <w:spacing w:val="15"/>
          <w:kern w:val="0"/>
          <w:sz w:val="28"/>
          <w:szCs w:val="28"/>
        </w:rPr>
        <w:t>（二）公务接待费</w:t>
      </w:r>
    </w:p>
    <w:p w14:paraId="49FC785C"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2019年财政拨款预算安排2.71万元，主要用于接待环保系统检查、调研等接待费用，与2018年财政拨款预算安排数持平。</w:t>
      </w:r>
    </w:p>
    <w:p w14:paraId="75A23291" w14:textId="77777777" w:rsidR="00517CC5" w:rsidRDefault="00000000">
      <w:pPr>
        <w:widowControl/>
        <w:adjustRightInd w:val="0"/>
        <w:spacing w:line="560" w:lineRule="exact"/>
        <w:ind w:firstLineChars="200" w:firstLine="622"/>
        <w:rPr>
          <w:rFonts w:ascii="宋体" w:hAnsi="宋体" w:cs="宋体" w:hint="eastAsia"/>
          <w:b/>
          <w:bCs/>
          <w:color w:val="000000" w:themeColor="text1"/>
          <w:spacing w:val="15"/>
          <w:kern w:val="0"/>
          <w:sz w:val="28"/>
          <w:szCs w:val="28"/>
        </w:rPr>
      </w:pPr>
      <w:r>
        <w:rPr>
          <w:rFonts w:ascii="宋体" w:hAnsi="宋体" w:cs="宋体" w:hint="eastAsia"/>
          <w:b/>
          <w:bCs/>
          <w:color w:val="000000" w:themeColor="text1"/>
          <w:spacing w:val="15"/>
          <w:kern w:val="0"/>
          <w:sz w:val="28"/>
          <w:szCs w:val="28"/>
        </w:rPr>
        <w:t>（三）公务用车购置和运行维护费</w:t>
      </w:r>
    </w:p>
    <w:p w14:paraId="6A7ADA03"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2019年财政拨款预算安排19.6万元，与2018年财政拨款预算安排数持平，其中：公务用车运行维护费2019年预算数19.6万元，与2018年财政拨款预算安排数持平。</w:t>
      </w:r>
    </w:p>
    <w:p w14:paraId="060A9051" w14:textId="77777777" w:rsidR="00517CC5" w:rsidRDefault="00000000">
      <w:pPr>
        <w:spacing w:line="560" w:lineRule="exact"/>
        <w:ind w:firstLineChars="200" w:firstLine="560"/>
        <w:rPr>
          <w:rFonts w:ascii="黑体" w:eastAsia="黑体" w:hAnsi="黑体" w:cs="黑体" w:hint="eastAsia"/>
          <w:color w:val="000000" w:themeColor="text1"/>
          <w:sz w:val="28"/>
          <w:szCs w:val="36"/>
        </w:rPr>
      </w:pPr>
      <w:r>
        <w:rPr>
          <w:rFonts w:ascii="黑体" w:eastAsia="黑体" w:hAnsi="黑体" w:cs="黑体" w:hint="eastAsia"/>
          <w:color w:val="000000" w:themeColor="text1"/>
          <w:sz w:val="28"/>
          <w:szCs w:val="36"/>
        </w:rPr>
        <w:t>九、预算绩效管理情况说明</w:t>
      </w:r>
    </w:p>
    <w:p w14:paraId="5E4F2421"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2019年，丰台区环境保护局填报绩效目标的预算项目5个，占本部门全部预算项目37个的13.51%。填报绩效目标的项目支出预算  10947.765万元，占本部门全部项目支出预算的84.06%。</w:t>
      </w:r>
    </w:p>
    <w:p w14:paraId="1D29E261" w14:textId="77777777" w:rsidR="00517CC5" w:rsidRDefault="00000000">
      <w:pPr>
        <w:numPr>
          <w:ilvl w:val="0"/>
          <w:numId w:val="1"/>
        </w:numPr>
        <w:spacing w:line="560" w:lineRule="exact"/>
        <w:ind w:firstLineChars="200" w:firstLine="560"/>
        <w:rPr>
          <w:rFonts w:ascii="黑体" w:eastAsia="黑体" w:hAnsi="黑体" w:cs="黑体" w:hint="eastAsia"/>
          <w:color w:val="000000" w:themeColor="text1"/>
          <w:sz w:val="28"/>
          <w:szCs w:val="36"/>
        </w:rPr>
      </w:pPr>
      <w:r>
        <w:rPr>
          <w:rFonts w:ascii="黑体" w:eastAsia="黑体" w:hAnsi="黑体" w:cs="黑体" w:hint="eastAsia"/>
          <w:color w:val="000000" w:themeColor="text1"/>
          <w:sz w:val="28"/>
          <w:szCs w:val="36"/>
        </w:rPr>
        <w:t>其他事项说明</w:t>
      </w:r>
    </w:p>
    <w:p w14:paraId="6ADE554A" w14:textId="77777777" w:rsidR="00517CC5" w:rsidRDefault="00000000">
      <w:pPr>
        <w:widowControl/>
        <w:adjustRightInd w:val="0"/>
        <w:spacing w:line="560" w:lineRule="exact"/>
        <w:ind w:firstLineChars="200" w:firstLine="620"/>
        <w:rPr>
          <w:rFonts w:ascii="宋体" w:hAnsi="宋体" w:cs="宋体" w:hint="eastAsia"/>
          <w:color w:val="000000" w:themeColor="text1"/>
          <w:spacing w:val="15"/>
          <w:kern w:val="0"/>
          <w:sz w:val="28"/>
          <w:szCs w:val="28"/>
        </w:rPr>
      </w:pPr>
      <w:r>
        <w:rPr>
          <w:rFonts w:ascii="宋体" w:hAnsi="宋体" w:cs="宋体" w:hint="eastAsia"/>
          <w:color w:val="000000" w:themeColor="text1"/>
          <w:spacing w:val="15"/>
          <w:kern w:val="0"/>
          <w:sz w:val="28"/>
          <w:szCs w:val="28"/>
        </w:rPr>
        <w:t>无。</w:t>
      </w:r>
    </w:p>
    <w:p w14:paraId="6E7ADE9B" w14:textId="77777777" w:rsidR="00517CC5" w:rsidRDefault="00000000">
      <w:pPr>
        <w:spacing w:line="560" w:lineRule="exact"/>
        <w:ind w:firstLineChars="200" w:firstLine="560"/>
        <w:rPr>
          <w:rFonts w:ascii="黑体" w:eastAsia="黑体" w:hAnsi="黑体" w:cs="黑体" w:hint="eastAsia"/>
          <w:color w:val="000000" w:themeColor="text1"/>
          <w:sz w:val="28"/>
          <w:szCs w:val="36"/>
        </w:rPr>
      </w:pPr>
      <w:r>
        <w:rPr>
          <w:rFonts w:ascii="黑体" w:eastAsia="黑体" w:hAnsi="黑体" w:cs="黑体" w:hint="eastAsia"/>
          <w:color w:val="000000" w:themeColor="text1"/>
          <w:sz w:val="28"/>
          <w:szCs w:val="36"/>
        </w:rPr>
        <w:t>十一、专业名词解释</w:t>
      </w:r>
    </w:p>
    <w:p w14:paraId="7ABAE1B5" w14:textId="77777777" w:rsidR="00517CC5" w:rsidRDefault="00000000">
      <w:pPr>
        <w:widowControl/>
        <w:adjustRightInd w:val="0"/>
        <w:spacing w:line="560" w:lineRule="exact"/>
        <w:ind w:firstLineChars="200" w:firstLine="622"/>
        <w:rPr>
          <w:rFonts w:ascii="宋体" w:hAnsi="宋体" w:cs="宋体" w:hint="eastAsia"/>
          <w:color w:val="000000" w:themeColor="text1"/>
          <w:spacing w:val="15"/>
          <w:kern w:val="0"/>
          <w:sz w:val="28"/>
          <w:szCs w:val="28"/>
        </w:rPr>
      </w:pPr>
      <w:r>
        <w:rPr>
          <w:rFonts w:ascii="宋体" w:hAnsi="宋体" w:cs="宋体" w:hint="eastAsia"/>
          <w:b/>
          <w:bCs/>
          <w:color w:val="000000" w:themeColor="text1"/>
          <w:spacing w:val="15"/>
          <w:kern w:val="0"/>
          <w:sz w:val="28"/>
          <w:szCs w:val="28"/>
        </w:rPr>
        <w:t>预算</w:t>
      </w:r>
      <w:r>
        <w:rPr>
          <w:rFonts w:ascii="宋体" w:hAnsi="宋体" w:cs="宋体" w:hint="eastAsia"/>
          <w:color w:val="000000" w:themeColor="text1"/>
          <w:spacing w:val="15"/>
          <w:kern w:val="0"/>
          <w:sz w:val="28"/>
          <w:szCs w:val="28"/>
        </w:rPr>
        <w:t>：指遵循统筹兼顾、勤俭节约、量力而行、讲求绩效和收支平衡的原则编制，经法定程序审核批准的国家年度集中性财政收支计划。政府的全部收入和支出都应当纳入预算，地方各级预算一般不列赤字。</w:t>
      </w:r>
    </w:p>
    <w:p w14:paraId="6E71D144" w14:textId="77777777" w:rsidR="00517CC5" w:rsidRDefault="00000000">
      <w:pPr>
        <w:widowControl/>
        <w:adjustRightInd w:val="0"/>
        <w:spacing w:line="560" w:lineRule="exact"/>
        <w:ind w:firstLineChars="200" w:firstLine="622"/>
        <w:rPr>
          <w:rFonts w:ascii="宋体" w:hAnsi="宋体" w:cs="宋体" w:hint="eastAsia"/>
          <w:color w:val="000000" w:themeColor="text1"/>
          <w:spacing w:val="15"/>
          <w:kern w:val="0"/>
          <w:sz w:val="28"/>
          <w:szCs w:val="28"/>
        </w:rPr>
      </w:pPr>
      <w:r>
        <w:rPr>
          <w:rFonts w:ascii="宋体" w:hAnsi="宋体" w:cs="宋体" w:hint="eastAsia"/>
          <w:b/>
          <w:bCs/>
          <w:color w:val="000000" w:themeColor="text1"/>
          <w:spacing w:val="15"/>
          <w:kern w:val="0"/>
          <w:sz w:val="28"/>
          <w:szCs w:val="28"/>
        </w:rPr>
        <w:t>部门预算</w:t>
      </w:r>
      <w:r>
        <w:rPr>
          <w:rFonts w:ascii="宋体" w:hAnsi="宋体" w:cs="宋体" w:hint="eastAsia"/>
          <w:color w:val="000000" w:themeColor="text1"/>
          <w:spacing w:val="15"/>
          <w:kern w:val="0"/>
          <w:sz w:val="28"/>
          <w:szCs w:val="28"/>
        </w:rPr>
        <w:t>:指与财政部门直接发生预算缴、拨款关系的国家机关、社会团体和其他单位，依据国家有关法律、法规规定及其履行职能的需要</w:t>
      </w:r>
      <w:r>
        <w:rPr>
          <w:rFonts w:ascii="宋体" w:hAnsi="宋体" w:cs="宋体" w:hint="eastAsia"/>
          <w:color w:val="000000" w:themeColor="text1"/>
          <w:spacing w:val="15"/>
          <w:kern w:val="0"/>
          <w:sz w:val="28"/>
          <w:szCs w:val="28"/>
        </w:rPr>
        <w:lastRenderedPageBreak/>
        <w:t>编制的本部门年度收支计划。部门预算的实施，严格了预算管理，增加了政府工作的透明度，是防止腐败的重要手段和预防措施之一。</w:t>
      </w:r>
    </w:p>
    <w:p w14:paraId="1F7608EE" w14:textId="77777777" w:rsidR="00517CC5" w:rsidRDefault="00000000">
      <w:pPr>
        <w:widowControl/>
        <w:adjustRightInd w:val="0"/>
        <w:spacing w:line="560" w:lineRule="exact"/>
        <w:ind w:firstLineChars="200" w:firstLine="622"/>
        <w:rPr>
          <w:rFonts w:ascii="宋体" w:hAnsi="宋体" w:cs="宋体" w:hint="eastAsia"/>
          <w:color w:val="000000" w:themeColor="text1"/>
          <w:spacing w:val="15"/>
          <w:kern w:val="0"/>
          <w:sz w:val="28"/>
          <w:szCs w:val="28"/>
        </w:rPr>
      </w:pPr>
      <w:r>
        <w:rPr>
          <w:rFonts w:ascii="宋体" w:hAnsi="宋体" w:cs="宋体" w:hint="eastAsia"/>
          <w:b/>
          <w:bCs/>
          <w:color w:val="000000" w:themeColor="text1"/>
          <w:spacing w:val="15"/>
          <w:kern w:val="0"/>
          <w:sz w:val="28"/>
          <w:szCs w:val="28"/>
        </w:rPr>
        <w:t>政府采购</w:t>
      </w:r>
      <w:r>
        <w:rPr>
          <w:rFonts w:ascii="宋体" w:hAnsi="宋体" w:cs="宋体" w:hint="eastAsia"/>
          <w:color w:val="000000" w:themeColor="text1"/>
          <w:spacing w:val="15"/>
          <w:kern w:val="0"/>
          <w:sz w:val="28"/>
          <w:szCs w:val="28"/>
        </w:rPr>
        <w:t>: 指各级国家机关、事业单位和团体组织，使用财政性资金采购依法制定的集中采购目录以内的或者采购限额标准以上的货物、工程和服务的行为。政府采购是规范财政支出管理和强化预算约束的有效措施。</w:t>
      </w:r>
    </w:p>
    <w:p w14:paraId="0E41433E" w14:textId="77777777" w:rsidR="00517CC5" w:rsidRDefault="00000000">
      <w:pPr>
        <w:widowControl/>
        <w:adjustRightInd w:val="0"/>
        <w:spacing w:line="560" w:lineRule="exact"/>
        <w:ind w:firstLineChars="200" w:firstLine="622"/>
        <w:rPr>
          <w:rFonts w:ascii="宋体" w:hAnsi="宋体" w:cs="宋体" w:hint="eastAsia"/>
          <w:color w:val="000000" w:themeColor="text1"/>
          <w:spacing w:val="15"/>
          <w:kern w:val="0"/>
          <w:sz w:val="28"/>
          <w:szCs w:val="28"/>
        </w:rPr>
      </w:pPr>
      <w:r>
        <w:rPr>
          <w:rFonts w:ascii="宋体" w:hAnsi="宋体" w:cs="宋体" w:hint="eastAsia"/>
          <w:b/>
          <w:bCs/>
          <w:color w:val="000000" w:themeColor="text1"/>
          <w:spacing w:val="15"/>
          <w:kern w:val="0"/>
          <w:sz w:val="28"/>
          <w:szCs w:val="28"/>
        </w:rPr>
        <w:t>机关运行经费</w:t>
      </w:r>
      <w:r>
        <w:rPr>
          <w:rFonts w:ascii="宋体" w:hAnsi="宋体" w:cs="宋体" w:hint="eastAsia"/>
          <w:color w:val="000000" w:themeColor="text1"/>
          <w:spacing w:val="15"/>
          <w:kern w:val="0"/>
          <w:sz w:val="28"/>
          <w:szCs w:val="28"/>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8BD5E83" w14:textId="77777777" w:rsidR="00517CC5" w:rsidRDefault="00000000">
      <w:pPr>
        <w:widowControl/>
        <w:adjustRightInd w:val="0"/>
        <w:spacing w:line="560" w:lineRule="exact"/>
        <w:ind w:firstLineChars="200" w:firstLine="622"/>
        <w:rPr>
          <w:rFonts w:ascii="宋体" w:hAnsi="宋体" w:cs="宋体" w:hint="eastAsia"/>
          <w:color w:val="000000" w:themeColor="text1"/>
          <w:spacing w:val="15"/>
          <w:kern w:val="0"/>
          <w:sz w:val="28"/>
          <w:szCs w:val="28"/>
        </w:rPr>
      </w:pPr>
      <w:r>
        <w:rPr>
          <w:rFonts w:ascii="宋体" w:hAnsi="宋体" w:cs="宋体" w:hint="eastAsia"/>
          <w:b/>
          <w:bCs/>
          <w:color w:val="000000" w:themeColor="text1"/>
          <w:spacing w:val="15"/>
          <w:kern w:val="0"/>
          <w:sz w:val="28"/>
          <w:szCs w:val="28"/>
        </w:rPr>
        <w:t>“三公”经费</w:t>
      </w:r>
      <w:r>
        <w:rPr>
          <w:rFonts w:ascii="宋体" w:hAnsi="宋体" w:cs="宋体" w:hint="eastAsia"/>
          <w:color w:val="000000" w:themeColor="text1"/>
          <w:spacing w:val="15"/>
          <w:kern w:val="0"/>
          <w:sz w:val="28"/>
          <w:szCs w:val="28"/>
        </w:rPr>
        <w:t>：指因公出国（境）费、公务用车购置及运行维护费和公务接待费。其中，因公出国（境）</w:t>
      </w:r>
      <w:proofErr w:type="gramStart"/>
      <w:r>
        <w:rPr>
          <w:rFonts w:ascii="宋体" w:hAnsi="宋体" w:cs="宋体" w:hint="eastAsia"/>
          <w:color w:val="000000" w:themeColor="text1"/>
          <w:spacing w:val="15"/>
          <w:kern w:val="0"/>
          <w:sz w:val="28"/>
          <w:szCs w:val="28"/>
        </w:rPr>
        <w:t>费反映</w:t>
      </w:r>
      <w:proofErr w:type="gramEnd"/>
      <w:r>
        <w:rPr>
          <w:rFonts w:ascii="宋体" w:hAnsi="宋体" w:cs="宋体" w:hint="eastAsia"/>
          <w:color w:val="000000" w:themeColor="text1"/>
          <w:spacing w:val="15"/>
          <w:kern w:val="0"/>
          <w:sz w:val="28"/>
          <w:szCs w:val="28"/>
        </w:rPr>
        <w:t>单位公务出国（境）的国际旅费、国外城市间交通费、住宿费、伙食费、培训费、公杂费等支出；公务用车运行维护费反映单位按规定保留的公务用车租用费、燃料费、维修费、过路过桥费、保险费、安全奖励费用等支出；公务接待</w:t>
      </w:r>
      <w:proofErr w:type="gramStart"/>
      <w:r>
        <w:rPr>
          <w:rFonts w:ascii="宋体" w:hAnsi="宋体" w:cs="宋体" w:hint="eastAsia"/>
          <w:color w:val="000000" w:themeColor="text1"/>
          <w:spacing w:val="15"/>
          <w:kern w:val="0"/>
          <w:sz w:val="28"/>
          <w:szCs w:val="28"/>
        </w:rPr>
        <w:t>费反映</w:t>
      </w:r>
      <w:proofErr w:type="gramEnd"/>
      <w:r>
        <w:rPr>
          <w:rFonts w:ascii="宋体" w:hAnsi="宋体" w:cs="宋体" w:hint="eastAsia"/>
          <w:color w:val="000000" w:themeColor="text1"/>
          <w:spacing w:val="15"/>
          <w:kern w:val="0"/>
          <w:sz w:val="28"/>
          <w:szCs w:val="28"/>
        </w:rPr>
        <w:t>单位按规定开支的各类公务接待（含外宾接待）支出。</w:t>
      </w:r>
    </w:p>
    <w:p w14:paraId="13DFC240" w14:textId="77777777" w:rsidR="00517CC5" w:rsidRDefault="00000000">
      <w:pPr>
        <w:tabs>
          <w:tab w:val="left" w:pos="630"/>
        </w:tabs>
        <w:spacing w:beforeLines="50" w:before="156" w:afterLines="50" w:after="156" w:line="560" w:lineRule="exact"/>
        <w:jc w:val="center"/>
        <w:rPr>
          <w:rFonts w:ascii="黑体" w:eastAsia="黑体" w:hAnsi="黑体" w:cs="黑体" w:hint="eastAsia"/>
          <w:color w:val="000000" w:themeColor="text1"/>
          <w:spacing w:val="40"/>
          <w:sz w:val="32"/>
          <w:szCs w:val="32"/>
        </w:rPr>
      </w:pPr>
      <w:r>
        <w:rPr>
          <w:rFonts w:ascii="黑体" w:eastAsia="黑体" w:hAnsi="黑体" w:cs="黑体" w:hint="eastAsia"/>
          <w:color w:val="000000" w:themeColor="text1"/>
          <w:spacing w:val="40"/>
          <w:sz w:val="32"/>
          <w:szCs w:val="32"/>
        </w:rPr>
        <w:t>第二部分 2019年部门预算表</w:t>
      </w:r>
    </w:p>
    <w:p w14:paraId="0A2BD211" w14:textId="77777777" w:rsidR="00517CC5" w:rsidRDefault="00000000">
      <w:pPr>
        <w:ind w:firstLineChars="100" w:firstLine="281"/>
        <w:jc w:val="left"/>
        <w:rPr>
          <w:rFonts w:ascii="宋体" w:hAnsi="宋体" w:cs="宋体" w:hint="eastAsia"/>
          <w:b/>
          <w:bCs/>
          <w:color w:val="000000" w:themeColor="text1"/>
          <w:sz w:val="28"/>
          <w:szCs w:val="28"/>
        </w:rPr>
      </w:pPr>
      <w:r>
        <w:rPr>
          <w:rFonts w:ascii="宋体" w:hAnsi="宋体" w:cs="宋体" w:hint="eastAsia"/>
          <w:b/>
          <w:bCs/>
          <w:color w:val="000000" w:themeColor="text1"/>
          <w:sz w:val="28"/>
          <w:szCs w:val="28"/>
        </w:rPr>
        <w:t xml:space="preserve">  </w:t>
      </w:r>
    </w:p>
    <w:p w14:paraId="4E268E39" w14:textId="77777777" w:rsidR="00517CC5" w:rsidRDefault="00517CC5">
      <w:pPr>
        <w:widowControl/>
        <w:spacing w:line="440" w:lineRule="exact"/>
        <w:jc w:val="center"/>
        <w:rPr>
          <w:rFonts w:ascii="宋体" w:hAnsi="宋体" w:cs="宋体" w:hint="eastAsia"/>
          <w:b/>
          <w:color w:val="000000" w:themeColor="text1"/>
          <w:spacing w:val="15"/>
          <w:kern w:val="0"/>
          <w:sz w:val="36"/>
          <w:szCs w:val="36"/>
        </w:rPr>
      </w:pPr>
    </w:p>
    <w:p w14:paraId="382AF574" w14:textId="77777777" w:rsidR="00517CC5" w:rsidRDefault="00517CC5">
      <w:pPr>
        <w:widowControl/>
        <w:spacing w:line="440" w:lineRule="exact"/>
        <w:jc w:val="center"/>
        <w:rPr>
          <w:rFonts w:ascii="宋体" w:hAnsi="宋体" w:cs="宋体" w:hint="eastAsia"/>
          <w:b/>
          <w:color w:val="000000" w:themeColor="text1"/>
          <w:spacing w:val="15"/>
          <w:kern w:val="0"/>
          <w:sz w:val="36"/>
          <w:szCs w:val="36"/>
        </w:rPr>
      </w:pPr>
    </w:p>
    <w:p w14:paraId="63172753" w14:textId="77777777" w:rsidR="00517CC5" w:rsidRDefault="00517CC5">
      <w:pPr>
        <w:widowControl/>
        <w:spacing w:line="440" w:lineRule="exact"/>
        <w:jc w:val="center"/>
        <w:rPr>
          <w:rFonts w:ascii="宋体" w:hAnsi="宋体" w:cs="宋体" w:hint="eastAsia"/>
          <w:b/>
          <w:color w:val="000000" w:themeColor="text1"/>
          <w:spacing w:val="15"/>
          <w:kern w:val="0"/>
          <w:sz w:val="36"/>
          <w:szCs w:val="36"/>
        </w:rPr>
      </w:pPr>
    </w:p>
    <w:sectPr w:rsidR="00517CC5">
      <w:footerReference w:type="even" r:id="rId8"/>
      <w:footerReference w:type="default" r:id="rId9"/>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F7CFA" w14:textId="77777777" w:rsidR="00A52237" w:rsidRDefault="00A52237">
      <w:r>
        <w:separator/>
      </w:r>
    </w:p>
  </w:endnote>
  <w:endnote w:type="continuationSeparator" w:id="0">
    <w:p w14:paraId="6BB0F394" w14:textId="77777777" w:rsidR="00A52237" w:rsidRDefault="00A5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47E0D" w14:textId="77777777" w:rsidR="00517CC5" w:rsidRDefault="0000000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D4497E2" w14:textId="77777777" w:rsidR="00517CC5" w:rsidRDefault="00517CC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4E2C" w14:textId="77777777" w:rsidR="00517CC5" w:rsidRDefault="0000000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4</w:t>
    </w:r>
    <w:r>
      <w:rPr>
        <w:rStyle w:val="a6"/>
      </w:rPr>
      <w:fldChar w:fldCharType="end"/>
    </w:r>
  </w:p>
  <w:p w14:paraId="41DED6CF" w14:textId="77777777" w:rsidR="00517CC5" w:rsidRDefault="00517C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E7F95" w14:textId="77777777" w:rsidR="00A52237" w:rsidRDefault="00A52237">
      <w:r>
        <w:separator/>
      </w:r>
    </w:p>
  </w:footnote>
  <w:footnote w:type="continuationSeparator" w:id="0">
    <w:p w14:paraId="1CE8182F" w14:textId="77777777" w:rsidR="00A52237" w:rsidRDefault="00A52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E75F1D"/>
    <w:multiLevelType w:val="singleLevel"/>
    <w:tmpl w:val="C4E75F1D"/>
    <w:lvl w:ilvl="0">
      <w:start w:val="10"/>
      <w:numFmt w:val="chineseCounting"/>
      <w:suff w:val="nothing"/>
      <w:lvlText w:val="%1、"/>
      <w:lvlJc w:val="left"/>
      <w:rPr>
        <w:rFonts w:hint="eastAsia"/>
      </w:rPr>
    </w:lvl>
  </w:abstractNum>
  <w:num w:numId="1" w16cid:durableId="176495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37B4636"/>
    <w:rsid w:val="000E1E42"/>
    <w:rsid w:val="00263A60"/>
    <w:rsid w:val="00271986"/>
    <w:rsid w:val="00517CC5"/>
    <w:rsid w:val="00803E09"/>
    <w:rsid w:val="00A160DB"/>
    <w:rsid w:val="00A52237"/>
    <w:rsid w:val="00E40FF5"/>
    <w:rsid w:val="014E20C9"/>
    <w:rsid w:val="08512A69"/>
    <w:rsid w:val="114811C7"/>
    <w:rsid w:val="224D214B"/>
    <w:rsid w:val="22A91E90"/>
    <w:rsid w:val="38DF1967"/>
    <w:rsid w:val="3ED43509"/>
    <w:rsid w:val="52C03B6D"/>
    <w:rsid w:val="591A035E"/>
    <w:rsid w:val="637B4636"/>
    <w:rsid w:val="71282B30"/>
    <w:rsid w:val="75657432"/>
    <w:rsid w:val="7B72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398C2"/>
  <w15:docId w15:val="{1487178F-2349-44FA-BFF8-1A79FB85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Pr>
      <w:b/>
      <w:bCs/>
    </w:rPr>
  </w:style>
  <w:style w:type="character" w:styleId="a6">
    <w:name w:val="page number"/>
    <w:basedOn w:val="a0"/>
    <w:qFormat/>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马常平</dc:creator>
  <cp:lastModifiedBy>子强 周</cp:lastModifiedBy>
  <cp:revision>4</cp:revision>
  <dcterms:created xsi:type="dcterms:W3CDTF">2021-06-07T06:17:00Z</dcterms:created>
  <dcterms:modified xsi:type="dcterms:W3CDTF">2024-10-28T08:01:00Z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BBC99139B3C048B4BD53A823DC2B5D6B</vt:lpwstr>
  </property>
</Properties>
</file>