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24" w:rsidRDefault="00576F24" w:rsidP="00576F24">
      <w:pPr>
        <w:pStyle w:val="a3"/>
        <w:adjustRightInd w:val="0"/>
        <w:snapToGrid w:val="0"/>
        <w:spacing w:line="480" w:lineRule="exact"/>
        <w:ind w:firstLineChars="0" w:firstLine="0"/>
        <w:jc w:val="center"/>
        <w:rPr>
          <w:rFonts w:ascii="华文中宋" w:eastAsia="华文中宋" w:hAnsi="华文中宋"/>
          <w:b/>
          <w:bCs/>
          <w:snapToGrid w:val="0"/>
          <w:kern w:val="0"/>
          <w:sz w:val="36"/>
          <w:szCs w:val="36"/>
        </w:rPr>
      </w:pPr>
      <w:r>
        <w:rPr>
          <w:rFonts w:ascii="华文中宋" w:eastAsia="华文中宋" w:hAnsi="华文中宋" w:hint="eastAsia"/>
          <w:b/>
          <w:bCs/>
          <w:snapToGrid w:val="0"/>
          <w:kern w:val="0"/>
          <w:sz w:val="36"/>
          <w:szCs w:val="36"/>
        </w:rPr>
        <w:t>名 词 解 释</w:t>
      </w:r>
    </w:p>
    <w:p w:rsidR="00576F24" w:rsidRDefault="00576F24" w:rsidP="00576F24">
      <w:pPr>
        <w:spacing w:line="480" w:lineRule="exact"/>
        <w:ind w:firstLineChars="200" w:firstLine="720"/>
        <w:rPr>
          <w:rFonts w:ascii="仿宋_GB2312" w:eastAsia="仿宋_GB2312" w:hAnsi="Calibri"/>
          <w:sz w:val="36"/>
          <w:szCs w:val="36"/>
        </w:rPr>
      </w:pP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预算：</w:t>
      </w:r>
      <w:r>
        <w:rPr>
          <w:rFonts w:ascii="仿宋_GB2312" w:eastAsia="仿宋_GB2312" w:hAnsi="Calibri" w:hint="eastAsia"/>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政府预算体系：</w:t>
      </w:r>
      <w:r>
        <w:rPr>
          <w:rFonts w:ascii="仿宋_GB2312" w:eastAsia="仿宋_GB2312" w:hAnsi="Calibri" w:hint="eastAsia"/>
          <w:sz w:val="30"/>
          <w:szCs w:val="30"/>
        </w:rPr>
        <w:t>由一般公共预算、政府性基金预算、国有资本经营预算和社会保险基金预算共同组成。四本预算保持完整、独立并相衔接，全面反映政府收支总量、结构和管理活动。</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一般公共预算：</w:t>
      </w:r>
      <w:r>
        <w:rPr>
          <w:rFonts w:ascii="仿宋_GB2312" w:eastAsia="仿宋_GB2312" w:hAnsi="Calibri" w:hint="eastAsia"/>
          <w:sz w:val="30"/>
          <w:szCs w:val="30"/>
        </w:rPr>
        <w:t>对以税收为主体的财政收入，安排用于保障和改善民生、推动经济社会发展、维护国家安全、维持国家机构正常运转等方面的收支预算。</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政府性基金预算：</w:t>
      </w:r>
      <w:r>
        <w:rPr>
          <w:rFonts w:ascii="仿宋_GB2312" w:eastAsia="仿宋_GB2312" w:hAnsi="Calibri" w:hint="eastAsia"/>
          <w:sz w:val="30"/>
          <w:szCs w:val="30"/>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国有资本经营预算：</w:t>
      </w:r>
      <w:r>
        <w:rPr>
          <w:rFonts w:ascii="仿宋_GB2312" w:eastAsia="仿宋_GB2312" w:hAnsi="Calibri" w:hint="eastAsia"/>
          <w:sz w:val="30"/>
          <w:szCs w:val="30"/>
        </w:rPr>
        <w:t>对国有资本收益作为支出安排的收支预算。国有资本经营预算应当按照收支平衡的原则编制，不列赤字，并安排资金调入一般公共预算。</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社会保险基金预算：</w:t>
      </w:r>
      <w:r>
        <w:rPr>
          <w:rFonts w:ascii="仿宋_GB2312" w:eastAsia="仿宋_GB2312" w:hAnsi="Calibri" w:hint="eastAsia"/>
          <w:sz w:val="30"/>
          <w:szCs w:val="30"/>
        </w:rPr>
        <w:t>对社会保险缴款、一般公共预算安排和其他方式筹集的资金，专项用于社会保险的收支预算。社会保险基金预算应当按照统筹层次和社会保险项目分别编制，做到收支平衡。</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预算稳定调节基金：</w:t>
      </w:r>
      <w:r>
        <w:rPr>
          <w:rFonts w:ascii="仿宋_GB2312" w:eastAsia="仿宋_GB2312" w:hAnsi="Calibri" w:hint="eastAsia"/>
          <w:sz w:val="30"/>
          <w:szCs w:val="30"/>
        </w:rPr>
        <w:t>指财政通过超收收入和支出预算结余安排的具有储备性质的基金，</w:t>
      </w:r>
      <w:proofErr w:type="gramStart"/>
      <w:r>
        <w:rPr>
          <w:rFonts w:ascii="仿宋_GB2312" w:eastAsia="仿宋_GB2312" w:hAnsi="Calibri" w:hint="eastAsia"/>
          <w:sz w:val="30"/>
          <w:szCs w:val="30"/>
        </w:rPr>
        <w:t>视预算</w:t>
      </w:r>
      <w:proofErr w:type="gramEnd"/>
      <w:r>
        <w:rPr>
          <w:rFonts w:ascii="仿宋_GB2312" w:eastAsia="仿宋_GB2312" w:hAnsi="Calibri" w:hint="eastAsia"/>
          <w:sz w:val="30"/>
          <w:szCs w:val="30"/>
        </w:rPr>
        <w:t>平衡情况，在安排下年度预算时调入并安排使用，或用于弥补短收年份预算执行的收支缺口。预算稳定调节基金的安排使用接受本级人大及其常委会监督。</w:t>
      </w:r>
    </w:p>
    <w:p w:rsidR="00576F24" w:rsidRDefault="00576F24" w:rsidP="00576F24">
      <w:pPr>
        <w:tabs>
          <w:tab w:val="left" w:pos="2043"/>
        </w:tabs>
        <w:spacing w:line="480" w:lineRule="exact"/>
        <w:ind w:firstLineChars="200" w:firstLine="602"/>
        <w:rPr>
          <w:rFonts w:ascii="仿宋_GB2312" w:eastAsia="仿宋_GB2312" w:hAnsi="Calibri"/>
          <w:spacing w:val="-2"/>
          <w:sz w:val="30"/>
          <w:szCs w:val="30"/>
        </w:rPr>
      </w:pPr>
      <w:r>
        <w:rPr>
          <w:rFonts w:ascii="仿宋_GB2312" w:eastAsia="仿宋_GB2312" w:hAnsi="Calibri" w:hint="eastAsia"/>
          <w:b/>
          <w:sz w:val="30"/>
          <w:szCs w:val="30"/>
        </w:rPr>
        <w:t>一般性转移支付：</w:t>
      </w:r>
      <w:r>
        <w:rPr>
          <w:rFonts w:ascii="仿宋_GB2312" w:eastAsia="仿宋_GB2312" w:hAnsi="Calibri" w:hint="eastAsia"/>
          <w:spacing w:val="-2"/>
          <w:sz w:val="30"/>
          <w:szCs w:val="30"/>
        </w:rPr>
        <w:t>指上级政府为均衡地区间基本财力，根据下级政府在组织财政收入能力、必要支出需求、各地自然经济和</w:t>
      </w:r>
      <w:r>
        <w:rPr>
          <w:rFonts w:ascii="仿宋_GB2312" w:eastAsia="仿宋_GB2312" w:hAnsi="Calibri" w:hint="eastAsia"/>
          <w:spacing w:val="-2"/>
          <w:sz w:val="30"/>
          <w:szCs w:val="30"/>
        </w:rPr>
        <w:lastRenderedPageBreak/>
        <w:t>社会条件差异等因素，按照基本标准和计算方法测算，将其无偿转作下级政府收入来源，并由下级政府统筹安排使用的转移支付。</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专项转移支付：</w:t>
      </w:r>
      <w:r>
        <w:rPr>
          <w:rFonts w:ascii="仿宋_GB2312" w:eastAsia="仿宋_GB2312" w:hAnsi="Calibri" w:hint="eastAsia"/>
          <w:sz w:val="30"/>
          <w:szCs w:val="30"/>
        </w:rPr>
        <w:t>指上级政府对承担委托事务、共同事务的下级政府，给予的用于办理特定事项的转移支付。</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结余结转资金：</w:t>
      </w:r>
      <w:r>
        <w:rPr>
          <w:rFonts w:ascii="仿宋_GB2312" w:eastAsia="仿宋_GB2312" w:hAnsi="Calibri" w:hint="eastAsia"/>
          <w:sz w:val="30"/>
          <w:szCs w:val="30"/>
        </w:rPr>
        <w:t>指当年预算已执行但工作目标未完成，或者因故未执行，下一年度需要按原用途继续使用的资金。</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上解支出：</w:t>
      </w:r>
      <w:r>
        <w:rPr>
          <w:rFonts w:ascii="仿宋_GB2312" w:eastAsia="仿宋_GB2312" w:hAnsi="Calibri" w:hint="eastAsia"/>
          <w:sz w:val="30"/>
          <w:szCs w:val="30"/>
        </w:rPr>
        <w:t>指下级政府按照有关法律法规及财政体制规定，按照一定标准和计算方法测算，上交上级政府，并由上级政府统筹安排的资金。</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调入（出）资金：</w:t>
      </w:r>
      <w:r>
        <w:rPr>
          <w:rFonts w:ascii="仿宋_GB2312" w:eastAsia="仿宋_GB2312" w:hAnsi="Calibri" w:hint="eastAsia"/>
          <w:sz w:val="30"/>
          <w:szCs w:val="30"/>
        </w:rPr>
        <w:t>指不同性质资金之间的调入（出）。</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国有土地使用权出让金收入：</w:t>
      </w:r>
      <w:r>
        <w:rPr>
          <w:rFonts w:ascii="仿宋_GB2312" w:eastAsia="仿宋_GB2312" w:hAnsi="Calibri" w:hint="eastAsia"/>
          <w:sz w:val="30"/>
          <w:szCs w:val="30"/>
        </w:rPr>
        <w:t>指政府以土地所有者身份出让国有土地使用权所取得的收入，主要是以招标、拍卖、挂牌和协议方式出让土地取得的收入，也包括</w:t>
      </w:r>
      <w:proofErr w:type="gramStart"/>
      <w:r>
        <w:rPr>
          <w:rFonts w:ascii="仿宋_GB2312" w:eastAsia="仿宋_GB2312" w:hAnsi="Calibri" w:hint="eastAsia"/>
          <w:sz w:val="30"/>
          <w:szCs w:val="30"/>
        </w:rPr>
        <w:t>向改变</w:t>
      </w:r>
      <w:proofErr w:type="gramEnd"/>
      <w:r>
        <w:rPr>
          <w:rFonts w:ascii="仿宋_GB2312" w:eastAsia="仿宋_GB2312" w:hAnsi="Calibri" w:hint="eastAsia"/>
          <w:sz w:val="30"/>
          <w:szCs w:val="30"/>
        </w:rPr>
        <w:t>土地使用条件的土地使用者依法收取的收入、划拨土地时依法收取的拆迁安置等成本性收入、依法出租土地的租金收入等。</w:t>
      </w:r>
    </w:p>
    <w:p w:rsidR="00576F24" w:rsidRDefault="00576F24" w:rsidP="00576F24">
      <w:pPr>
        <w:tabs>
          <w:tab w:val="left" w:pos="2043"/>
        </w:tabs>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预备费：</w:t>
      </w:r>
      <w:r>
        <w:rPr>
          <w:rFonts w:ascii="仿宋_GB2312" w:eastAsia="仿宋_GB2312" w:hAnsi="Calibri" w:hint="eastAsia"/>
          <w:sz w:val="30"/>
          <w:szCs w:val="30"/>
        </w:rPr>
        <w:t>指用于当年预算执行中的自然灾害等突发事件处理增加的支出及其他难以预见的开支。按照新预算法要求，一般公共预算应当按照本级一般公共预算支出额的百分之一至百分之三设置预备费。</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部门预算:</w:t>
      </w:r>
      <w:r>
        <w:rPr>
          <w:rFonts w:ascii="仿宋_GB2312" w:eastAsia="仿宋_GB2312" w:hAnsi="Calibri" w:hint="eastAsia"/>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中期财政规划：</w:t>
      </w:r>
      <w:r>
        <w:rPr>
          <w:rFonts w:ascii="仿宋_GB2312" w:eastAsia="仿宋_GB2312" w:hAnsi="Calibri" w:hint="eastAsia"/>
          <w:sz w:val="30"/>
          <w:szCs w:val="30"/>
        </w:rPr>
        <w:t>指为实现跨年度预算平衡，根据政府中长期发展规划和宏观调控需要，在确定中期财政政策基础上编制的多年度财政规划。对规划期内一些重点领域政策及所需动用的政府财力做出统筹安排，每年根据情况变化做出调整更新。通过实行中期财政规划管理，强化其对年度预算的约束，有利于提高预算</w:t>
      </w:r>
      <w:r>
        <w:rPr>
          <w:rFonts w:ascii="仿宋_GB2312" w:eastAsia="仿宋_GB2312" w:hAnsi="Calibri" w:hint="eastAsia"/>
          <w:sz w:val="30"/>
          <w:szCs w:val="30"/>
        </w:rPr>
        <w:lastRenderedPageBreak/>
        <w:t>的统筹能力，增强政策的前瞻性和财政的可持续性。</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国库集中收付: </w:t>
      </w:r>
      <w:r>
        <w:rPr>
          <w:rFonts w:ascii="仿宋_GB2312" w:eastAsia="仿宋_GB2312" w:hAnsi="Calibri" w:hint="eastAsia"/>
          <w:sz w:val="30"/>
          <w:szCs w:val="30"/>
        </w:rPr>
        <w:t>指所有财政性资金纳入国库单一账户体系管理，收入直接缴入国库或财政专户，支出在支付行为发生时通过国库单一账户体系以直接支付和授权支付方式支付到收款人或用款单位的现代国库管理制度。</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政府采购: </w:t>
      </w:r>
      <w:r>
        <w:rPr>
          <w:rFonts w:ascii="仿宋_GB2312" w:eastAsia="仿宋_GB2312" w:hAnsi="Calibri" w:hint="eastAsia"/>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预算绩效管理：</w:t>
      </w:r>
      <w:r>
        <w:rPr>
          <w:rFonts w:ascii="仿宋_GB2312" w:eastAsia="仿宋_GB2312" w:hAnsi="Calibri" w:hint="eastAsia"/>
          <w:sz w:val="30"/>
          <w:szCs w:val="30"/>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财政投资评审：</w:t>
      </w:r>
      <w:r>
        <w:rPr>
          <w:rFonts w:ascii="仿宋_GB2312" w:eastAsia="仿宋_GB2312" w:hAnsi="Calibri" w:hint="eastAsia"/>
          <w:sz w:val="30"/>
          <w:szCs w:val="30"/>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“三公”经费：</w:t>
      </w:r>
      <w:r>
        <w:rPr>
          <w:rFonts w:ascii="仿宋_GB2312" w:eastAsia="仿宋_GB2312" w:hAnsi="Calibri" w:hint="eastAsia"/>
          <w:sz w:val="30"/>
          <w:szCs w:val="30"/>
        </w:rPr>
        <w:t>指因公出国（境）费、公务用车购置及运行维护费和公务接待费。其中，因公出国（境）</w:t>
      </w:r>
      <w:proofErr w:type="gramStart"/>
      <w:r>
        <w:rPr>
          <w:rFonts w:ascii="仿宋_GB2312" w:eastAsia="仿宋_GB2312" w:hAnsi="Calibri" w:hint="eastAsia"/>
          <w:sz w:val="30"/>
          <w:szCs w:val="30"/>
        </w:rPr>
        <w:t>费反映</w:t>
      </w:r>
      <w:proofErr w:type="gramEnd"/>
      <w:r>
        <w:rPr>
          <w:rFonts w:ascii="仿宋_GB2312" w:eastAsia="仿宋_GB2312" w:hAnsi="Calibri" w:hint="eastAsia"/>
          <w:sz w:val="30"/>
          <w:szCs w:val="30"/>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Pr>
          <w:rFonts w:ascii="仿宋_GB2312" w:eastAsia="仿宋_GB2312" w:hAnsi="Calibri" w:hint="eastAsia"/>
          <w:sz w:val="30"/>
          <w:szCs w:val="30"/>
        </w:rPr>
        <w:t>费反映</w:t>
      </w:r>
      <w:proofErr w:type="gramEnd"/>
      <w:r>
        <w:rPr>
          <w:rFonts w:ascii="仿宋_GB2312" w:eastAsia="仿宋_GB2312" w:hAnsi="Calibri" w:hint="eastAsia"/>
          <w:sz w:val="30"/>
          <w:szCs w:val="30"/>
        </w:rPr>
        <w:t>单位按规定开支的各类公务接待（含外宾接待）支出。</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政府购买服务：</w:t>
      </w:r>
      <w:r>
        <w:rPr>
          <w:rFonts w:ascii="仿宋_GB2312" w:eastAsia="仿宋_GB2312" w:hAnsi="Calibri" w:hint="eastAsia"/>
          <w:sz w:val="30"/>
          <w:szCs w:val="30"/>
        </w:rPr>
        <w:t>指通过发挥市场机制作用，把政府直接向社会公众提供的公共服务等事项，按照一定的方式和程序，交由具</w:t>
      </w:r>
      <w:r>
        <w:rPr>
          <w:rFonts w:ascii="仿宋_GB2312" w:eastAsia="仿宋_GB2312" w:hAnsi="Calibri" w:hint="eastAsia"/>
          <w:sz w:val="30"/>
          <w:szCs w:val="30"/>
        </w:rPr>
        <w:lastRenderedPageBreak/>
        <w:t>备条件的社会力量承担，并由政府根据服务数量和质量向其支付费用。</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政府与社会资本合作模式（PPP）：</w:t>
      </w:r>
      <w:r>
        <w:rPr>
          <w:rFonts w:ascii="仿宋_GB2312" w:eastAsia="仿宋_GB2312" w:hAnsi="Calibri" w:hint="eastAsia"/>
          <w:sz w:val="30"/>
          <w:szCs w:val="30"/>
        </w:rPr>
        <w:t>指政府与社会资本为提供公共产品或服务而建立的全过程合作关系，以授予特许经营权为基础，以利益共享和风险共担为特征，通过引入市场竞争和激励约束机制，发挥双方优势，提高公共产品或服务的质量和供给效率。</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政府性债务：</w:t>
      </w:r>
      <w:r>
        <w:rPr>
          <w:rFonts w:ascii="仿宋_GB2312" w:eastAsia="仿宋_GB2312" w:hAnsi="Calibri" w:hint="eastAsia"/>
          <w:sz w:val="30"/>
          <w:szCs w:val="30"/>
        </w:rPr>
        <w:t>指地方政府、经费补助事业单位、政府融资平台公司等直接借入、拖欠或因提供担保、回购等信用支持，因公益性项目建设形成的债务。被认定为“地方政府性债务”必须同时符合以下两个条件：一是举债项目应是公益性项目，二是地方政府承担还款责任。政府债务分为一般债务和专项债务，其中一般债务是指为没有收益的公益性事业发展举借的、主要以一般公共预算资金偿还的政府债务;专项债务是指为有一定收益的公益性事业发展举借的、主要以对应的政府性基金预算资金或专项收入偿还的政府债务。</w:t>
      </w:r>
    </w:p>
    <w:p w:rsidR="00576F24" w:rsidRDefault="00576F24" w:rsidP="00576F24">
      <w:pPr>
        <w:spacing w:line="480" w:lineRule="exact"/>
        <w:ind w:firstLineChars="200" w:firstLine="602"/>
        <w:rPr>
          <w:rFonts w:ascii="仿宋_GB2312" w:eastAsia="仿宋_GB2312" w:hAnsi="Calibri"/>
          <w:sz w:val="30"/>
          <w:szCs w:val="30"/>
        </w:rPr>
      </w:pPr>
      <w:proofErr w:type="gramStart"/>
      <w:r>
        <w:rPr>
          <w:rFonts w:ascii="仿宋_GB2312" w:eastAsia="仿宋_GB2312" w:hAnsi="Calibri" w:hint="eastAsia"/>
          <w:b/>
          <w:sz w:val="30"/>
          <w:szCs w:val="30"/>
        </w:rPr>
        <w:t>营改增</w:t>
      </w:r>
      <w:proofErr w:type="gramEnd"/>
      <w:r>
        <w:rPr>
          <w:rFonts w:ascii="仿宋_GB2312" w:eastAsia="仿宋_GB2312" w:hAnsi="Calibri" w:hint="eastAsia"/>
          <w:b/>
          <w:sz w:val="30"/>
          <w:szCs w:val="30"/>
        </w:rPr>
        <w:t>：</w:t>
      </w:r>
      <w:r>
        <w:rPr>
          <w:rFonts w:ascii="仿宋_GB2312" w:eastAsia="仿宋_GB2312" w:hAnsi="Calibri" w:hint="eastAsia"/>
          <w:sz w:val="30"/>
          <w:szCs w:val="30"/>
        </w:rPr>
        <w:t>指将目前对大多数劳务、不动产和无形资产征收的营业税改为征收增值税，实现对所有货物、劳务、不动产和无形资产统一征收增值税，打通增值税抵扣链条，从根本上解决重复征税问题，促进社会化分工、服务业发展和经济结构优化升级。本市自2012年9月1日正式启动营业税改征增值税的试点改革。2016年5月1日起，“营改增”试点</w:t>
      </w:r>
      <w:proofErr w:type="gramStart"/>
      <w:r>
        <w:rPr>
          <w:rFonts w:ascii="仿宋_GB2312" w:eastAsia="仿宋_GB2312" w:hAnsi="Calibri" w:hint="eastAsia"/>
          <w:sz w:val="30"/>
          <w:szCs w:val="30"/>
        </w:rPr>
        <w:t>改革扩围至</w:t>
      </w:r>
      <w:proofErr w:type="gramEnd"/>
      <w:r>
        <w:rPr>
          <w:rFonts w:ascii="仿宋_GB2312" w:eastAsia="仿宋_GB2312" w:hAnsi="Calibri" w:hint="eastAsia"/>
          <w:sz w:val="30"/>
          <w:szCs w:val="30"/>
        </w:rPr>
        <w:t>生活服务业、建筑业、房地产业及金融业。至此，增值税实现了对货物和服务的全覆盖，营业税制</w:t>
      </w:r>
      <w:proofErr w:type="gramStart"/>
      <w:r>
        <w:rPr>
          <w:rFonts w:ascii="仿宋_GB2312" w:eastAsia="仿宋_GB2312" w:hAnsi="Calibri" w:hint="eastAsia"/>
          <w:sz w:val="30"/>
          <w:szCs w:val="30"/>
        </w:rPr>
        <w:t>度相应</w:t>
      </w:r>
      <w:proofErr w:type="gramEnd"/>
      <w:r>
        <w:rPr>
          <w:rFonts w:ascii="仿宋_GB2312" w:eastAsia="仿宋_GB2312" w:hAnsi="Calibri" w:hint="eastAsia"/>
          <w:sz w:val="30"/>
          <w:szCs w:val="30"/>
        </w:rPr>
        <w:t>废止。</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机关运行经费：</w:t>
      </w:r>
      <w:r>
        <w:rPr>
          <w:rFonts w:ascii="仿宋_GB2312" w:eastAsia="仿宋_GB2312" w:hAnsi="Calibri" w:hint="eastAsia"/>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lastRenderedPageBreak/>
        <w:t>部门整体支出绩效评价：</w:t>
      </w:r>
      <w:r>
        <w:rPr>
          <w:rFonts w:ascii="仿宋_GB2312" w:eastAsia="仿宋_GB2312" w:hAnsi="Calibri" w:hint="eastAsia"/>
          <w:sz w:val="30"/>
          <w:szCs w:val="30"/>
        </w:rPr>
        <w:t>是对包括部门整体基本支出和项目支出在内的整体预算支出的绩效评价，评价以项目支出为重点。一般以预算年度为周期，对跨年度的重点项目可根据项目支出完成情况实施阶段性评价。</w:t>
      </w:r>
    </w:p>
    <w:p w:rsidR="00576F24" w:rsidRDefault="00576F24" w:rsidP="00576F24">
      <w:pPr>
        <w:spacing w:line="48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行政事业性收费</w:t>
      </w:r>
      <w:r>
        <w:rPr>
          <w:rFonts w:ascii="仿宋_GB2312" w:eastAsia="仿宋_GB2312" w:hAnsi="Calibri" w:hint="eastAsia"/>
          <w:sz w:val="30"/>
          <w:szCs w:val="30"/>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576F24" w:rsidRPr="00800C2F" w:rsidRDefault="00576F24" w:rsidP="00576F24">
      <w:pPr>
        <w:widowControl/>
        <w:adjustRightInd w:val="0"/>
        <w:spacing w:line="440" w:lineRule="exact"/>
        <w:rPr>
          <w:rFonts w:ascii="仿宋_GB2312" w:eastAsia="仿宋_GB2312" w:hAnsi="宋体" w:cs="宋体"/>
          <w:b/>
          <w:color w:val="000000"/>
          <w:spacing w:val="15"/>
          <w:kern w:val="0"/>
          <w:sz w:val="32"/>
          <w:szCs w:val="32"/>
        </w:rPr>
      </w:pPr>
      <w:bookmarkStart w:id="0" w:name="_GoBack"/>
      <w:bookmarkEnd w:id="0"/>
    </w:p>
    <w:sectPr w:rsidR="00576F24" w:rsidRPr="00800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24"/>
    <w:rsid w:val="00134DD3"/>
    <w:rsid w:val="00576F24"/>
    <w:rsid w:val="0080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EE26A-2E73-4F7F-A6A0-D47CBFC4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rsid w:val="00576F24"/>
    <w:pPr>
      <w:ind w:firstLineChars="200" w:firstLine="420"/>
    </w:pPr>
    <w:rPr>
      <w:rFonts w:eastAsia="仿宋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dty</dc:creator>
  <cp:lastModifiedBy>admin</cp:lastModifiedBy>
  <cp:revision>2</cp:revision>
  <dcterms:created xsi:type="dcterms:W3CDTF">2021-01-26T02:12:00Z</dcterms:created>
  <dcterms:modified xsi:type="dcterms:W3CDTF">2021-01-27T01:06:00Z</dcterms:modified>
</cp:coreProperties>
</file>