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0" w:firstLineChars="0"/>
        <w:jc w:val="both"/>
        <w:rPr>
          <w:rFonts w:ascii="宋体" w:hAnsi="宋体" w:eastAsia="宋体"/>
          <w:b/>
          <w:bCs/>
          <w:color w:val="auto"/>
          <w:sz w:val="40"/>
          <w:szCs w:val="40"/>
        </w:rPr>
      </w:pPr>
    </w:p>
    <w:p>
      <w:pPr>
        <w:ind w:firstLine="480"/>
        <w:rPr>
          <w:rFonts w:ascii="Times New Roman" w:hAnsi="Times New Roman" w:eastAsia="仿宋_GB2312"/>
          <w:color w:val="auto"/>
          <w:sz w:val="24"/>
          <w:szCs w:val="24"/>
        </w:rPr>
      </w:pPr>
    </w:p>
    <w:p>
      <w:pPr>
        <w:ind w:firstLine="480"/>
        <w:rPr>
          <w:rFonts w:ascii="Times New Roman" w:hAnsi="Times New Roman" w:eastAsia="仿宋_GB2312"/>
          <w:color w:val="auto"/>
          <w:sz w:val="24"/>
          <w:szCs w:val="24"/>
        </w:rPr>
      </w:pPr>
    </w:p>
    <w:p>
      <w:pPr>
        <w:ind w:firstLine="480"/>
        <w:rPr>
          <w:rFonts w:ascii="Times New Roman" w:hAnsi="Times New Roman" w:eastAsia="仿宋_GB2312"/>
          <w:color w:val="auto"/>
          <w:sz w:val="24"/>
          <w:szCs w:val="24"/>
        </w:rPr>
      </w:pPr>
    </w:p>
    <w:p>
      <w:pPr>
        <w:ind w:firstLine="480"/>
        <w:rPr>
          <w:rFonts w:ascii="Times New Roman" w:hAnsi="Times New Roman" w:eastAsia="仿宋_GB2312"/>
          <w:color w:val="auto"/>
          <w:sz w:val="24"/>
          <w:szCs w:val="24"/>
        </w:rPr>
      </w:pPr>
    </w:p>
    <w:p>
      <w:pPr>
        <w:rPr>
          <w:rFonts w:ascii="Times New Roman" w:hAnsi="Times New Roman" w:eastAsia="仿宋_GB2312"/>
          <w:color w:val="auto"/>
          <w:sz w:val="24"/>
          <w:szCs w:val="24"/>
        </w:rPr>
      </w:pPr>
    </w:p>
    <w:p>
      <w:pPr>
        <w:pStyle w:val="27"/>
        <w:adjustRightInd w:val="0"/>
        <w:snapToGrid w:val="0"/>
        <w:spacing w:line="360" w:lineRule="auto"/>
        <w:ind w:right="-168" w:rightChars="-80"/>
        <w:jc w:val="center"/>
        <w:rPr>
          <w:rFonts w:hint="eastAsia" w:ascii="Times New Roman" w:hAnsi="Times New Roman" w:eastAsia="黑体"/>
          <w:b/>
          <w:color w:val="auto"/>
          <w:sz w:val="44"/>
          <w:szCs w:val="44"/>
        </w:rPr>
      </w:pPr>
      <w:r>
        <w:rPr>
          <w:rFonts w:hint="eastAsia" w:ascii="Times New Roman" w:hAnsi="Times New Roman" w:eastAsia="黑体"/>
          <w:b/>
          <w:color w:val="auto"/>
          <w:sz w:val="44"/>
          <w:szCs w:val="44"/>
        </w:rPr>
        <w:t>“十四五”时期丰台区</w:t>
      </w:r>
      <w:r>
        <w:rPr>
          <w:rFonts w:hint="eastAsia" w:ascii="Times New Roman" w:hAnsi="Times New Roman" w:eastAsia="黑体"/>
          <w:b/>
          <w:color w:val="auto"/>
          <w:sz w:val="44"/>
          <w:szCs w:val="44"/>
          <w:lang w:val="en-US" w:eastAsia="zh-CN"/>
        </w:rPr>
        <w:t>卫生健康</w:t>
      </w:r>
      <w:r>
        <w:rPr>
          <w:rFonts w:hint="eastAsia" w:ascii="Times New Roman" w:hAnsi="Times New Roman" w:eastAsia="黑体"/>
          <w:b/>
          <w:color w:val="auto"/>
          <w:sz w:val="44"/>
          <w:szCs w:val="44"/>
        </w:rPr>
        <w:t>事业发展规划</w:t>
      </w:r>
    </w:p>
    <w:p>
      <w:pPr>
        <w:rPr>
          <w:rFonts w:ascii="Times New Roman" w:hAnsi="Times New Roman" w:cs="Times New Roman"/>
          <w:color w:val="auto"/>
          <w:sz w:val="22"/>
        </w:rPr>
      </w:pPr>
    </w:p>
    <w:p>
      <w:pPr>
        <w:rPr>
          <w:rFonts w:ascii="Times New Roman" w:hAnsi="Times New Roman" w:cs="Times New Roman"/>
          <w:color w:val="auto"/>
          <w:sz w:val="22"/>
        </w:rPr>
      </w:pPr>
    </w:p>
    <w:p>
      <w:pPr>
        <w:jc w:val="center"/>
        <w:rPr>
          <w:rFonts w:ascii="Times New Roman" w:hAnsi="Times New Roman" w:eastAsia="幼圆" w:cs="Times New Roman"/>
          <w:b/>
          <w:bCs/>
          <w:color w:val="auto"/>
          <w:sz w:val="72"/>
          <w:szCs w:val="44"/>
        </w:rPr>
      </w:pPr>
    </w:p>
    <w:p>
      <w:pPr>
        <w:jc w:val="center"/>
        <w:rPr>
          <w:rFonts w:ascii="Times New Roman" w:hAnsi="Times New Roman" w:eastAsia="华文行楷" w:cs="Times New Roman"/>
          <w:b/>
          <w:bCs/>
          <w:color w:val="auto"/>
          <w:sz w:val="72"/>
          <w:szCs w:val="44"/>
        </w:rPr>
      </w:pPr>
    </w:p>
    <w:p>
      <w:pPr>
        <w:jc w:val="center"/>
        <w:rPr>
          <w:rFonts w:ascii="Times New Roman" w:hAnsi="Times New Roman" w:eastAsia="华文行楷" w:cs="Times New Roman"/>
          <w:b/>
          <w:bCs/>
          <w:color w:val="auto"/>
          <w:sz w:val="72"/>
          <w:szCs w:val="44"/>
        </w:rPr>
      </w:pPr>
    </w:p>
    <w:p>
      <w:pPr>
        <w:jc w:val="center"/>
        <w:rPr>
          <w:rFonts w:ascii="Times New Roman" w:hAnsi="Times New Roman" w:eastAsia="华文行楷" w:cs="Times New Roman"/>
          <w:b/>
          <w:bCs/>
          <w:color w:val="auto"/>
          <w:sz w:val="72"/>
          <w:szCs w:val="44"/>
        </w:rPr>
      </w:pPr>
    </w:p>
    <w:p>
      <w:pPr>
        <w:jc w:val="center"/>
        <w:rPr>
          <w:rFonts w:ascii="Times New Roman" w:hAnsi="Times New Roman" w:eastAsia="华文行楷" w:cs="Times New Roman"/>
          <w:b/>
          <w:bCs/>
          <w:color w:val="auto"/>
          <w:sz w:val="72"/>
          <w:szCs w:val="44"/>
        </w:rPr>
      </w:pPr>
    </w:p>
    <w:p>
      <w:pPr>
        <w:jc w:val="center"/>
        <w:rPr>
          <w:rFonts w:hint="eastAsia" w:ascii="Times New Roman" w:hAnsi="Times New Roman" w:eastAsia="宋体" w:cs="Times New Roman"/>
          <w:b/>
          <w:color w:val="auto"/>
          <w:sz w:val="36"/>
        </w:rPr>
      </w:pPr>
    </w:p>
    <w:p>
      <w:pPr>
        <w:jc w:val="center"/>
        <w:rPr>
          <w:rFonts w:hint="eastAsia" w:ascii="Times New Roman" w:hAnsi="Times New Roman" w:eastAsia="宋体" w:cs="Times New Roman"/>
          <w:b/>
          <w:color w:val="auto"/>
          <w:sz w:val="36"/>
        </w:rPr>
      </w:pPr>
    </w:p>
    <w:p>
      <w:pPr>
        <w:jc w:val="both"/>
        <w:rPr>
          <w:rFonts w:hint="eastAsia" w:ascii="Times New Roman" w:hAnsi="Times New Roman" w:eastAsia="宋体" w:cs="Times New Roman"/>
          <w:b/>
          <w:color w:val="auto"/>
          <w:sz w:val="36"/>
        </w:rPr>
      </w:pPr>
    </w:p>
    <w:p>
      <w:pPr>
        <w:jc w:val="center"/>
        <w:rPr>
          <w:rFonts w:ascii="Times New Roman" w:hAnsi="Times New Roman" w:eastAsia="宋体" w:cs="Times New Roman"/>
          <w:b/>
          <w:color w:val="auto"/>
          <w:sz w:val="32"/>
          <w:szCs w:val="32"/>
        </w:rPr>
      </w:pPr>
      <w:r>
        <w:rPr>
          <w:rFonts w:hint="eastAsia" w:ascii="Times New Roman" w:hAnsi="Times New Roman" w:eastAsia="宋体" w:cs="Times New Roman"/>
          <w:b/>
          <w:color w:val="auto"/>
          <w:sz w:val="32"/>
          <w:szCs w:val="32"/>
        </w:rPr>
        <w:t>北京市丰台区卫生健康委员会</w:t>
      </w:r>
    </w:p>
    <w:p>
      <w:pPr>
        <w:jc w:val="center"/>
        <w:rPr>
          <w:rFonts w:ascii="Times New Roman" w:hAnsi="Times New Roman" w:eastAsia="宋体" w:cs="Times New Roman"/>
          <w:b/>
          <w:color w:val="auto"/>
          <w:sz w:val="32"/>
          <w:szCs w:val="32"/>
        </w:rPr>
      </w:pPr>
      <w:r>
        <w:rPr>
          <w:rFonts w:ascii="Times New Roman" w:hAnsi="Times New Roman" w:eastAsia="宋体" w:cs="Times New Roman"/>
          <w:b/>
          <w:color w:val="auto"/>
          <w:sz w:val="32"/>
          <w:szCs w:val="32"/>
        </w:rPr>
        <w:t>202</w:t>
      </w:r>
      <w:r>
        <w:rPr>
          <w:rFonts w:hint="eastAsia" w:ascii="Times New Roman" w:hAnsi="Times New Roman" w:eastAsia="宋体" w:cs="Times New Roman"/>
          <w:b/>
          <w:color w:val="auto"/>
          <w:sz w:val="32"/>
          <w:szCs w:val="32"/>
          <w:lang w:val="en-US" w:eastAsia="zh-CN"/>
        </w:rPr>
        <w:t>2</w:t>
      </w:r>
      <w:r>
        <w:rPr>
          <w:rFonts w:hint="eastAsia" w:ascii="Times New Roman" w:hAnsi="Times New Roman" w:eastAsia="宋体" w:cs="Times New Roman"/>
          <w:b/>
          <w:color w:val="auto"/>
          <w:sz w:val="32"/>
          <w:szCs w:val="32"/>
        </w:rPr>
        <w:t>年</w:t>
      </w:r>
      <w:r>
        <w:rPr>
          <w:rFonts w:hint="eastAsia" w:ascii="Times New Roman" w:hAnsi="Times New Roman" w:eastAsia="宋体" w:cs="Times New Roman"/>
          <w:b/>
          <w:color w:val="auto"/>
          <w:sz w:val="32"/>
          <w:szCs w:val="32"/>
          <w:lang w:val="en-US" w:eastAsia="zh-CN"/>
        </w:rPr>
        <w:t>3</w:t>
      </w:r>
      <w:r>
        <w:rPr>
          <w:rFonts w:hint="eastAsia" w:ascii="Times New Roman" w:hAnsi="Times New Roman" w:eastAsia="宋体" w:cs="Times New Roman"/>
          <w:b/>
          <w:color w:val="auto"/>
          <w:sz w:val="32"/>
          <w:szCs w:val="32"/>
        </w:rPr>
        <w:t>月</w:t>
      </w:r>
    </w:p>
    <w:p>
      <w:pPr>
        <w:widowControl/>
        <w:jc w:val="left"/>
        <w:rPr>
          <w:rFonts w:ascii="Times New Roman" w:hAnsi="Times New Roman" w:eastAsia="宋体" w:cs="Times New Roman"/>
          <w:b/>
          <w:color w:val="auto"/>
          <w:sz w:val="36"/>
        </w:rPr>
      </w:pPr>
    </w:p>
    <w:p>
      <w:pPr>
        <w:widowControl/>
        <w:jc w:val="left"/>
        <w:rPr>
          <w:rFonts w:ascii="Times New Roman" w:hAnsi="Times New Roman" w:eastAsia="宋体" w:cs="Times New Roman"/>
          <w:b/>
          <w:color w:val="auto"/>
          <w:sz w:val="36"/>
        </w:rPr>
        <w:sectPr>
          <w:footerReference r:id="rId3" w:type="default"/>
          <w:pgSz w:w="11906" w:h="16838"/>
          <w:pgMar w:top="1440" w:right="1474" w:bottom="1440" w:left="1588" w:header="851" w:footer="992" w:gutter="0"/>
          <w:cols w:space="425" w:num="1"/>
          <w:docGrid w:type="lines" w:linePitch="312" w:charSpace="0"/>
        </w:sectPr>
      </w:pPr>
    </w:p>
    <w:p>
      <w:pPr>
        <w:widowControl/>
        <w:jc w:val="center"/>
        <w:rPr>
          <w:rFonts w:ascii="Times New Roman" w:hAnsi="Times New Roman" w:eastAsia="黑体" w:cs="Times New Roman"/>
          <w:b/>
          <w:color w:val="auto"/>
          <w:sz w:val="40"/>
          <w:szCs w:val="36"/>
        </w:rPr>
      </w:pPr>
    </w:p>
    <w:p>
      <w:pPr>
        <w:widowControl/>
        <w:jc w:val="center"/>
        <w:rPr>
          <w:color w:val="auto"/>
          <w:sz w:val="22"/>
        </w:rPr>
        <w:sectPr>
          <w:footerReference r:id="rId4" w:type="default"/>
          <w:pgSz w:w="11906" w:h="16838"/>
          <w:pgMar w:top="1418" w:right="1474" w:bottom="1440" w:left="1588" w:header="851" w:footer="992" w:gutter="0"/>
          <w:cols w:space="425" w:num="1"/>
          <w:docGrid w:type="lines" w:linePitch="312" w:charSpace="0"/>
        </w:sectPr>
      </w:pPr>
    </w:p>
    <w:p>
      <w:pPr>
        <w:pStyle w:val="15"/>
        <w:rPr>
          <w:color w:val="auto"/>
          <w:sz w:val="40"/>
        </w:rPr>
      </w:pPr>
    </w:p>
    <w:p>
      <w:pPr>
        <w:pStyle w:val="15"/>
        <w:rPr>
          <w:color w:val="auto"/>
          <w:sz w:val="44"/>
        </w:rPr>
      </w:pPr>
      <w:r>
        <w:rPr>
          <w:rFonts w:hint="eastAsia"/>
          <w:color w:val="auto"/>
          <w:sz w:val="44"/>
        </w:rPr>
        <w:t>目</w:t>
      </w:r>
      <w:r>
        <w:rPr>
          <w:color w:val="auto"/>
          <w:sz w:val="44"/>
        </w:rPr>
        <w:t xml:space="preserve">    </w:t>
      </w:r>
      <w:r>
        <w:rPr>
          <w:rFonts w:hint="eastAsia"/>
          <w:color w:val="auto"/>
          <w:sz w:val="44"/>
        </w:rPr>
        <w:t>录</w:t>
      </w:r>
    </w:p>
    <w:p>
      <w:pPr>
        <w:pStyle w:val="15"/>
        <w:rPr>
          <w:color w:val="auto"/>
          <w:sz w:val="40"/>
        </w:rPr>
      </w:pPr>
    </w:p>
    <w:p>
      <w:pPr>
        <w:pStyle w:val="15"/>
        <w:rPr>
          <w:rFonts w:asciiTheme="minorHAnsi" w:hAnsiTheme="minorHAnsi" w:eastAsiaTheme="minorEastAsia" w:cstheme="minorBidi"/>
          <w:color w:val="auto"/>
          <w:sz w:val="21"/>
          <w:szCs w:val="22"/>
        </w:rPr>
      </w:pPr>
      <w:r>
        <w:rPr>
          <w:rFonts w:ascii="黑体" w:hAnsi="黑体" w:eastAsia="黑体"/>
          <w:color w:val="auto"/>
          <w:sz w:val="40"/>
          <w:szCs w:val="24"/>
        </w:rPr>
        <w:fldChar w:fldCharType="begin"/>
      </w:r>
      <w:r>
        <w:rPr>
          <w:color w:val="auto"/>
          <w:sz w:val="40"/>
        </w:rPr>
        <w:instrText xml:space="preserve"> TOC \o "1-3" \h \z \u </w:instrText>
      </w:r>
      <w:r>
        <w:rPr>
          <w:rFonts w:ascii="黑体" w:hAnsi="黑体" w:eastAsia="黑体"/>
          <w:color w:val="auto"/>
          <w:sz w:val="40"/>
          <w:szCs w:val="24"/>
        </w:rPr>
        <w:fldChar w:fldCharType="separate"/>
      </w:r>
      <w:r>
        <w:rPr>
          <w:rStyle w:val="26"/>
          <w:color w:val="auto"/>
        </w:rPr>
        <w:fldChar w:fldCharType="begin"/>
      </w:r>
      <w:r>
        <w:rPr>
          <w:rStyle w:val="26"/>
          <w:color w:val="auto"/>
        </w:rPr>
        <w:instrText xml:space="preserve"> </w:instrText>
      </w:r>
      <w:r>
        <w:rPr>
          <w:color w:val="auto"/>
        </w:rPr>
        <w:instrText xml:space="preserve">HYPERLINK \l "_Toc93511744"</w:instrText>
      </w:r>
      <w:r>
        <w:rPr>
          <w:rStyle w:val="26"/>
          <w:color w:val="auto"/>
        </w:rPr>
        <w:instrText xml:space="preserve"> </w:instrText>
      </w:r>
      <w:r>
        <w:rPr>
          <w:rStyle w:val="26"/>
          <w:color w:val="auto"/>
        </w:rPr>
        <w:fldChar w:fldCharType="separate"/>
      </w:r>
      <w:r>
        <w:rPr>
          <w:rStyle w:val="26"/>
          <w:rFonts w:hint="eastAsia"/>
          <w:color w:val="auto"/>
        </w:rPr>
        <w:t>序</w:t>
      </w:r>
      <w:r>
        <w:rPr>
          <w:rStyle w:val="26"/>
          <w:color w:val="auto"/>
        </w:rPr>
        <w:t xml:space="preserve">  </w:t>
      </w:r>
      <w:r>
        <w:rPr>
          <w:rStyle w:val="26"/>
          <w:rFonts w:hint="eastAsia"/>
          <w:color w:val="auto"/>
        </w:rPr>
        <w:t>言</w:t>
      </w:r>
      <w:r>
        <w:rPr>
          <w:color w:val="auto"/>
        </w:rPr>
        <w:tab/>
      </w:r>
      <w:r>
        <w:rPr>
          <w:color w:val="auto"/>
        </w:rPr>
        <w:fldChar w:fldCharType="begin"/>
      </w:r>
      <w:r>
        <w:rPr>
          <w:color w:val="auto"/>
        </w:rPr>
        <w:instrText xml:space="preserve"> PAGEREF _Toc93511744 \h </w:instrText>
      </w:r>
      <w:r>
        <w:rPr>
          <w:color w:val="auto"/>
        </w:rPr>
        <w:fldChar w:fldCharType="separate"/>
      </w:r>
      <w:r>
        <w:rPr>
          <w:color w:val="auto"/>
        </w:rPr>
        <w:t>1</w:t>
      </w:r>
      <w:r>
        <w:rPr>
          <w:color w:val="auto"/>
        </w:rPr>
        <w:fldChar w:fldCharType="end"/>
      </w:r>
      <w:r>
        <w:rPr>
          <w:rStyle w:val="26"/>
          <w:color w:val="auto"/>
        </w:rPr>
        <w:fldChar w:fldCharType="end"/>
      </w:r>
    </w:p>
    <w:p>
      <w:pPr>
        <w:pStyle w:val="15"/>
        <w:rPr>
          <w:rFonts w:asciiTheme="minorHAnsi" w:hAnsiTheme="minorHAnsi" w:eastAsiaTheme="minorEastAsia" w:cstheme="minorBidi"/>
          <w:color w:val="auto"/>
          <w:sz w:val="21"/>
          <w:szCs w:val="22"/>
        </w:rPr>
      </w:pPr>
      <w:r>
        <w:rPr>
          <w:rStyle w:val="26"/>
          <w:color w:val="auto"/>
        </w:rPr>
        <w:fldChar w:fldCharType="begin"/>
      </w:r>
      <w:r>
        <w:rPr>
          <w:rStyle w:val="26"/>
          <w:color w:val="auto"/>
        </w:rPr>
        <w:instrText xml:space="preserve"> </w:instrText>
      </w:r>
      <w:r>
        <w:rPr>
          <w:color w:val="auto"/>
        </w:rPr>
        <w:instrText xml:space="preserve">HYPERLINK \l "_Toc93511745"</w:instrText>
      </w:r>
      <w:r>
        <w:rPr>
          <w:rStyle w:val="26"/>
          <w:color w:val="auto"/>
        </w:rPr>
        <w:instrText xml:space="preserve"> </w:instrText>
      </w:r>
      <w:r>
        <w:rPr>
          <w:rStyle w:val="26"/>
          <w:color w:val="auto"/>
        </w:rPr>
        <w:fldChar w:fldCharType="separate"/>
      </w:r>
      <w:r>
        <w:rPr>
          <w:rStyle w:val="26"/>
          <w:rFonts w:hint="eastAsia"/>
          <w:color w:val="auto"/>
        </w:rPr>
        <w:t>第一章</w:t>
      </w:r>
      <w:r>
        <w:rPr>
          <w:rStyle w:val="26"/>
          <w:color w:val="auto"/>
        </w:rPr>
        <w:t xml:space="preserve"> </w:t>
      </w:r>
      <w:r>
        <w:rPr>
          <w:rStyle w:val="26"/>
          <w:rFonts w:hint="eastAsia"/>
          <w:color w:val="auto"/>
        </w:rPr>
        <w:t>规划背景与形势</w:t>
      </w:r>
      <w:r>
        <w:rPr>
          <w:color w:val="auto"/>
        </w:rPr>
        <w:tab/>
      </w:r>
      <w:r>
        <w:rPr>
          <w:color w:val="auto"/>
        </w:rPr>
        <w:fldChar w:fldCharType="begin"/>
      </w:r>
      <w:r>
        <w:rPr>
          <w:color w:val="auto"/>
        </w:rPr>
        <w:instrText xml:space="preserve"> PAGEREF _Toc93511745 \h </w:instrText>
      </w:r>
      <w:r>
        <w:rPr>
          <w:color w:val="auto"/>
        </w:rPr>
        <w:fldChar w:fldCharType="separate"/>
      </w:r>
      <w:r>
        <w:rPr>
          <w:color w:val="auto"/>
        </w:rPr>
        <w:t>2</w:t>
      </w:r>
      <w:r>
        <w:rPr>
          <w:color w:val="auto"/>
        </w:rPr>
        <w:fldChar w:fldCharType="end"/>
      </w:r>
      <w:r>
        <w:rPr>
          <w:rStyle w:val="26"/>
          <w:color w:val="auto"/>
        </w:rPr>
        <w:fldChar w:fldCharType="end"/>
      </w:r>
    </w:p>
    <w:p>
      <w:pPr>
        <w:pStyle w:val="19"/>
        <w:tabs>
          <w:tab w:val="right" w:leader="dot" w:pos="8834"/>
        </w:tabs>
        <w:rPr>
          <w:rFonts w:asciiTheme="minorHAnsi" w:hAnsiTheme="minorHAnsi" w:eastAsiaTheme="minorEastAsia" w:cstheme="minorBidi"/>
          <w:color w:val="auto"/>
          <w:szCs w:val="22"/>
        </w:rPr>
      </w:pPr>
      <w:r>
        <w:rPr>
          <w:rStyle w:val="26"/>
          <w:color w:val="auto"/>
        </w:rPr>
        <w:fldChar w:fldCharType="begin"/>
      </w:r>
      <w:r>
        <w:rPr>
          <w:rStyle w:val="26"/>
          <w:color w:val="auto"/>
        </w:rPr>
        <w:instrText xml:space="preserve"> </w:instrText>
      </w:r>
      <w:r>
        <w:rPr>
          <w:color w:val="auto"/>
        </w:rPr>
        <w:instrText xml:space="preserve">HYPERLINK \l "_Toc93511746"</w:instrText>
      </w:r>
      <w:r>
        <w:rPr>
          <w:rStyle w:val="26"/>
          <w:color w:val="auto"/>
        </w:rPr>
        <w:instrText xml:space="preserve"> </w:instrText>
      </w:r>
      <w:r>
        <w:rPr>
          <w:rStyle w:val="26"/>
          <w:color w:val="auto"/>
        </w:rPr>
        <w:fldChar w:fldCharType="separate"/>
      </w:r>
      <w:r>
        <w:rPr>
          <w:rStyle w:val="26"/>
          <w:rFonts w:hint="eastAsia" w:ascii="楷体" w:hAnsi="楷体" w:eastAsia="楷体"/>
          <w:color w:val="auto"/>
        </w:rPr>
        <w:t>一、发展的成就与水平</w:t>
      </w:r>
      <w:r>
        <w:rPr>
          <w:color w:val="auto"/>
        </w:rPr>
        <w:tab/>
      </w:r>
      <w:r>
        <w:rPr>
          <w:color w:val="auto"/>
        </w:rPr>
        <w:fldChar w:fldCharType="begin"/>
      </w:r>
      <w:r>
        <w:rPr>
          <w:color w:val="auto"/>
        </w:rPr>
        <w:instrText xml:space="preserve"> PAGEREF _Toc93511746 \h </w:instrText>
      </w:r>
      <w:r>
        <w:rPr>
          <w:color w:val="auto"/>
        </w:rPr>
        <w:fldChar w:fldCharType="separate"/>
      </w:r>
      <w:r>
        <w:rPr>
          <w:color w:val="auto"/>
        </w:rPr>
        <w:t>2</w:t>
      </w:r>
      <w:r>
        <w:rPr>
          <w:color w:val="auto"/>
        </w:rPr>
        <w:fldChar w:fldCharType="end"/>
      </w:r>
      <w:r>
        <w:rPr>
          <w:rStyle w:val="26"/>
          <w:color w:val="auto"/>
        </w:rPr>
        <w:fldChar w:fldCharType="end"/>
      </w:r>
    </w:p>
    <w:p>
      <w:pPr>
        <w:pStyle w:val="10"/>
        <w:rPr>
          <w:rFonts w:asciiTheme="minorHAnsi" w:hAnsiTheme="minorHAnsi" w:eastAsiaTheme="minorEastAsia"/>
          <w:color w:val="auto"/>
        </w:rPr>
      </w:pPr>
      <w:r>
        <w:rPr>
          <w:rStyle w:val="26"/>
          <w:color w:val="auto"/>
        </w:rPr>
        <w:fldChar w:fldCharType="begin"/>
      </w:r>
      <w:r>
        <w:rPr>
          <w:rStyle w:val="26"/>
          <w:color w:val="auto"/>
        </w:rPr>
        <w:instrText xml:space="preserve"> </w:instrText>
      </w:r>
      <w:r>
        <w:rPr>
          <w:color w:val="auto"/>
        </w:rPr>
        <w:instrText xml:space="preserve">HYPERLINK \l "_Toc93511747"</w:instrText>
      </w:r>
      <w:r>
        <w:rPr>
          <w:rStyle w:val="26"/>
          <w:color w:val="auto"/>
        </w:rPr>
        <w:instrText xml:space="preserve"> </w:instrText>
      </w:r>
      <w:r>
        <w:rPr>
          <w:rStyle w:val="26"/>
          <w:color w:val="auto"/>
        </w:rPr>
        <w:fldChar w:fldCharType="separate"/>
      </w:r>
      <w:r>
        <w:rPr>
          <w:rStyle w:val="26"/>
          <w:rFonts w:hint="eastAsia" w:ascii="Times New Roman" w:hAnsi="Times New Roman"/>
          <w:color w:val="auto"/>
        </w:rPr>
        <w:t>（一）公共卫生服务体系不断健全</w:t>
      </w:r>
      <w:r>
        <w:rPr>
          <w:color w:val="auto"/>
        </w:rPr>
        <w:tab/>
      </w:r>
      <w:r>
        <w:rPr>
          <w:color w:val="auto"/>
        </w:rPr>
        <w:fldChar w:fldCharType="begin"/>
      </w:r>
      <w:r>
        <w:rPr>
          <w:color w:val="auto"/>
        </w:rPr>
        <w:instrText xml:space="preserve"> PAGEREF _Toc93511747 \h </w:instrText>
      </w:r>
      <w:r>
        <w:rPr>
          <w:color w:val="auto"/>
        </w:rPr>
        <w:fldChar w:fldCharType="separate"/>
      </w:r>
      <w:r>
        <w:rPr>
          <w:color w:val="auto"/>
        </w:rPr>
        <w:t>2</w:t>
      </w:r>
      <w:r>
        <w:rPr>
          <w:color w:val="auto"/>
        </w:rPr>
        <w:fldChar w:fldCharType="end"/>
      </w:r>
      <w:r>
        <w:rPr>
          <w:rStyle w:val="26"/>
          <w:color w:val="auto"/>
        </w:rPr>
        <w:fldChar w:fldCharType="end"/>
      </w:r>
    </w:p>
    <w:p>
      <w:pPr>
        <w:pStyle w:val="10"/>
        <w:rPr>
          <w:rFonts w:asciiTheme="minorHAnsi" w:hAnsiTheme="minorHAnsi" w:eastAsiaTheme="minorEastAsia"/>
          <w:color w:val="auto"/>
        </w:rPr>
      </w:pPr>
      <w:r>
        <w:rPr>
          <w:rStyle w:val="26"/>
          <w:color w:val="auto"/>
        </w:rPr>
        <w:fldChar w:fldCharType="begin"/>
      </w:r>
      <w:r>
        <w:rPr>
          <w:rStyle w:val="26"/>
          <w:color w:val="auto"/>
        </w:rPr>
        <w:instrText xml:space="preserve"> </w:instrText>
      </w:r>
      <w:r>
        <w:rPr>
          <w:color w:val="auto"/>
        </w:rPr>
        <w:instrText xml:space="preserve">HYPERLINK \l "_Toc93511748"</w:instrText>
      </w:r>
      <w:r>
        <w:rPr>
          <w:rStyle w:val="26"/>
          <w:color w:val="auto"/>
        </w:rPr>
        <w:instrText xml:space="preserve"> </w:instrText>
      </w:r>
      <w:r>
        <w:rPr>
          <w:rStyle w:val="26"/>
          <w:color w:val="auto"/>
        </w:rPr>
        <w:fldChar w:fldCharType="separate"/>
      </w:r>
      <w:r>
        <w:rPr>
          <w:rStyle w:val="26"/>
          <w:rFonts w:hint="eastAsia" w:ascii="Times New Roman" w:hAnsi="Times New Roman"/>
          <w:color w:val="auto"/>
        </w:rPr>
        <w:t>（二）医疗卫生服务体系更加完善</w:t>
      </w:r>
      <w:r>
        <w:rPr>
          <w:color w:val="auto"/>
        </w:rPr>
        <w:tab/>
      </w:r>
      <w:r>
        <w:rPr>
          <w:color w:val="auto"/>
        </w:rPr>
        <w:fldChar w:fldCharType="begin"/>
      </w:r>
      <w:r>
        <w:rPr>
          <w:color w:val="auto"/>
        </w:rPr>
        <w:instrText xml:space="preserve"> PAGEREF _Toc93511748 \h </w:instrText>
      </w:r>
      <w:r>
        <w:rPr>
          <w:color w:val="auto"/>
        </w:rPr>
        <w:fldChar w:fldCharType="separate"/>
      </w:r>
      <w:r>
        <w:rPr>
          <w:color w:val="auto"/>
        </w:rPr>
        <w:t>3</w:t>
      </w:r>
      <w:r>
        <w:rPr>
          <w:color w:val="auto"/>
        </w:rPr>
        <w:fldChar w:fldCharType="end"/>
      </w:r>
      <w:r>
        <w:rPr>
          <w:rStyle w:val="26"/>
          <w:color w:val="auto"/>
        </w:rPr>
        <w:fldChar w:fldCharType="end"/>
      </w:r>
    </w:p>
    <w:p>
      <w:pPr>
        <w:pStyle w:val="10"/>
        <w:rPr>
          <w:rFonts w:asciiTheme="minorHAnsi" w:hAnsiTheme="minorHAnsi" w:eastAsiaTheme="minorEastAsia"/>
          <w:color w:val="auto"/>
        </w:rPr>
      </w:pPr>
      <w:r>
        <w:rPr>
          <w:rStyle w:val="26"/>
          <w:color w:val="auto"/>
        </w:rPr>
        <w:fldChar w:fldCharType="begin"/>
      </w:r>
      <w:r>
        <w:rPr>
          <w:rStyle w:val="26"/>
          <w:color w:val="auto"/>
        </w:rPr>
        <w:instrText xml:space="preserve"> </w:instrText>
      </w:r>
      <w:r>
        <w:rPr>
          <w:color w:val="auto"/>
        </w:rPr>
        <w:instrText xml:space="preserve">HYPERLINK \l "_Toc93511749"</w:instrText>
      </w:r>
      <w:r>
        <w:rPr>
          <w:rStyle w:val="26"/>
          <w:color w:val="auto"/>
        </w:rPr>
        <w:instrText xml:space="preserve"> </w:instrText>
      </w:r>
      <w:r>
        <w:rPr>
          <w:rStyle w:val="26"/>
          <w:color w:val="auto"/>
        </w:rPr>
        <w:fldChar w:fldCharType="separate"/>
      </w:r>
      <w:r>
        <w:rPr>
          <w:rStyle w:val="26"/>
          <w:rFonts w:hint="eastAsia" w:ascii="Times New Roman" w:hAnsi="Times New Roman"/>
          <w:color w:val="auto"/>
        </w:rPr>
        <w:t>（三）基层医疗卫生工作得到强化</w:t>
      </w:r>
      <w:r>
        <w:rPr>
          <w:color w:val="auto"/>
        </w:rPr>
        <w:tab/>
      </w:r>
      <w:r>
        <w:rPr>
          <w:color w:val="auto"/>
        </w:rPr>
        <w:fldChar w:fldCharType="begin"/>
      </w:r>
      <w:r>
        <w:rPr>
          <w:color w:val="auto"/>
        </w:rPr>
        <w:instrText xml:space="preserve"> PAGEREF _Toc93511749 \h </w:instrText>
      </w:r>
      <w:r>
        <w:rPr>
          <w:color w:val="auto"/>
        </w:rPr>
        <w:fldChar w:fldCharType="separate"/>
      </w:r>
      <w:r>
        <w:rPr>
          <w:color w:val="auto"/>
        </w:rPr>
        <w:t>3</w:t>
      </w:r>
      <w:r>
        <w:rPr>
          <w:color w:val="auto"/>
        </w:rPr>
        <w:fldChar w:fldCharType="end"/>
      </w:r>
      <w:r>
        <w:rPr>
          <w:rStyle w:val="26"/>
          <w:color w:val="auto"/>
        </w:rPr>
        <w:fldChar w:fldCharType="end"/>
      </w:r>
    </w:p>
    <w:p>
      <w:pPr>
        <w:pStyle w:val="10"/>
        <w:rPr>
          <w:rFonts w:asciiTheme="minorHAnsi" w:hAnsiTheme="minorHAnsi" w:eastAsiaTheme="minorEastAsia"/>
          <w:color w:val="auto"/>
        </w:rPr>
      </w:pPr>
      <w:r>
        <w:rPr>
          <w:rStyle w:val="26"/>
          <w:color w:val="auto"/>
        </w:rPr>
        <w:fldChar w:fldCharType="begin"/>
      </w:r>
      <w:r>
        <w:rPr>
          <w:rStyle w:val="26"/>
          <w:color w:val="auto"/>
        </w:rPr>
        <w:instrText xml:space="preserve"> </w:instrText>
      </w:r>
      <w:r>
        <w:rPr>
          <w:color w:val="auto"/>
        </w:rPr>
        <w:instrText xml:space="preserve">HYPERLINK \l "_Toc93511750"</w:instrText>
      </w:r>
      <w:r>
        <w:rPr>
          <w:rStyle w:val="26"/>
          <w:color w:val="auto"/>
        </w:rPr>
        <w:instrText xml:space="preserve"> </w:instrText>
      </w:r>
      <w:r>
        <w:rPr>
          <w:rStyle w:val="26"/>
          <w:color w:val="auto"/>
        </w:rPr>
        <w:fldChar w:fldCharType="separate"/>
      </w:r>
      <w:r>
        <w:rPr>
          <w:rStyle w:val="26"/>
          <w:rFonts w:hint="eastAsia" w:ascii="Times New Roman" w:hAnsi="Times New Roman"/>
          <w:color w:val="auto"/>
        </w:rPr>
        <w:t>（四）中医药事业发展进入新阶段</w:t>
      </w:r>
      <w:r>
        <w:rPr>
          <w:color w:val="auto"/>
        </w:rPr>
        <w:tab/>
      </w:r>
      <w:r>
        <w:rPr>
          <w:color w:val="auto"/>
        </w:rPr>
        <w:fldChar w:fldCharType="begin"/>
      </w:r>
      <w:r>
        <w:rPr>
          <w:color w:val="auto"/>
        </w:rPr>
        <w:instrText xml:space="preserve"> PAGEREF _Toc93511750 \h </w:instrText>
      </w:r>
      <w:r>
        <w:rPr>
          <w:color w:val="auto"/>
        </w:rPr>
        <w:fldChar w:fldCharType="separate"/>
      </w:r>
      <w:r>
        <w:rPr>
          <w:color w:val="auto"/>
        </w:rPr>
        <w:t>3</w:t>
      </w:r>
      <w:r>
        <w:rPr>
          <w:color w:val="auto"/>
        </w:rPr>
        <w:fldChar w:fldCharType="end"/>
      </w:r>
      <w:r>
        <w:rPr>
          <w:rStyle w:val="26"/>
          <w:color w:val="auto"/>
        </w:rPr>
        <w:fldChar w:fldCharType="end"/>
      </w:r>
    </w:p>
    <w:p>
      <w:pPr>
        <w:pStyle w:val="10"/>
        <w:rPr>
          <w:rFonts w:asciiTheme="minorHAnsi" w:hAnsiTheme="minorHAnsi" w:eastAsiaTheme="minorEastAsia"/>
          <w:color w:val="auto"/>
        </w:rPr>
      </w:pPr>
      <w:r>
        <w:rPr>
          <w:rStyle w:val="26"/>
          <w:color w:val="auto"/>
        </w:rPr>
        <w:fldChar w:fldCharType="begin"/>
      </w:r>
      <w:r>
        <w:rPr>
          <w:rStyle w:val="26"/>
          <w:color w:val="auto"/>
        </w:rPr>
        <w:instrText xml:space="preserve"> </w:instrText>
      </w:r>
      <w:r>
        <w:rPr>
          <w:color w:val="auto"/>
        </w:rPr>
        <w:instrText xml:space="preserve">HYPERLINK \l "_Toc93511751"</w:instrText>
      </w:r>
      <w:r>
        <w:rPr>
          <w:rStyle w:val="26"/>
          <w:color w:val="auto"/>
        </w:rPr>
        <w:instrText xml:space="preserve"> </w:instrText>
      </w:r>
      <w:r>
        <w:rPr>
          <w:rStyle w:val="26"/>
          <w:color w:val="auto"/>
        </w:rPr>
        <w:fldChar w:fldCharType="separate"/>
      </w:r>
      <w:r>
        <w:rPr>
          <w:rStyle w:val="26"/>
          <w:rFonts w:hint="eastAsia" w:ascii="Times New Roman" w:hAnsi="Times New Roman"/>
          <w:color w:val="auto"/>
        </w:rPr>
        <w:t>（五）卫生健康帮扶惠民成效显著</w:t>
      </w:r>
      <w:r>
        <w:rPr>
          <w:color w:val="auto"/>
        </w:rPr>
        <w:tab/>
      </w:r>
      <w:r>
        <w:rPr>
          <w:color w:val="auto"/>
        </w:rPr>
        <w:fldChar w:fldCharType="begin"/>
      </w:r>
      <w:r>
        <w:rPr>
          <w:color w:val="auto"/>
        </w:rPr>
        <w:instrText xml:space="preserve"> PAGEREF _Toc93511751 \h </w:instrText>
      </w:r>
      <w:r>
        <w:rPr>
          <w:color w:val="auto"/>
        </w:rPr>
        <w:fldChar w:fldCharType="separate"/>
      </w:r>
      <w:r>
        <w:rPr>
          <w:color w:val="auto"/>
        </w:rPr>
        <w:t>4</w:t>
      </w:r>
      <w:r>
        <w:rPr>
          <w:color w:val="auto"/>
        </w:rPr>
        <w:fldChar w:fldCharType="end"/>
      </w:r>
      <w:r>
        <w:rPr>
          <w:rStyle w:val="26"/>
          <w:color w:val="auto"/>
        </w:rPr>
        <w:fldChar w:fldCharType="end"/>
      </w:r>
    </w:p>
    <w:p>
      <w:pPr>
        <w:pStyle w:val="19"/>
        <w:tabs>
          <w:tab w:val="right" w:leader="dot" w:pos="8834"/>
        </w:tabs>
        <w:rPr>
          <w:rFonts w:asciiTheme="minorHAnsi" w:hAnsiTheme="minorHAnsi" w:eastAsiaTheme="minorEastAsia" w:cstheme="minorBidi"/>
          <w:color w:val="auto"/>
          <w:szCs w:val="22"/>
        </w:rPr>
      </w:pPr>
      <w:r>
        <w:rPr>
          <w:rStyle w:val="26"/>
          <w:color w:val="auto"/>
        </w:rPr>
        <w:fldChar w:fldCharType="begin"/>
      </w:r>
      <w:r>
        <w:rPr>
          <w:rStyle w:val="26"/>
          <w:color w:val="auto"/>
        </w:rPr>
        <w:instrText xml:space="preserve"> </w:instrText>
      </w:r>
      <w:r>
        <w:rPr>
          <w:color w:val="auto"/>
        </w:rPr>
        <w:instrText xml:space="preserve">HYPERLINK \l "_Toc93511752"</w:instrText>
      </w:r>
      <w:r>
        <w:rPr>
          <w:rStyle w:val="26"/>
          <w:color w:val="auto"/>
        </w:rPr>
        <w:instrText xml:space="preserve"> </w:instrText>
      </w:r>
      <w:r>
        <w:rPr>
          <w:rStyle w:val="26"/>
          <w:color w:val="auto"/>
        </w:rPr>
        <w:fldChar w:fldCharType="separate"/>
      </w:r>
      <w:r>
        <w:rPr>
          <w:rStyle w:val="26"/>
          <w:rFonts w:hint="eastAsia" w:ascii="楷体" w:hAnsi="楷体" w:eastAsia="楷体"/>
          <w:color w:val="auto"/>
        </w:rPr>
        <w:t>二、存在的问题与困难</w:t>
      </w:r>
      <w:r>
        <w:rPr>
          <w:color w:val="auto"/>
        </w:rPr>
        <w:tab/>
      </w:r>
      <w:r>
        <w:rPr>
          <w:color w:val="auto"/>
        </w:rPr>
        <w:fldChar w:fldCharType="begin"/>
      </w:r>
      <w:r>
        <w:rPr>
          <w:color w:val="auto"/>
        </w:rPr>
        <w:instrText xml:space="preserve"> PAGEREF _Toc93511752 \h </w:instrText>
      </w:r>
      <w:r>
        <w:rPr>
          <w:color w:val="auto"/>
        </w:rPr>
        <w:fldChar w:fldCharType="separate"/>
      </w:r>
      <w:r>
        <w:rPr>
          <w:color w:val="auto"/>
        </w:rPr>
        <w:t>4</w:t>
      </w:r>
      <w:r>
        <w:rPr>
          <w:color w:val="auto"/>
        </w:rPr>
        <w:fldChar w:fldCharType="end"/>
      </w:r>
      <w:r>
        <w:rPr>
          <w:rStyle w:val="26"/>
          <w:color w:val="auto"/>
        </w:rPr>
        <w:fldChar w:fldCharType="end"/>
      </w:r>
    </w:p>
    <w:p>
      <w:pPr>
        <w:pStyle w:val="10"/>
        <w:rPr>
          <w:rFonts w:asciiTheme="minorHAnsi" w:hAnsiTheme="minorHAnsi" w:eastAsiaTheme="minorEastAsia"/>
          <w:color w:val="auto"/>
        </w:rPr>
      </w:pPr>
      <w:r>
        <w:rPr>
          <w:rStyle w:val="26"/>
          <w:color w:val="auto"/>
        </w:rPr>
        <w:fldChar w:fldCharType="begin"/>
      </w:r>
      <w:r>
        <w:rPr>
          <w:rStyle w:val="26"/>
          <w:color w:val="auto"/>
        </w:rPr>
        <w:instrText xml:space="preserve"> </w:instrText>
      </w:r>
      <w:r>
        <w:rPr>
          <w:color w:val="auto"/>
        </w:rPr>
        <w:instrText xml:space="preserve">HYPERLINK \l "_Toc93511753"</w:instrText>
      </w:r>
      <w:r>
        <w:rPr>
          <w:rStyle w:val="26"/>
          <w:color w:val="auto"/>
        </w:rPr>
        <w:instrText xml:space="preserve"> </w:instrText>
      </w:r>
      <w:r>
        <w:rPr>
          <w:rStyle w:val="26"/>
          <w:color w:val="auto"/>
        </w:rPr>
        <w:fldChar w:fldCharType="separate"/>
      </w:r>
      <w:r>
        <w:rPr>
          <w:rStyle w:val="26"/>
          <w:rFonts w:hint="eastAsia" w:ascii="Times New Roman" w:hAnsi="Times New Roman"/>
          <w:color w:val="auto"/>
        </w:rPr>
        <w:t>（一）政府卫生投入规模结构亟待优化</w:t>
      </w:r>
      <w:r>
        <w:rPr>
          <w:color w:val="auto"/>
        </w:rPr>
        <w:tab/>
      </w:r>
      <w:r>
        <w:rPr>
          <w:color w:val="auto"/>
        </w:rPr>
        <w:fldChar w:fldCharType="begin"/>
      </w:r>
      <w:r>
        <w:rPr>
          <w:color w:val="auto"/>
        </w:rPr>
        <w:instrText xml:space="preserve"> PAGEREF _Toc93511753 \h </w:instrText>
      </w:r>
      <w:r>
        <w:rPr>
          <w:color w:val="auto"/>
        </w:rPr>
        <w:fldChar w:fldCharType="separate"/>
      </w:r>
      <w:r>
        <w:rPr>
          <w:color w:val="auto"/>
        </w:rPr>
        <w:t>4</w:t>
      </w:r>
      <w:r>
        <w:rPr>
          <w:color w:val="auto"/>
        </w:rPr>
        <w:fldChar w:fldCharType="end"/>
      </w:r>
      <w:r>
        <w:rPr>
          <w:rStyle w:val="26"/>
          <w:color w:val="auto"/>
        </w:rPr>
        <w:fldChar w:fldCharType="end"/>
      </w:r>
    </w:p>
    <w:p>
      <w:pPr>
        <w:pStyle w:val="10"/>
        <w:rPr>
          <w:rFonts w:asciiTheme="minorHAnsi" w:hAnsiTheme="minorHAnsi" w:eastAsiaTheme="minorEastAsia"/>
          <w:color w:val="auto"/>
        </w:rPr>
      </w:pPr>
      <w:r>
        <w:rPr>
          <w:rStyle w:val="26"/>
          <w:color w:val="auto"/>
        </w:rPr>
        <w:fldChar w:fldCharType="begin"/>
      </w:r>
      <w:r>
        <w:rPr>
          <w:rStyle w:val="26"/>
          <w:color w:val="auto"/>
        </w:rPr>
        <w:instrText xml:space="preserve"> </w:instrText>
      </w:r>
      <w:r>
        <w:rPr>
          <w:color w:val="auto"/>
        </w:rPr>
        <w:instrText xml:space="preserve">HYPERLINK \l "_Toc93511754"</w:instrText>
      </w:r>
      <w:r>
        <w:rPr>
          <w:rStyle w:val="26"/>
          <w:color w:val="auto"/>
        </w:rPr>
        <w:instrText xml:space="preserve"> </w:instrText>
      </w:r>
      <w:r>
        <w:rPr>
          <w:rStyle w:val="26"/>
          <w:color w:val="auto"/>
        </w:rPr>
        <w:fldChar w:fldCharType="separate"/>
      </w:r>
      <w:r>
        <w:rPr>
          <w:rStyle w:val="26"/>
          <w:rFonts w:hint="eastAsia" w:ascii="Times New Roman" w:hAnsi="Times New Roman"/>
          <w:color w:val="auto"/>
        </w:rPr>
        <w:t>（二）公共卫生服务体系建设仍待加强</w:t>
      </w:r>
      <w:r>
        <w:rPr>
          <w:color w:val="auto"/>
        </w:rPr>
        <w:tab/>
      </w:r>
      <w:r>
        <w:rPr>
          <w:color w:val="auto"/>
        </w:rPr>
        <w:fldChar w:fldCharType="begin"/>
      </w:r>
      <w:r>
        <w:rPr>
          <w:color w:val="auto"/>
        </w:rPr>
        <w:instrText xml:space="preserve"> PAGEREF _Toc93511754 \h </w:instrText>
      </w:r>
      <w:r>
        <w:rPr>
          <w:color w:val="auto"/>
        </w:rPr>
        <w:fldChar w:fldCharType="separate"/>
      </w:r>
      <w:r>
        <w:rPr>
          <w:color w:val="auto"/>
        </w:rPr>
        <w:t>4</w:t>
      </w:r>
      <w:r>
        <w:rPr>
          <w:color w:val="auto"/>
        </w:rPr>
        <w:fldChar w:fldCharType="end"/>
      </w:r>
      <w:r>
        <w:rPr>
          <w:rStyle w:val="26"/>
          <w:color w:val="auto"/>
        </w:rPr>
        <w:fldChar w:fldCharType="end"/>
      </w:r>
    </w:p>
    <w:p>
      <w:pPr>
        <w:pStyle w:val="10"/>
        <w:rPr>
          <w:rFonts w:asciiTheme="minorHAnsi" w:hAnsiTheme="minorHAnsi" w:eastAsiaTheme="minorEastAsia"/>
          <w:color w:val="auto"/>
        </w:rPr>
      </w:pPr>
      <w:r>
        <w:rPr>
          <w:rStyle w:val="26"/>
          <w:color w:val="auto"/>
        </w:rPr>
        <w:fldChar w:fldCharType="begin"/>
      </w:r>
      <w:r>
        <w:rPr>
          <w:rStyle w:val="26"/>
          <w:color w:val="auto"/>
        </w:rPr>
        <w:instrText xml:space="preserve"> </w:instrText>
      </w:r>
      <w:r>
        <w:rPr>
          <w:color w:val="auto"/>
        </w:rPr>
        <w:instrText xml:space="preserve">HYPERLINK \l "_Toc93511755"</w:instrText>
      </w:r>
      <w:r>
        <w:rPr>
          <w:rStyle w:val="26"/>
          <w:color w:val="auto"/>
        </w:rPr>
        <w:instrText xml:space="preserve"> </w:instrText>
      </w:r>
      <w:r>
        <w:rPr>
          <w:rStyle w:val="26"/>
          <w:color w:val="auto"/>
        </w:rPr>
        <w:fldChar w:fldCharType="separate"/>
      </w:r>
      <w:r>
        <w:rPr>
          <w:rStyle w:val="26"/>
          <w:rFonts w:hint="eastAsia" w:ascii="Times New Roman" w:hAnsi="Times New Roman"/>
          <w:color w:val="auto"/>
        </w:rPr>
        <w:t>（三）医疗服务体系均衡发展仍需改善</w:t>
      </w:r>
      <w:r>
        <w:rPr>
          <w:color w:val="auto"/>
        </w:rPr>
        <w:tab/>
      </w:r>
      <w:r>
        <w:rPr>
          <w:color w:val="auto"/>
        </w:rPr>
        <w:fldChar w:fldCharType="begin"/>
      </w:r>
      <w:r>
        <w:rPr>
          <w:color w:val="auto"/>
        </w:rPr>
        <w:instrText xml:space="preserve"> PAGEREF _Toc93511755 \h </w:instrText>
      </w:r>
      <w:r>
        <w:rPr>
          <w:color w:val="auto"/>
        </w:rPr>
        <w:fldChar w:fldCharType="separate"/>
      </w:r>
      <w:r>
        <w:rPr>
          <w:color w:val="auto"/>
        </w:rPr>
        <w:t>5</w:t>
      </w:r>
      <w:r>
        <w:rPr>
          <w:color w:val="auto"/>
        </w:rPr>
        <w:fldChar w:fldCharType="end"/>
      </w:r>
      <w:r>
        <w:rPr>
          <w:rStyle w:val="26"/>
          <w:color w:val="auto"/>
        </w:rPr>
        <w:fldChar w:fldCharType="end"/>
      </w:r>
    </w:p>
    <w:p>
      <w:pPr>
        <w:pStyle w:val="10"/>
        <w:rPr>
          <w:rFonts w:asciiTheme="minorHAnsi" w:hAnsiTheme="minorHAnsi" w:eastAsiaTheme="minorEastAsia"/>
          <w:color w:val="auto"/>
        </w:rPr>
      </w:pPr>
      <w:r>
        <w:rPr>
          <w:rStyle w:val="26"/>
          <w:color w:val="auto"/>
        </w:rPr>
        <w:fldChar w:fldCharType="begin"/>
      </w:r>
      <w:r>
        <w:rPr>
          <w:rStyle w:val="26"/>
          <w:color w:val="auto"/>
        </w:rPr>
        <w:instrText xml:space="preserve"> </w:instrText>
      </w:r>
      <w:r>
        <w:rPr>
          <w:color w:val="auto"/>
        </w:rPr>
        <w:instrText xml:space="preserve">HYPERLINK \l "_Toc93511756"</w:instrText>
      </w:r>
      <w:r>
        <w:rPr>
          <w:rStyle w:val="26"/>
          <w:color w:val="auto"/>
        </w:rPr>
        <w:instrText xml:space="preserve"> </w:instrText>
      </w:r>
      <w:r>
        <w:rPr>
          <w:rStyle w:val="26"/>
          <w:color w:val="auto"/>
        </w:rPr>
        <w:fldChar w:fldCharType="separate"/>
      </w:r>
      <w:r>
        <w:rPr>
          <w:rStyle w:val="26"/>
          <w:rFonts w:hint="eastAsia" w:ascii="Times New Roman" w:hAnsi="Times New Roman"/>
          <w:color w:val="auto"/>
        </w:rPr>
        <w:t>（四）基层医疗卫生服务短板仍较明显</w:t>
      </w:r>
      <w:r>
        <w:rPr>
          <w:color w:val="auto"/>
        </w:rPr>
        <w:tab/>
      </w:r>
      <w:r>
        <w:rPr>
          <w:color w:val="auto"/>
        </w:rPr>
        <w:fldChar w:fldCharType="begin"/>
      </w:r>
      <w:r>
        <w:rPr>
          <w:color w:val="auto"/>
        </w:rPr>
        <w:instrText xml:space="preserve"> PAGEREF _Toc93511756 \h </w:instrText>
      </w:r>
      <w:r>
        <w:rPr>
          <w:color w:val="auto"/>
        </w:rPr>
        <w:fldChar w:fldCharType="separate"/>
      </w:r>
      <w:r>
        <w:rPr>
          <w:color w:val="auto"/>
        </w:rPr>
        <w:t>5</w:t>
      </w:r>
      <w:r>
        <w:rPr>
          <w:color w:val="auto"/>
        </w:rPr>
        <w:fldChar w:fldCharType="end"/>
      </w:r>
      <w:r>
        <w:rPr>
          <w:rStyle w:val="26"/>
          <w:color w:val="auto"/>
        </w:rPr>
        <w:fldChar w:fldCharType="end"/>
      </w:r>
    </w:p>
    <w:p>
      <w:pPr>
        <w:pStyle w:val="10"/>
        <w:rPr>
          <w:rFonts w:asciiTheme="minorHAnsi" w:hAnsiTheme="minorHAnsi" w:eastAsiaTheme="minorEastAsia"/>
          <w:color w:val="auto"/>
        </w:rPr>
      </w:pPr>
      <w:r>
        <w:rPr>
          <w:rStyle w:val="26"/>
          <w:color w:val="auto"/>
        </w:rPr>
        <w:fldChar w:fldCharType="begin"/>
      </w:r>
      <w:r>
        <w:rPr>
          <w:rStyle w:val="26"/>
          <w:color w:val="auto"/>
        </w:rPr>
        <w:instrText xml:space="preserve"> </w:instrText>
      </w:r>
      <w:r>
        <w:rPr>
          <w:color w:val="auto"/>
        </w:rPr>
        <w:instrText xml:space="preserve">HYPERLINK \l "_Toc93511757"</w:instrText>
      </w:r>
      <w:r>
        <w:rPr>
          <w:rStyle w:val="26"/>
          <w:color w:val="auto"/>
        </w:rPr>
        <w:instrText xml:space="preserve"> </w:instrText>
      </w:r>
      <w:r>
        <w:rPr>
          <w:rStyle w:val="26"/>
          <w:color w:val="auto"/>
        </w:rPr>
        <w:fldChar w:fldCharType="separate"/>
      </w:r>
      <w:r>
        <w:rPr>
          <w:rStyle w:val="26"/>
          <w:rFonts w:hint="eastAsia" w:ascii="Times New Roman" w:hAnsi="Times New Roman"/>
          <w:color w:val="auto"/>
        </w:rPr>
        <w:t>（五）卫生技术人员不足问题仍较突出</w:t>
      </w:r>
      <w:r>
        <w:rPr>
          <w:color w:val="auto"/>
        </w:rPr>
        <w:tab/>
      </w:r>
      <w:r>
        <w:rPr>
          <w:color w:val="auto"/>
        </w:rPr>
        <w:fldChar w:fldCharType="begin"/>
      </w:r>
      <w:r>
        <w:rPr>
          <w:color w:val="auto"/>
        </w:rPr>
        <w:instrText xml:space="preserve"> PAGEREF _Toc93511757 \h </w:instrText>
      </w:r>
      <w:r>
        <w:rPr>
          <w:color w:val="auto"/>
        </w:rPr>
        <w:fldChar w:fldCharType="separate"/>
      </w:r>
      <w:r>
        <w:rPr>
          <w:color w:val="auto"/>
        </w:rPr>
        <w:t>5</w:t>
      </w:r>
      <w:r>
        <w:rPr>
          <w:color w:val="auto"/>
        </w:rPr>
        <w:fldChar w:fldCharType="end"/>
      </w:r>
      <w:r>
        <w:rPr>
          <w:rStyle w:val="26"/>
          <w:color w:val="auto"/>
        </w:rPr>
        <w:fldChar w:fldCharType="end"/>
      </w:r>
    </w:p>
    <w:p>
      <w:pPr>
        <w:pStyle w:val="19"/>
        <w:tabs>
          <w:tab w:val="right" w:leader="dot" w:pos="8834"/>
        </w:tabs>
        <w:rPr>
          <w:rFonts w:asciiTheme="minorHAnsi" w:hAnsiTheme="minorHAnsi" w:eastAsiaTheme="minorEastAsia" w:cstheme="minorBidi"/>
          <w:color w:val="auto"/>
          <w:szCs w:val="22"/>
        </w:rPr>
      </w:pPr>
      <w:r>
        <w:rPr>
          <w:rStyle w:val="26"/>
          <w:color w:val="auto"/>
        </w:rPr>
        <w:fldChar w:fldCharType="begin"/>
      </w:r>
      <w:r>
        <w:rPr>
          <w:rStyle w:val="26"/>
          <w:color w:val="auto"/>
        </w:rPr>
        <w:instrText xml:space="preserve"> </w:instrText>
      </w:r>
      <w:r>
        <w:rPr>
          <w:color w:val="auto"/>
        </w:rPr>
        <w:instrText xml:space="preserve">HYPERLINK \l "_Toc93511758"</w:instrText>
      </w:r>
      <w:r>
        <w:rPr>
          <w:rStyle w:val="26"/>
          <w:color w:val="auto"/>
        </w:rPr>
        <w:instrText xml:space="preserve"> </w:instrText>
      </w:r>
      <w:r>
        <w:rPr>
          <w:rStyle w:val="26"/>
          <w:color w:val="auto"/>
        </w:rPr>
        <w:fldChar w:fldCharType="separate"/>
      </w:r>
      <w:r>
        <w:rPr>
          <w:rStyle w:val="26"/>
          <w:rFonts w:hint="eastAsia" w:ascii="楷体" w:hAnsi="楷体" w:eastAsia="楷体"/>
          <w:color w:val="auto"/>
        </w:rPr>
        <w:t>三、面临的形势与挑战</w:t>
      </w:r>
      <w:r>
        <w:rPr>
          <w:color w:val="auto"/>
        </w:rPr>
        <w:tab/>
      </w:r>
      <w:r>
        <w:rPr>
          <w:color w:val="auto"/>
        </w:rPr>
        <w:fldChar w:fldCharType="begin"/>
      </w:r>
      <w:r>
        <w:rPr>
          <w:color w:val="auto"/>
        </w:rPr>
        <w:instrText xml:space="preserve"> PAGEREF _Toc93511758 \h </w:instrText>
      </w:r>
      <w:r>
        <w:rPr>
          <w:color w:val="auto"/>
        </w:rPr>
        <w:fldChar w:fldCharType="separate"/>
      </w:r>
      <w:r>
        <w:rPr>
          <w:color w:val="auto"/>
        </w:rPr>
        <w:t>5</w:t>
      </w:r>
      <w:r>
        <w:rPr>
          <w:color w:val="auto"/>
        </w:rPr>
        <w:fldChar w:fldCharType="end"/>
      </w:r>
      <w:r>
        <w:rPr>
          <w:rStyle w:val="26"/>
          <w:color w:val="auto"/>
        </w:rPr>
        <w:fldChar w:fldCharType="end"/>
      </w:r>
    </w:p>
    <w:p>
      <w:pPr>
        <w:pStyle w:val="10"/>
        <w:rPr>
          <w:rFonts w:asciiTheme="minorHAnsi" w:hAnsiTheme="minorHAnsi" w:eastAsiaTheme="minorEastAsia"/>
          <w:color w:val="auto"/>
        </w:rPr>
      </w:pPr>
      <w:r>
        <w:rPr>
          <w:rStyle w:val="26"/>
          <w:color w:val="auto"/>
        </w:rPr>
        <w:fldChar w:fldCharType="begin"/>
      </w:r>
      <w:r>
        <w:rPr>
          <w:rStyle w:val="26"/>
          <w:color w:val="auto"/>
        </w:rPr>
        <w:instrText xml:space="preserve"> </w:instrText>
      </w:r>
      <w:r>
        <w:rPr>
          <w:color w:val="auto"/>
        </w:rPr>
        <w:instrText xml:space="preserve">HYPERLINK \l "_Toc93511759"</w:instrText>
      </w:r>
      <w:r>
        <w:rPr>
          <w:rStyle w:val="26"/>
          <w:color w:val="auto"/>
        </w:rPr>
        <w:instrText xml:space="preserve"> </w:instrText>
      </w:r>
      <w:r>
        <w:rPr>
          <w:rStyle w:val="26"/>
          <w:color w:val="auto"/>
        </w:rPr>
        <w:fldChar w:fldCharType="separate"/>
      </w:r>
      <w:r>
        <w:rPr>
          <w:rStyle w:val="26"/>
          <w:rFonts w:hint="eastAsia" w:ascii="Times New Roman" w:hAnsi="Times New Roman"/>
          <w:color w:val="auto"/>
        </w:rPr>
        <w:t>（一）面临的形势</w:t>
      </w:r>
      <w:r>
        <w:rPr>
          <w:color w:val="auto"/>
        </w:rPr>
        <w:tab/>
      </w:r>
      <w:r>
        <w:rPr>
          <w:color w:val="auto"/>
        </w:rPr>
        <w:fldChar w:fldCharType="begin"/>
      </w:r>
      <w:r>
        <w:rPr>
          <w:color w:val="auto"/>
        </w:rPr>
        <w:instrText xml:space="preserve"> PAGEREF _Toc93511759 \h </w:instrText>
      </w:r>
      <w:r>
        <w:rPr>
          <w:color w:val="auto"/>
        </w:rPr>
        <w:fldChar w:fldCharType="separate"/>
      </w:r>
      <w:r>
        <w:rPr>
          <w:color w:val="auto"/>
        </w:rPr>
        <w:t>6</w:t>
      </w:r>
      <w:r>
        <w:rPr>
          <w:color w:val="auto"/>
        </w:rPr>
        <w:fldChar w:fldCharType="end"/>
      </w:r>
      <w:r>
        <w:rPr>
          <w:rStyle w:val="26"/>
          <w:color w:val="auto"/>
        </w:rPr>
        <w:fldChar w:fldCharType="end"/>
      </w:r>
    </w:p>
    <w:p>
      <w:pPr>
        <w:pStyle w:val="10"/>
        <w:rPr>
          <w:rFonts w:asciiTheme="minorHAnsi" w:hAnsiTheme="minorHAnsi" w:eastAsiaTheme="minorEastAsia"/>
          <w:color w:val="auto"/>
        </w:rPr>
      </w:pPr>
      <w:r>
        <w:rPr>
          <w:rStyle w:val="26"/>
          <w:color w:val="auto"/>
        </w:rPr>
        <w:fldChar w:fldCharType="begin"/>
      </w:r>
      <w:r>
        <w:rPr>
          <w:rStyle w:val="26"/>
          <w:color w:val="auto"/>
        </w:rPr>
        <w:instrText xml:space="preserve"> </w:instrText>
      </w:r>
      <w:r>
        <w:rPr>
          <w:color w:val="auto"/>
        </w:rPr>
        <w:instrText xml:space="preserve">HYPERLINK \l "_Toc93511760"</w:instrText>
      </w:r>
      <w:r>
        <w:rPr>
          <w:rStyle w:val="26"/>
          <w:color w:val="auto"/>
        </w:rPr>
        <w:instrText xml:space="preserve"> </w:instrText>
      </w:r>
      <w:r>
        <w:rPr>
          <w:rStyle w:val="26"/>
          <w:color w:val="auto"/>
        </w:rPr>
        <w:fldChar w:fldCharType="separate"/>
      </w:r>
      <w:r>
        <w:rPr>
          <w:rStyle w:val="26"/>
          <w:rFonts w:hint="eastAsia" w:ascii="Times New Roman" w:hAnsi="Times New Roman"/>
          <w:color w:val="auto"/>
        </w:rPr>
        <w:t>（二）面临的挑战</w:t>
      </w:r>
      <w:r>
        <w:rPr>
          <w:color w:val="auto"/>
        </w:rPr>
        <w:tab/>
      </w:r>
      <w:r>
        <w:rPr>
          <w:color w:val="auto"/>
        </w:rPr>
        <w:fldChar w:fldCharType="begin"/>
      </w:r>
      <w:r>
        <w:rPr>
          <w:color w:val="auto"/>
        </w:rPr>
        <w:instrText xml:space="preserve"> PAGEREF _Toc93511760 \h </w:instrText>
      </w:r>
      <w:r>
        <w:rPr>
          <w:color w:val="auto"/>
        </w:rPr>
        <w:fldChar w:fldCharType="separate"/>
      </w:r>
      <w:r>
        <w:rPr>
          <w:color w:val="auto"/>
        </w:rPr>
        <w:t>6</w:t>
      </w:r>
      <w:r>
        <w:rPr>
          <w:color w:val="auto"/>
        </w:rPr>
        <w:fldChar w:fldCharType="end"/>
      </w:r>
      <w:r>
        <w:rPr>
          <w:rStyle w:val="26"/>
          <w:color w:val="auto"/>
        </w:rPr>
        <w:fldChar w:fldCharType="end"/>
      </w:r>
    </w:p>
    <w:p>
      <w:pPr>
        <w:pStyle w:val="15"/>
        <w:rPr>
          <w:rFonts w:asciiTheme="minorHAnsi" w:hAnsiTheme="minorHAnsi" w:eastAsiaTheme="minorEastAsia" w:cstheme="minorBidi"/>
          <w:color w:val="auto"/>
          <w:sz w:val="21"/>
          <w:szCs w:val="22"/>
        </w:rPr>
      </w:pPr>
      <w:r>
        <w:rPr>
          <w:rStyle w:val="26"/>
          <w:color w:val="auto"/>
        </w:rPr>
        <w:fldChar w:fldCharType="begin"/>
      </w:r>
      <w:r>
        <w:rPr>
          <w:rStyle w:val="26"/>
          <w:color w:val="auto"/>
        </w:rPr>
        <w:instrText xml:space="preserve"> </w:instrText>
      </w:r>
      <w:r>
        <w:rPr>
          <w:color w:val="auto"/>
        </w:rPr>
        <w:instrText xml:space="preserve">HYPERLINK \l "_Toc93511761"</w:instrText>
      </w:r>
      <w:r>
        <w:rPr>
          <w:rStyle w:val="26"/>
          <w:color w:val="auto"/>
        </w:rPr>
        <w:instrText xml:space="preserve"> </w:instrText>
      </w:r>
      <w:r>
        <w:rPr>
          <w:rStyle w:val="26"/>
          <w:color w:val="auto"/>
        </w:rPr>
        <w:fldChar w:fldCharType="separate"/>
      </w:r>
      <w:r>
        <w:rPr>
          <w:rStyle w:val="26"/>
          <w:rFonts w:hint="eastAsia"/>
          <w:color w:val="auto"/>
        </w:rPr>
        <w:t>第二章</w:t>
      </w:r>
      <w:r>
        <w:rPr>
          <w:rStyle w:val="26"/>
          <w:color w:val="auto"/>
        </w:rPr>
        <w:t xml:space="preserve"> </w:t>
      </w:r>
      <w:r>
        <w:rPr>
          <w:rStyle w:val="26"/>
          <w:rFonts w:hint="eastAsia"/>
          <w:color w:val="auto"/>
        </w:rPr>
        <w:t>指导思想与目标</w:t>
      </w:r>
      <w:r>
        <w:rPr>
          <w:color w:val="auto"/>
        </w:rPr>
        <w:tab/>
      </w:r>
      <w:r>
        <w:rPr>
          <w:color w:val="auto"/>
        </w:rPr>
        <w:fldChar w:fldCharType="begin"/>
      </w:r>
      <w:r>
        <w:rPr>
          <w:color w:val="auto"/>
        </w:rPr>
        <w:instrText xml:space="preserve"> PAGEREF _Toc93511761 \h </w:instrText>
      </w:r>
      <w:r>
        <w:rPr>
          <w:color w:val="auto"/>
        </w:rPr>
        <w:fldChar w:fldCharType="separate"/>
      </w:r>
      <w:r>
        <w:rPr>
          <w:color w:val="auto"/>
        </w:rPr>
        <w:t>7</w:t>
      </w:r>
      <w:r>
        <w:rPr>
          <w:color w:val="auto"/>
        </w:rPr>
        <w:fldChar w:fldCharType="end"/>
      </w:r>
      <w:r>
        <w:rPr>
          <w:rStyle w:val="26"/>
          <w:color w:val="auto"/>
        </w:rPr>
        <w:fldChar w:fldCharType="end"/>
      </w:r>
    </w:p>
    <w:p>
      <w:pPr>
        <w:pStyle w:val="19"/>
        <w:tabs>
          <w:tab w:val="right" w:leader="dot" w:pos="8834"/>
        </w:tabs>
        <w:rPr>
          <w:rFonts w:asciiTheme="minorHAnsi" w:hAnsiTheme="minorHAnsi" w:eastAsiaTheme="minorEastAsia" w:cstheme="minorBidi"/>
          <w:color w:val="auto"/>
          <w:szCs w:val="22"/>
        </w:rPr>
      </w:pPr>
      <w:r>
        <w:rPr>
          <w:rStyle w:val="26"/>
          <w:color w:val="auto"/>
        </w:rPr>
        <w:fldChar w:fldCharType="begin"/>
      </w:r>
      <w:r>
        <w:rPr>
          <w:rStyle w:val="26"/>
          <w:color w:val="auto"/>
        </w:rPr>
        <w:instrText xml:space="preserve"> </w:instrText>
      </w:r>
      <w:r>
        <w:rPr>
          <w:color w:val="auto"/>
        </w:rPr>
        <w:instrText xml:space="preserve">HYPERLINK \l "_Toc93511762"</w:instrText>
      </w:r>
      <w:r>
        <w:rPr>
          <w:rStyle w:val="26"/>
          <w:color w:val="auto"/>
        </w:rPr>
        <w:instrText xml:space="preserve"> </w:instrText>
      </w:r>
      <w:r>
        <w:rPr>
          <w:rStyle w:val="26"/>
          <w:color w:val="auto"/>
        </w:rPr>
        <w:fldChar w:fldCharType="separate"/>
      </w:r>
      <w:r>
        <w:rPr>
          <w:rStyle w:val="26"/>
          <w:rFonts w:hint="eastAsia" w:ascii="楷体" w:hAnsi="楷体" w:eastAsia="楷体"/>
          <w:color w:val="auto"/>
        </w:rPr>
        <w:t>一、指导思想</w:t>
      </w:r>
      <w:r>
        <w:rPr>
          <w:color w:val="auto"/>
        </w:rPr>
        <w:tab/>
      </w:r>
      <w:r>
        <w:rPr>
          <w:color w:val="auto"/>
        </w:rPr>
        <w:fldChar w:fldCharType="begin"/>
      </w:r>
      <w:r>
        <w:rPr>
          <w:color w:val="auto"/>
        </w:rPr>
        <w:instrText xml:space="preserve"> PAGEREF _Toc93511762 \h </w:instrText>
      </w:r>
      <w:r>
        <w:rPr>
          <w:color w:val="auto"/>
        </w:rPr>
        <w:fldChar w:fldCharType="separate"/>
      </w:r>
      <w:r>
        <w:rPr>
          <w:color w:val="auto"/>
        </w:rPr>
        <w:t>7</w:t>
      </w:r>
      <w:r>
        <w:rPr>
          <w:color w:val="auto"/>
        </w:rPr>
        <w:fldChar w:fldCharType="end"/>
      </w:r>
      <w:r>
        <w:rPr>
          <w:rStyle w:val="26"/>
          <w:color w:val="auto"/>
        </w:rPr>
        <w:fldChar w:fldCharType="end"/>
      </w:r>
    </w:p>
    <w:p>
      <w:pPr>
        <w:pStyle w:val="19"/>
        <w:tabs>
          <w:tab w:val="right" w:leader="dot" w:pos="8834"/>
        </w:tabs>
        <w:rPr>
          <w:rFonts w:asciiTheme="minorHAnsi" w:hAnsiTheme="minorHAnsi" w:eastAsiaTheme="minorEastAsia" w:cstheme="minorBidi"/>
          <w:color w:val="auto"/>
          <w:szCs w:val="22"/>
        </w:rPr>
      </w:pPr>
      <w:r>
        <w:rPr>
          <w:rStyle w:val="26"/>
          <w:color w:val="auto"/>
        </w:rPr>
        <w:fldChar w:fldCharType="begin"/>
      </w:r>
      <w:r>
        <w:rPr>
          <w:rStyle w:val="26"/>
          <w:color w:val="auto"/>
        </w:rPr>
        <w:instrText xml:space="preserve"> </w:instrText>
      </w:r>
      <w:r>
        <w:rPr>
          <w:color w:val="auto"/>
        </w:rPr>
        <w:instrText xml:space="preserve">HYPERLINK \l "_Toc93511763"</w:instrText>
      </w:r>
      <w:r>
        <w:rPr>
          <w:rStyle w:val="26"/>
          <w:color w:val="auto"/>
        </w:rPr>
        <w:instrText xml:space="preserve"> </w:instrText>
      </w:r>
      <w:r>
        <w:rPr>
          <w:rStyle w:val="26"/>
          <w:color w:val="auto"/>
        </w:rPr>
        <w:fldChar w:fldCharType="separate"/>
      </w:r>
      <w:r>
        <w:rPr>
          <w:rStyle w:val="26"/>
          <w:rFonts w:hint="eastAsia" w:ascii="楷体" w:hAnsi="楷体" w:eastAsia="楷体"/>
          <w:color w:val="auto"/>
        </w:rPr>
        <w:t>二、发展原则</w:t>
      </w:r>
      <w:r>
        <w:rPr>
          <w:color w:val="auto"/>
        </w:rPr>
        <w:tab/>
      </w:r>
      <w:r>
        <w:rPr>
          <w:color w:val="auto"/>
        </w:rPr>
        <w:fldChar w:fldCharType="begin"/>
      </w:r>
      <w:r>
        <w:rPr>
          <w:color w:val="auto"/>
        </w:rPr>
        <w:instrText xml:space="preserve"> PAGEREF _Toc93511763 \h </w:instrText>
      </w:r>
      <w:r>
        <w:rPr>
          <w:color w:val="auto"/>
        </w:rPr>
        <w:fldChar w:fldCharType="separate"/>
      </w:r>
      <w:r>
        <w:rPr>
          <w:color w:val="auto"/>
        </w:rPr>
        <w:t>8</w:t>
      </w:r>
      <w:r>
        <w:rPr>
          <w:color w:val="auto"/>
        </w:rPr>
        <w:fldChar w:fldCharType="end"/>
      </w:r>
      <w:r>
        <w:rPr>
          <w:rStyle w:val="26"/>
          <w:color w:val="auto"/>
        </w:rPr>
        <w:fldChar w:fldCharType="end"/>
      </w:r>
    </w:p>
    <w:p>
      <w:pPr>
        <w:pStyle w:val="10"/>
        <w:rPr>
          <w:rFonts w:asciiTheme="minorHAnsi" w:hAnsiTheme="minorHAnsi" w:eastAsiaTheme="minorEastAsia"/>
          <w:color w:val="auto"/>
        </w:rPr>
      </w:pPr>
      <w:r>
        <w:rPr>
          <w:rStyle w:val="26"/>
          <w:color w:val="auto"/>
        </w:rPr>
        <w:fldChar w:fldCharType="begin"/>
      </w:r>
      <w:r>
        <w:rPr>
          <w:rStyle w:val="26"/>
          <w:color w:val="auto"/>
        </w:rPr>
        <w:instrText xml:space="preserve"> </w:instrText>
      </w:r>
      <w:r>
        <w:rPr>
          <w:color w:val="auto"/>
        </w:rPr>
        <w:instrText xml:space="preserve">HYPERLINK \l "_Toc93511764"</w:instrText>
      </w:r>
      <w:r>
        <w:rPr>
          <w:rStyle w:val="26"/>
          <w:color w:val="auto"/>
        </w:rPr>
        <w:instrText xml:space="preserve"> </w:instrText>
      </w:r>
      <w:r>
        <w:rPr>
          <w:rStyle w:val="26"/>
          <w:color w:val="auto"/>
        </w:rPr>
        <w:fldChar w:fldCharType="separate"/>
      </w:r>
      <w:r>
        <w:rPr>
          <w:rStyle w:val="26"/>
          <w:rFonts w:hint="eastAsia" w:ascii="Times New Roman" w:hAnsi="Times New Roman"/>
          <w:color w:val="auto"/>
        </w:rPr>
        <w:t>（一）坚持党的领导，发挥特色制度优势</w:t>
      </w:r>
      <w:r>
        <w:rPr>
          <w:color w:val="auto"/>
        </w:rPr>
        <w:tab/>
      </w:r>
      <w:r>
        <w:rPr>
          <w:color w:val="auto"/>
        </w:rPr>
        <w:fldChar w:fldCharType="begin"/>
      </w:r>
      <w:r>
        <w:rPr>
          <w:color w:val="auto"/>
        </w:rPr>
        <w:instrText xml:space="preserve"> PAGEREF _Toc93511764 \h </w:instrText>
      </w:r>
      <w:r>
        <w:rPr>
          <w:color w:val="auto"/>
        </w:rPr>
        <w:fldChar w:fldCharType="separate"/>
      </w:r>
      <w:r>
        <w:rPr>
          <w:color w:val="auto"/>
        </w:rPr>
        <w:t>8</w:t>
      </w:r>
      <w:r>
        <w:rPr>
          <w:color w:val="auto"/>
        </w:rPr>
        <w:fldChar w:fldCharType="end"/>
      </w:r>
      <w:r>
        <w:rPr>
          <w:rStyle w:val="26"/>
          <w:color w:val="auto"/>
        </w:rPr>
        <w:fldChar w:fldCharType="end"/>
      </w:r>
    </w:p>
    <w:p>
      <w:pPr>
        <w:pStyle w:val="10"/>
        <w:rPr>
          <w:rFonts w:asciiTheme="minorHAnsi" w:hAnsiTheme="minorHAnsi" w:eastAsiaTheme="minorEastAsia"/>
          <w:color w:val="auto"/>
        </w:rPr>
      </w:pPr>
      <w:r>
        <w:rPr>
          <w:rStyle w:val="26"/>
          <w:color w:val="auto"/>
        </w:rPr>
        <w:fldChar w:fldCharType="begin"/>
      </w:r>
      <w:r>
        <w:rPr>
          <w:rStyle w:val="26"/>
          <w:color w:val="auto"/>
        </w:rPr>
        <w:instrText xml:space="preserve"> </w:instrText>
      </w:r>
      <w:r>
        <w:rPr>
          <w:color w:val="auto"/>
        </w:rPr>
        <w:instrText xml:space="preserve">HYPERLINK \l "_Toc93511765"</w:instrText>
      </w:r>
      <w:r>
        <w:rPr>
          <w:rStyle w:val="26"/>
          <w:color w:val="auto"/>
        </w:rPr>
        <w:instrText xml:space="preserve"> </w:instrText>
      </w:r>
      <w:r>
        <w:rPr>
          <w:rStyle w:val="26"/>
          <w:color w:val="auto"/>
        </w:rPr>
        <w:fldChar w:fldCharType="separate"/>
      </w:r>
      <w:r>
        <w:rPr>
          <w:rStyle w:val="26"/>
          <w:rFonts w:hint="eastAsia" w:ascii="Times New Roman" w:hAnsi="Times New Roman"/>
          <w:color w:val="auto"/>
        </w:rPr>
        <w:t>（二）坚持健康优先，人民至上生命至上</w:t>
      </w:r>
      <w:r>
        <w:rPr>
          <w:color w:val="auto"/>
        </w:rPr>
        <w:tab/>
      </w:r>
      <w:r>
        <w:rPr>
          <w:color w:val="auto"/>
        </w:rPr>
        <w:fldChar w:fldCharType="begin"/>
      </w:r>
      <w:r>
        <w:rPr>
          <w:color w:val="auto"/>
        </w:rPr>
        <w:instrText xml:space="preserve"> PAGEREF _Toc93511765 \h </w:instrText>
      </w:r>
      <w:r>
        <w:rPr>
          <w:color w:val="auto"/>
        </w:rPr>
        <w:fldChar w:fldCharType="separate"/>
      </w:r>
      <w:r>
        <w:rPr>
          <w:color w:val="auto"/>
        </w:rPr>
        <w:t>8</w:t>
      </w:r>
      <w:r>
        <w:rPr>
          <w:color w:val="auto"/>
        </w:rPr>
        <w:fldChar w:fldCharType="end"/>
      </w:r>
      <w:r>
        <w:rPr>
          <w:rStyle w:val="26"/>
          <w:color w:val="auto"/>
        </w:rPr>
        <w:fldChar w:fldCharType="end"/>
      </w:r>
    </w:p>
    <w:p>
      <w:pPr>
        <w:pStyle w:val="10"/>
        <w:rPr>
          <w:rFonts w:asciiTheme="minorHAnsi" w:hAnsiTheme="minorHAnsi" w:eastAsiaTheme="minorEastAsia"/>
          <w:color w:val="auto"/>
        </w:rPr>
      </w:pPr>
      <w:r>
        <w:rPr>
          <w:rStyle w:val="26"/>
          <w:color w:val="auto"/>
        </w:rPr>
        <w:fldChar w:fldCharType="begin"/>
      </w:r>
      <w:r>
        <w:rPr>
          <w:rStyle w:val="26"/>
          <w:color w:val="auto"/>
        </w:rPr>
        <w:instrText xml:space="preserve"> </w:instrText>
      </w:r>
      <w:r>
        <w:rPr>
          <w:color w:val="auto"/>
        </w:rPr>
        <w:instrText xml:space="preserve">HYPERLINK \l "_Toc93511766"</w:instrText>
      </w:r>
      <w:r>
        <w:rPr>
          <w:rStyle w:val="26"/>
          <w:color w:val="auto"/>
        </w:rPr>
        <w:instrText xml:space="preserve"> </w:instrText>
      </w:r>
      <w:r>
        <w:rPr>
          <w:rStyle w:val="26"/>
          <w:color w:val="auto"/>
        </w:rPr>
        <w:fldChar w:fldCharType="separate"/>
      </w:r>
      <w:r>
        <w:rPr>
          <w:rStyle w:val="26"/>
          <w:rFonts w:hint="eastAsia" w:ascii="Times New Roman" w:hAnsi="Times New Roman"/>
          <w:color w:val="auto"/>
        </w:rPr>
        <w:t>（三）坚持公平公正，强化公益惠民属性</w:t>
      </w:r>
      <w:r>
        <w:rPr>
          <w:color w:val="auto"/>
        </w:rPr>
        <w:tab/>
      </w:r>
      <w:r>
        <w:rPr>
          <w:color w:val="auto"/>
        </w:rPr>
        <w:fldChar w:fldCharType="begin"/>
      </w:r>
      <w:r>
        <w:rPr>
          <w:color w:val="auto"/>
        </w:rPr>
        <w:instrText xml:space="preserve"> PAGEREF _Toc93511766 \h </w:instrText>
      </w:r>
      <w:r>
        <w:rPr>
          <w:color w:val="auto"/>
        </w:rPr>
        <w:fldChar w:fldCharType="separate"/>
      </w:r>
      <w:r>
        <w:rPr>
          <w:color w:val="auto"/>
        </w:rPr>
        <w:t>8</w:t>
      </w:r>
      <w:r>
        <w:rPr>
          <w:color w:val="auto"/>
        </w:rPr>
        <w:fldChar w:fldCharType="end"/>
      </w:r>
      <w:r>
        <w:rPr>
          <w:rStyle w:val="26"/>
          <w:color w:val="auto"/>
        </w:rPr>
        <w:fldChar w:fldCharType="end"/>
      </w:r>
    </w:p>
    <w:p>
      <w:pPr>
        <w:pStyle w:val="10"/>
        <w:rPr>
          <w:rFonts w:asciiTheme="minorHAnsi" w:hAnsiTheme="minorHAnsi" w:eastAsiaTheme="minorEastAsia"/>
          <w:color w:val="auto"/>
        </w:rPr>
      </w:pPr>
      <w:r>
        <w:rPr>
          <w:rStyle w:val="26"/>
          <w:color w:val="auto"/>
        </w:rPr>
        <w:fldChar w:fldCharType="begin"/>
      </w:r>
      <w:r>
        <w:rPr>
          <w:rStyle w:val="26"/>
          <w:color w:val="auto"/>
        </w:rPr>
        <w:instrText xml:space="preserve"> </w:instrText>
      </w:r>
      <w:r>
        <w:rPr>
          <w:color w:val="auto"/>
        </w:rPr>
        <w:instrText xml:space="preserve">HYPERLINK \l "_Toc93511767"</w:instrText>
      </w:r>
      <w:r>
        <w:rPr>
          <w:rStyle w:val="26"/>
          <w:color w:val="auto"/>
        </w:rPr>
        <w:instrText xml:space="preserve"> </w:instrText>
      </w:r>
      <w:r>
        <w:rPr>
          <w:rStyle w:val="26"/>
          <w:color w:val="auto"/>
        </w:rPr>
        <w:fldChar w:fldCharType="separate"/>
      </w:r>
      <w:r>
        <w:rPr>
          <w:rStyle w:val="26"/>
          <w:rFonts w:hint="eastAsia" w:ascii="Times New Roman" w:hAnsi="Times New Roman"/>
          <w:color w:val="auto"/>
        </w:rPr>
        <w:t>（四）坚持改革创新，落实新的发展理念</w:t>
      </w:r>
      <w:r>
        <w:rPr>
          <w:color w:val="auto"/>
        </w:rPr>
        <w:tab/>
      </w:r>
      <w:r>
        <w:rPr>
          <w:color w:val="auto"/>
        </w:rPr>
        <w:fldChar w:fldCharType="begin"/>
      </w:r>
      <w:r>
        <w:rPr>
          <w:color w:val="auto"/>
        </w:rPr>
        <w:instrText xml:space="preserve"> PAGEREF _Toc93511767 \h </w:instrText>
      </w:r>
      <w:r>
        <w:rPr>
          <w:color w:val="auto"/>
        </w:rPr>
        <w:fldChar w:fldCharType="separate"/>
      </w:r>
      <w:r>
        <w:rPr>
          <w:color w:val="auto"/>
        </w:rPr>
        <w:t>8</w:t>
      </w:r>
      <w:r>
        <w:rPr>
          <w:color w:val="auto"/>
        </w:rPr>
        <w:fldChar w:fldCharType="end"/>
      </w:r>
      <w:r>
        <w:rPr>
          <w:rStyle w:val="26"/>
          <w:color w:val="auto"/>
        </w:rPr>
        <w:fldChar w:fldCharType="end"/>
      </w:r>
    </w:p>
    <w:p>
      <w:pPr>
        <w:pStyle w:val="10"/>
        <w:rPr>
          <w:rFonts w:asciiTheme="minorHAnsi" w:hAnsiTheme="minorHAnsi" w:eastAsiaTheme="minorEastAsia"/>
          <w:color w:val="auto"/>
        </w:rPr>
      </w:pPr>
      <w:r>
        <w:rPr>
          <w:rStyle w:val="26"/>
          <w:color w:val="auto"/>
        </w:rPr>
        <w:fldChar w:fldCharType="begin"/>
      </w:r>
      <w:r>
        <w:rPr>
          <w:rStyle w:val="26"/>
          <w:color w:val="auto"/>
        </w:rPr>
        <w:instrText xml:space="preserve"> </w:instrText>
      </w:r>
      <w:r>
        <w:rPr>
          <w:color w:val="auto"/>
        </w:rPr>
        <w:instrText xml:space="preserve">HYPERLINK \l "_Toc93511768"</w:instrText>
      </w:r>
      <w:r>
        <w:rPr>
          <w:rStyle w:val="26"/>
          <w:color w:val="auto"/>
        </w:rPr>
        <w:instrText xml:space="preserve"> </w:instrText>
      </w:r>
      <w:r>
        <w:rPr>
          <w:rStyle w:val="26"/>
          <w:color w:val="auto"/>
        </w:rPr>
        <w:fldChar w:fldCharType="separate"/>
      </w:r>
      <w:r>
        <w:rPr>
          <w:rStyle w:val="26"/>
          <w:rFonts w:hint="eastAsia" w:ascii="Times New Roman" w:hAnsi="Times New Roman"/>
          <w:color w:val="auto"/>
        </w:rPr>
        <w:t>（五）坚持系统观念，构建新的发展方式</w:t>
      </w:r>
      <w:r>
        <w:rPr>
          <w:color w:val="auto"/>
        </w:rPr>
        <w:tab/>
      </w:r>
      <w:r>
        <w:rPr>
          <w:color w:val="auto"/>
        </w:rPr>
        <w:fldChar w:fldCharType="begin"/>
      </w:r>
      <w:r>
        <w:rPr>
          <w:color w:val="auto"/>
        </w:rPr>
        <w:instrText xml:space="preserve"> PAGEREF _Toc93511768 \h </w:instrText>
      </w:r>
      <w:r>
        <w:rPr>
          <w:color w:val="auto"/>
        </w:rPr>
        <w:fldChar w:fldCharType="separate"/>
      </w:r>
      <w:r>
        <w:rPr>
          <w:color w:val="auto"/>
        </w:rPr>
        <w:t>9</w:t>
      </w:r>
      <w:r>
        <w:rPr>
          <w:color w:val="auto"/>
        </w:rPr>
        <w:fldChar w:fldCharType="end"/>
      </w:r>
      <w:r>
        <w:rPr>
          <w:rStyle w:val="26"/>
          <w:color w:val="auto"/>
        </w:rPr>
        <w:fldChar w:fldCharType="end"/>
      </w:r>
    </w:p>
    <w:p>
      <w:pPr>
        <w:pStyle w:val="10"/>
        <w:rPr>
          <w:rFonts w:asciiTheme="minorHAnsi" w:hAnsiTheme="minorHAnsi" w:eastAsiaTheme="minorEastAsia"/>
          <w:color w:val="auto"/>
        </w:rPr>
      </w:pPr>
      <w:r>
        <w:rPr>
          <w:rStyle w:val="26"/>
          <w:color w:val="auto"/>
        </w:rPr>
        <w:fldChar w:fldCharType="begin"/>
      </w:r>
      <w:r>
        <w:rPr>
          <w:rStyle w:val="26"/>
          <w:color w:val="auto"/>
        </w:rPr>
        <w:instrText xml:space="preserve"> </w:instrText>
      </w:r>
      <w:r>
        <w:rPr>
          <w:color w:val="auto"/>
        </w:rPr>
        <w:instrText xml:space="preserve">HYPERLINK \l "_Toc93511769"</w:instrText>
      </w:r>
      <w:r>
        <w:rPr>
          <w:rStyle w:val="26"/>
          <w:color w:val="auto"/>
        </w:rPr>
        <w:instrText xml:space="preserve"> </w:instrText>
      </w:r>
      <w:r>
        <w:rPr>
          <w:rStyle w:val="26"/>
          <w:color w:val="auto"/>
        </w:rPr>
        <w:fldChar w:fldCharType="separate"/>
      </w:r>
      <w:r>
        <w:rPr>
          <w:rStyle w:val="26"/>
          <w:rFonts w:hint="eastAsia" w:ascii="Times New Roman" w:hAnsi="Times New Roman"/>
          <w:color w:val="auto"/>
        </w:rPr>
        <w:t>（六）坚持多方参与，全民共建共治共享</w:t>
      </w:r>
      <w:r>
        <w:rPr>
          <w:color w:val="auto"/>
        </w:rPr>
        <w:tab/>
      </w:r>
      <w:r>
        <w:rPr>
          <w:color w:val="auto"/>
        </w:rPr>
        <w:fldChar w:fldCharType="begin"/>
      </w:r>
      <w:r>
        <w:rPr>
          <w:color w:val="auto"/>
        </w:rPr>
        <w:instrText xml:space="preserve"> PAGEREF _Toc93511769 \h </w:instrText>
      </w:r>
      <w:r>
        <w:rPr>
          <w:color w:val="auto"/>
        </w:rPr>
        <w:fldChar w:fldCharType="separate"/>
      </w:r>
      <w:r>
        <w:rPr>
          <w:color w:val="auto"/>
        </w:rPr>
        <w:t>9</w:t>
      </w:r>
      <w:r>
        <w:rPr>
          <w:color w:val="auto"/>
        </w:rPr>
        <w:fldChar w:fldCharType="end"/>
      </w:r>
      <w:r>
        <w:rPr>
          <w:rStyle w:val="26"/>
          <w:color w:val="auto"/>
        </w:rPr>
        <w:fldChar w:fldCharType="end"/>
      </w:r>
    </w:p>
    <w:p>
      <w:pPr>
        <w:pStyle w:val="19"/>
        <w:tabs>
          <w:tab w:val="right" w:leader="dot" w:pos="8834"/>
        </w:tabs>
        <w:rPr>
          <w:rFonts w:asciiTheme="minorHAnsi" w:hAnsiTheme="minorHAnsi" w:eastAsiaTheme="minorEastAsia" w:cstheme="minorBidi"/>
          <w:color w:val="auto"/>
          <w:szCs w:val="22"/>
        </w:rPr>
      </w:pPr>
      <w:r>
        <w:rPr>
          <w:rStyle w:val="26"/>
          <w:color w:val="auto"/>
        </w:rPr>
        <w:fldChar w:fldCharType="begin"/>
      </w:r>
      <w:r>
        <w:rPr>
          <w:rStyle w:val="26"/>
          <w:color w:val="auto"/>
        </w:rPr>
        <w:instrText xml:space="preserve"> </w:instrText>
      </w:r>
      <w:r>
        <w:rPr>
          <w:color w:val="auto"/>
        </w:rPr>
        <w:instrText xml:space="preserve">HYPERLINK \l "_Toc93511770"</w:instrText>
      </w:r>
      <w:r>
        <w:rPr>
          <w:rStyle w:val="26"/>
          <w:color w:val="auto"/>
        </w:rPr>
        <w:instrText xml:space="preserve"> </w:instrText>
      </w:r>
      <w:r>
        <w:rPr>
          <w:rStyle w:val="26"/>
          <w:color w:val="auto"/>
        </w:rPr>
        <w:fldChar w:fldCharType="separate"/>
      </w:r>
      <w:r>
        <w:rPr>
          <w:rStyle w:val="26"/>
          <w:rFonts w:hint="eastAsia" w:ascii="楷体" w:hAnsi="楷体" w:eastAsia="楷体"/>
          <w:color w:val="auto"/>
        </w:rPr>
        <w:t>三、规划目标</w:t>
      </w:r>
      <w:r>
        <w:rPr>
          <w:color w:val="auto"/>
        </w:rPr>
        <w:tab/>
      </w:r>
      <w:r>
        <w:rPr>
          <w:color w:val="auto"/>
        </w:rPr>
        <w:fldChar w:fldCharType="begin"/>
      </w:r>
      <w:r>
        <w:rPr>
          <w:color w:val="auto"/>
        </w:rPr>
        <w:instrText xml:space="preserve"> PAGEREF _Toc93511770 \h </w:instrText>
      </w:r>
      <w:r>
        <w:rPr>
          <w:color w:val="auto"/>
        </w:rPr>
        <w:fldChar w:fldCharType="separate"/>
      </w:r>
      <w:r>
        <w:rPr>
          <w:color w:val="auto"/>
        </w:rPr>
        <w:t>9</w:t>
      </w:r>
      <w:r>
        <w:rPr>
          <w:color w:val="auto"/>
        </w:rPr>
        <w:fldChar w:fldCharType="end"/>
      </w:r>
      <w:r>
        <w:rPr>
          <w:rStyle w:val="26"/>
          <w:color w:val="auto"/>
        </w:rPr>
        <w:fldChar w:fldCharType="end"/>
      </w:r>
    </w:p>
    <w:p>
      <w:pPr>
        <w:pStyle w:val="19"/>
        <w:tabs>
          <w:tab w:val="right" w:leader="dot" w:pos="8834"/>
        </w:tabs>
        <w:rPr>
          <w:rFonts w:asciiTheme="minorHAnsi" w:hAnsiTheme="minorHAnsi" w:eastAsiaTheme="minorEastAsia" w:cstheme="minorBidi"/>
          <w:color w:val="auto"/>
          <w:szCs w:val="22"/>
        </w:rPr>
      </w:pPr>
      <w:r>
        <w:rPr>
          <w:rStyle w:val="26"/>
          <w:color w:val="auto"/>
        </w:rPr>
        <w:fldChar w:fldCharType="begin"/>
      </w:r>
      <w:r>
        <w:rPr>
          <w:rStyle w:val="26"/>
          <w:color w:val="auto"/>
        </w:rPr>
        <w:instrText xml:space="preserve"> </w:instrText>
      </w:r>
      <w:r>
        <w:rPr>
          <w:color w:val="auto"/>
        </w:rPr>
        <w:instrText xml:space="preserve">HYPERLINK \l "_Toc93511771"</w:instrText>
      </w:r>
      <w:r>
        <w:rPr>
          <w:rStyle w:val="26"/>
          <w:color w:val="auto"/>
        </w:rPr>
        <w:instrText xml:space="preserve"> </w:instrText>
      </w:r>
      <w:r>
        <w:rPr>
          <w:rStyle w:val="26"/>
          <w:color w:val="auto"/>
        </w:rPr>
        <w:fldChar w:fldCharType="separate"/>
      </w:r>
      <w:r>
        <w:rPr>
          <w:rStyle w:val="26"/>
          <w:rFonts w:hint="eastAsia" w:ascii="楷体" w:hAnsi="楷体" w:eastAsia="楷体"/>
          <w:color w:val="auto"/>
        </w:rPr>
        <w:t>四、主要指标</w:t>
      </w:r>
      <w:r>
        <w:rPr>
          <w:color w:val="auto"/>
        </w:rPr>
        <w:tab/>
      </w:r>
      <w:r>
        <w:rPr>
          <w:color w:val="auto"/>
        </w:rPr>
        <w:fldChar w:fldCharType="begin"/>
      </w:r>
      <w:r>
        <w:rPr>
          <w:color w:val="auto"/>
        </w:rPr>
        <w:instrText xml:space="preserve"> PAGEREF _Toc93511771 \h </w:instrText>
      </w:r>
      <w:r>
        <w:rPr>
          <w:color w:val="auto"/>
        </w:rPr>
        <w:fldChar w:fldCharType="separate"/>
      </w:r>
      <w:r>
        <w:rPr>
          <w:color w:val="auto"/>
        </w:rPr>
        <w:t>10</w:t>
      </w:r>
      <w:r>
        <w:rPr>
          <w:color w:val="auto"/>
        </w:rPr>
        <w:fldChar w:fldCharType="end"/>
      </w:r>
      <w:r>
        <w:rPr>
          <w:rStyle w:val="26"/>
          <w:color w:val="auto"/>
        </w:rPr>
        <w:fldChar w:fldCharType="end"/>
      </w:r>
    </w:p>
    <w:p>
      <w:pPr>
        <w:pStyle w:val="15"/>
        <w:rPr>
          <w:rFonts w:asciiTheme="minorHAnsi" w:hAnsiTheme="minorHAnsi" w:eastAsiaTheme="minorEastAsia" w:cstheme="minorBidi"/>
          <w:color w:val="auto"/>
          <w:sz w:val="21"/>
          <w:szCs w:val="22"/>
        </w:rPr>
      </w:pPr>
      <w:r>
        <w:rPr>
          <w:rStyle w:val="26"/>
          <w:color w:val="auto"/>
        </w:rPr>
        <w:fldChar w:fldCharType="begin"/>
      </w:r>
      <w:r>
        <w:rPr>
          <w:rStyle w:val="26"/>
          <w:color w:val="auto"/>
        </w:rPr>
        <w:instrText xml:space="preserve"> </w:instrText>
      </w:r>
      <w:r>
        <w:rPr>
          <w:color w:val="auto"/>
        </w:rPr>
        <w:instrText xml:space="preserve">HYPERLINK \l "_Toc93511772"</w:instrText>
      </w:r>
      <w:r>
        <w:rPr>
          <w:rStyle w:val="26"/>
          <w:color w:val="auto"/>
        </w:rPr>
        <w:instrText xml:space="preserve"> </w:instrText>
      </w:r>
      <w:r>
        <w:rPr>
          <w:rStyle w:val="26"/>
          <w:color w:val="auto"/>
        </w:rPr>
        <w:fldChar w:fldCharType="separate"/>
      </w:r>
      <w:r>
        <w:rPr>
          <w:rStyle w:val="26"/>
          <w:rFonts w:hint="eastAsia"/>
          <w:color w:val="auto"/>
        </w:rPr>
        <w:t>第三章</w:t>
      </w:r>
      <w:r>
        <w:rPr>
          <w:rStyle w:val="26"/>
          <w:color w:val="auto"/>
        </w:rPr>
        <w:t xml:space="preserve"> </w:t>
      </w:r>
      <w:r>
        <w:rPr>
          <w:rStyle w:val="26"/>
          <w:rFonts w:hint="eastAsia"/>
          <w:color w:val="auto"/>
        </w:rPr>
        <w:t>重点任务与措施</w:t>
      </w:r>
      <w:r>
        <w:rPr>
          <w:color w:val="auto"/>
        </w:rPr>
        <w:tab/>
      </w:r>
      <w:r>
        <w:rPr>
          <w:color w:val="auto"/>
        </w:rPr>
        <w:fldChar w:fldCharType="begin"/>
      </w:r>
      <w:r>
        <w:rPr>
          <w:color w:val="auto"/>
        </w:rPr>
        <w:instrText xml:space="preserve"> PAGEREF _Toc93511772 \h </w:instrText>
      </w:r>
      <w:r>
        <w:rPr>
          <w:color w:val="auto"/>
        </w:rPr>
        <w:fldChar w:fldCharType="separate"/>
      </w:r>
      <w:r>
        <w:rPr>
          <w:color w:val="auto"/>
        </w:rPr>
        <w:t>11</w:t>
      </w:r>
      <w:r>
        <w:rPr>
          <w:color w:val="auto"/>
        </w:rPr>
        <w:fldChar w:fldCharType="end"/>
      </w:r>
      <w:r>
        <w:rPr>
          <w:rStyle w:val="26"/>
          <w:color w:val="auto"/>
        </w:rPr>
        <w:fldChar w:fldCharType="end"/>
      </w:r>
    </w:p>
    <w:p>
      <w:pPr>
        <w:pStyle w:val="19"/>
        <w:tabs>
          <w:tab w:val="right" w:leader="dot" w:pos="8834"/>
        </w:tabs>
        <w:rPr>
          <w:rFonts w:asciiTheme="minorHAnsi" w:hAnsiTheme="minorHAnsi" w:eastAsiaTheme="minorEastAsia" w:cstheme="minorBidi"/>
          <w:color w:val="auto"/>
          <w:szCs w:val="22"/>
        </w:rPr>
      </w:pPr>
      <w:r>
        <w:rPr>
          <w:rStyle w:val="26"/>
          <w:color w:val="auto"/>
        </w:rPr>
        <w:fldChar w:fldCharType="begin"/>
      </w:r>
      <w:r>
        <w:rPr>
          <w:rStyle w:val="26"/>
          <w:color w:val="auto"/>
        </w:rPr>
        <w:instrText xml:space="preserve"> </w:instrText>
      </w:r>
      <w:r>
        <w:rPr>
          <w:color w:val="auto"/>
        </w:rPr>
        <w:instrText xml:space="preserve">HYPERLINK \l "_Toc93511773"</w:instrText>
      </w:r>
      <w:r>
        <w:rPr>
          <w:rStyle w:val="26"/>
          <w:color w:val="auto"/>
        </w:rPr>
        <w:instrText xml:space="preserve"> </w:instrText>
      </w:r>
      <w:r>
        <w:rPr>
          <w:rStyle w:val="26"/>
          <w:color w:val="auto"/>
        </w:rPr>
        <w:fldChar w:fldCharType="separate"/>
      </w:r>
      <w:r>
        <w:rPr>
          <w:rStyle w:val="26"/>
          <w:rFonts w:hint="eastAsia" w:ascii="楷体" w:hAnsi="楷体" w:eastAsia="楷体"/>
          <w:color w:val="auto"/>
        </w:rPr>
        <w:t>一、持续深化医药卫生体制改革</w:t>
      </w:r>
      <w:r>
        <w:rPr>
          <w:color w:val="auto"/>
        </w:rPr>
        <w:tab/>
      </w:r>
      <w:r>
        <w:rPr>
          <w:color w:val="auto"/>
        </w:rPr>
        <w:fldChar w:fldCharType="begin"/>
      </w:r>
      <w:r>
        <w:rPr>
          <w:color w:val="auto"/>
        </w:rPr>
        <w:instrText xml:space="preserve"> PAGEREF _Toc93511773 \h </w:instrText>
      </w:r>
      <w:r>
        <w:rPr>
          <w:color w:val="auto"/>
        </w:rPr>
        <w:fldChar w:fldCharType="separate"/>
      </w:r>
      <w:r>
        <w:rPr>
          <w:color w:val="auto"/>
        </w:rPr>
        <w:t>11</w:t>
      </w:r>
      <w:r>
        <w:rPr>
          <w:color w:val="auto"/>
        </w:rPr>
        <w:fldChar w:fldCharType="end"/>
      </w:r>
      <w:r>
        <w:rPr>
          <w:rStyle w:val="26"/>
          <w:color w:val="auto"/>
        </w:rPr>
        <w:fldChar w:fldCharType="end"/>
      </w:r>
    </w:p>
    <w:p>
      <w:pPr>
        <w:pStyle w:val="10"/>
        <w:rPr>
          <w:rFonts w:asciiTheme="minorHAnsi" w:hAnsiTheme="minorHAnsi" w:eastAsiaTheme="minorEastAsia"/>
          <w:color w:val="auto"/>
        </w:rPr>
      </w:pPr>
      <w:r>
        <w:rPr>
          <w:rStyle w:val="26"/>
          <w:color w:val="auto"/>
        </w:rPr>
        <w:fldChar w:fldCharType="begin"/>
      </w:r>
      <w:r>
        <w:rPr>
          <w:rStyle w:val="26"/>
          <w:color w:val="auto"/>
        </w:rPr>
        <w:instrText xml:space="preserve"> </w:instrText>
      </w:r>
      <w:r>
        <w:rPr>
          <w:color w:val="auto"/>
        </w:rPr>
        <w:instrText xml:space="preserve">HYPERLINK \l "_Toc93511774"</w:instrText>
      </w:r>
      <w:r>
        <w:rPr>
          <w:rStyle w:val="26"/>
          <w:color w:val="auto"/>
        </w:rPr>
        <w:instrText xml:space="preserve"> </w:instrText>
      </w:r>
      <w:r>
        <w:rPr>
          <w:rStyle w:val="26"/>
          <w:color w:val="auto"/>
        </w:rPr>
        <w:fldChar w:fldCharType="separate"/>
      </w:r>
      <w:r>
        <w:rPr>
          <w:rStyle w:val="26"/>
          <w:rFonts w:hint="eastAsia" w:ascii="Times New Roman" w:hAnsi="Times New Roman"/>
          <w:color w:val="auto"/>
        </w:rPr>
        <w:t>（一）学习借鉴三明医改经验</w:t>
      </w:r>
      <w:r>
        <w:rPr>
          <w:color w:val="auto"/>
        </w:rPr>
        <w:tab/>
      </w:r>
      <w:r>
        <w:rPr>
          <w:color w:val="auto"/>
        </w:rPr>
        <w:fldChar w:fldCharType="begin"/>
      </w:r>
      <w:r>
        <w:rPr>
          <w:color w:val="auto"/>
        </w:rPr>
        <w:instrText xml:space="preserve"> PAGEREF _Toc93511774 \h </w:instrText>
      </w:r>
      <w:r>
        <w:rPr>
          <w:color w:val="auto"/>
        </w:rPr>
        <w:fldChar w:fldCharType="separate"/>
      </w:r>
      <w:r>
        <w:rPr>
          <w:color w:val="auto"/>
        </w:rPr>
        <w:t>11</w:t>
      </w:r>
      <w:r>
        <w:rPr>
          <w:color w:val="auto"/>
        </w:rPr>
        <w:fldChar w:fldCharType="end"/>
      </w:r>
      <w:r>
        <w:rPr>
          <w:rStyle w:val="26"/>
          <w:color w:val="auto"/>
        </w:rPr>
        <w:fldChar w:fldCharType="end"/>
      </w:r>
    </w:p>
    <w:p>
      <w:pPr>
        <w:pStyle w:val="10"/>
        <w:rPr>
          <w:rFonts w:asciiTheme="minorHAnsi" w:hAnsiTheme="minorHAnsi" w:eastAsiaTheme="minorEastAsia"/>
          <w:color w:val="auto"/>
        </w:rPr>
      </w:pPr>
      <w:r>
        <w:rPr>
          <w:rStyle w:val="26"/>
          <w:color w:val="auto"/>
        </w:rPr>
        <w:fldChar w:fldCharType="begin"/>
      </w:r>
      <w:r>
        <w:rPr>
          <w:rStyle w:val="26"/>
          <w:color w:val="auto"/>
        </w:rPr>
        <w:instrText xml:space="preserve"> </w:instrText>
      </w:r>
      <w:r>
        <w:rPr>
          <w:color w:val="auto"/>
        </w:rPr>
        <w:instrText xml:space="preserve">HYPERLINK \l "_Toc93511775"</w:instrText>
      </w:r>
      <w:r>
        <w:rPr>
          <w:rStyle w:val="26"/>
          <w:color w:val="auto"/>
        </w:rPr>
        <w:instrText xml:space="preserve"> </w:instrText>
      </w:r>
      <w:r>
        <w:rPr>
          <w:rStyle w:val="26"/>
          <w:color w:val="auto"/>
        </w:rPr>
        <w:fldChar w:fldCharType="separate"/>
      </w:r>
      <w:r>
        <w:rPr>
          <w:rStyle w:val="26"/>
          <w:rFonts w:hint="eastAsia" w:ascii="Times New Roman" w:hAnsi="Times New Roman"/>
          <w:color w:val="auto"/>
        </w:rPr>
        <w:t>（二）深入推进三医联动改革</w:t>
      </w:r>
      <w:r>
        <w:rPr>
          <w:color w:val="auto"/>
        </w:rPr>
        <w:tab/>
      </w:r>
      <w:r>
        <w:rPr>
          <w:color w:val="auto"/>
        </w:rPr>
        <w:fldChar w:fldCharType="begin"/>
      </w:r>
      <w:r>
        <w:rPr>
          <w:color w:val="auto"/>
        </w:rPr>
        <w:instrText xml:space="preserve"> PAGEREF _Toc93511775 \h </w:instrText>
      </w:r>
      <w:r>
        <w:rPr>
          <w:color w:val="auto"/>
        </w:rPr>
        <w:fldChar w:fldCharType="separate"/>
      </w:r>
      <w:r>
        <w:rPr>
          <w:color w:val="auto"/>
        </w:rPr>
        <w:t>11</w:t>
      </w:r>
      <w:r>
        <w:rPr>
          <w:color w:val="auto"/>
        </w:rPr>
        <w:fldChar w:fldCharType="end"/>
      </w:r>
      <w:r>
        <w:rPr>
          <w:rStyle w:val="26"/>
          <w:color w:val="auto"/>
        </w:rPr>
        <w:fldChar w:fldCharType="end"/>
      </w:r>
    </w:p>
    <w:p>
      <w:pPr>
        <w:pStyle w:val="10"/>
        <w:rPr>
          <w:rFonts w:asciiTheme="minorHAnsi" w:hAnsiTheme="minorHAnsi" w:eastAsiaTheme="minorEastAsia"/>
          <w:color w:val="auto"/>
        </w:rPr>
      </w:pPr>
      <w:r>
        <w:rPr>
          <w:rStyle w:val="26"/>
          <w:color w:val="auto"/>
        </w:rPr>
        <w:fldChar w:fldCharType="begin"/>
      </w:r>
      <w:r>
        <w:rPr>
          <w:rStyle w:val="26"/>
          <w:color w:val="auto"/>
        </w:rPr>
        <w:instrText xml:space="preserve"> </w:instrText>
      </w:r>
      <w:r>
        <w:rPr>
          <w:color w:val="auto"/>
        </w:rPr>
        <w:instrText xml:space="preserve">HYPERLINK \l "_Toc93511776"</w:instrText>
      </w:r>
      <w:r>
        <w:rPr>
          <w:rStyle w:val="26"/>
          <w:color w:val="auto"/>
        </w:rPr>
        <w:instrText xml:space="preserve"> </w:instrText>
      </w:r>
      <w:r>
        <w:rPr>
          <w:rStyle w:val="26"/>
          <w:color w:val="auto"/>
        </w:rPr>
        <w:fldChar w:fldCharType="separate"/>
      </w:r>
      <w:r>
        <w:rPr>
          <w:rStyle w:val="26"/>
          <w:rFonts w:hint="eastAsia" w:ascii="Times New Roman" w:hAnsi="Times New Roman"/>
          <w:color w:val="auto"/>
        </w:rPr>
        <w:t>（三）加强分级诊疗制度建设</w:t>
      </w:r>
      <w:r>
        <w:rPr>
          <w:color w:val="auto"/>
        </w:rPr>
        <w:tab/>
      </w:r>
      <w:r>
        <w:rPr>
          <w:color w:val="auto"/>
        </w:rPr>
        <w:fldChar w:fldCharType="begin"/>
      </w:r>
      <w:r>
        <w:rPr>
          <w:color w:val="auto"/>
        </w:rPr>
        <w:instrText xml:space="preserve"> PAGEREF _Toc93511776 \h </w:instrText>
      </w:r>
      <w:r>
        <w:rPr>
          <w:color w:val="auto"/>
        </w:rPr>
        <w:fldChar w:fldCharType="separate"/>
      </w:r>
      <w:r>
        <w:rPr>
          <w:color w:val="auto"/>
        </w:rPr>
        <w:t>11</w:t>
      </w:r>
      <w:r>
        <w:rPr>
          <w:color w:val="auto"/>
        </w:rPr>
        <w:fldChar w:fldCharType="end"/>
      </w:r>
      <w:r>
        <w:rPr>
          <w:rStyle w:val="26"/>
          <w:color w:val="auto"/>
        </w:rPr>
        <w:fldChar w:fldCharType="end"/>
      </w:r>
    </w:p>
    <w:p>
      <w:pPr>
        <w:pStyle w:val="10"/>
        <w:rPr>
          <w:rFonts w:asciiTheme="minorHAnsi" w:hAnsiTheme="minorHAnsi" w:eastAsiaTheme="minorEastAsia"/>
          <w:color w:val="auto"/>
        </w:rPr>
      </w:pPr>
      <w:r>
        <w:rPr>
          <w:rStyle w:val="26"/>
          <w:color w:val="auto"/>
        </w:rPr>
        <w:fldChar w:fldCharType="begin"/>
      </w:r>
      <w:r>
        <w:rPr>
          <w:rStyle w:val="26"/>
          <w:color w:val="auto"/>
        </w:rPr>
        <w:instrText xml:space="preserve"> </w:instrText>
      </w:r>
      <w:r>
        <w:rPr>
          <w:color w:val="auto"/>
        </w:rPr>
        <w:instrText xml:space="preserve">HYPERLINK \l "_Toc93511777"</w:instrText>
      </w:r>
      <w:r>
        <w:rPr>
          <w:rStyle w:val="26"/>
          <w:color w:val="auto"/>
        </w:rPr>
        <w:instrText xml:space="preserve"> </w:instrText>
      </w:r>
      <w:r>
        <w:rPr>
          <w:rStyle w:val="26"/>
          <w:color w:val="auto"/>
        </w:rPr>
        <w:fldChar w:fldCharType="separate"/>
      </w:r>
      <w:r>
        <w:rPr>
          <w:rStyle w:val="26"/>
          <w:rFonts w:hint="eastAsia" w:ascii="Times New Roman" w:hAnsi="Times New Roman"/>
          <w:color w:val="auto"/>
        </w:rPr>
        <w:t>（四）推动公立医院高质量发展</w:t>
      </w:r>
      <w:r>
        <w:rPr>
          <w:color w:val="auto"/>
        </w:rPr>
        <w:tab/>
      </w:r>
      <w:r>
        <w:rPr>
          <w:color w:val="auto"/>
        </w:rPr>
        <w:fldChar w:fldCharType="begin"/>
      </w:r>
      <w:r>
        <w:rPr>
          <w:color w:val="auto"/>
        </w:rPr>
        <w:instrText xml:space="preserve"> PAGEREF _Toc93511777 \h </w:instrText>
      </w:r>
      <w:r>
        <w:rPr>
          <w:color w:val="auto"/>
        </w:rPr>
        <w:fldChar w:fldCharType="separate"/>
      </w:r>
      <w:r>
        <w:rPr>
          <w:color w:val="auto"/>
        </w:rPr>
        <w:t>12</w:t>
      </w:r>
      <w:r>
        <w:rPr>
          <w:color w:val="auto"/>
        </w:rPr>
        <w:fldChar w:fldCharType="end"/>
      </w:r>
      <w:r>
        <w:rPr>
          <w:rStyle w:val="26"/>
          <w:color w:val="auto"/>
        </w:rPr>
        <w:fldChar w:fldCharType="end"/>
      </w:r>
    </w:p>
    <w:p>
      <w:pPr>
        <w:pStyle w:val="10"/>
        <w:rPr>
          <w:rFonts w:asciiTheme="minorHAnsi" w:hAnsiTheme="minorHAnsi" w:eastAsiaTheme="minorEastAsia"/>
          <w:color w:val="auto"/>
        </w:rPr>
      </w:pPr>
      <w:r>
        <w:rPr>
          <w:rStyle w:val="26"/>
          <w:color w:val="auto"/>
        </w:rPr>
        <w:fldChar w:fldCharType="begin"/>
      </w:r>
      <w:r>
        <w:rPr>
          <w:rStyle w:val="26"/>
          <w:color w:val="auto"/>
        </w:rPr>
        <w:instrText xml:space="preserve"> </w:instrText>
      </w:r>
      <w:r>
        <w:rPr>
          <w:color w:val="auto"/>
        </w:rPr>
        <w:instrText xml:space="preserve">HYPERLINK \l "_Toc93511778"</w:instrText>
      </w:r>
      <w:r>
        <w:rPr>
          <w:rStyle w:val="26"/>
          <w:color w:val="auto"/>
        </w:rPr>
        <w:instrText xml:space="preserve"> </w:instrText>
      </w:r>
      <w:r>
        <w:rPr>
          <w:rStyle w:val="26"/>
          <w:color w:val="auto"/>
        </w:rPr>
        <w:fldChar w:fldCharType="separate"/>
      </w:r>
      <w:r>
        <w:rPr>
          <w:rStyle w:val="26"/>
          <w:rFonts w:hint="eastAsia" w:ascii="Times New Roman" w:hAnsi="Times New Roman"/>
          <w:color w:val="auto"/>
        </w:rPr>
        <w:t>（五）加强医防融合军民融合</w:t>
      </w:r>
      <w:r>
        <w:rPr>
          <w:color w:val="auto"/>
        </w:rPr>
        <w:tab/>
      </w:r>
      <w:r>
        <w:rPr>
          <w:color w:val="auto"/>
        </w:rPr>
        <w:fldChar w:fldCharType="begin"/>
      </w:r>
      <w:r>
        <w:rPr>
          <w:color w:val="auto"/>
        </w:rPr>
        <w:instrText xml:space="preserve"> PAGEREF _Toc93511778 \h </w:instrText>
      </w:r>
      <w:r>
        <w:rPr>
          <w:color w:val="auto"/>
        </w:rPr>
        <w:fldChar w:fldCharType="separate"/>
      </w:r>
      <w:r>
        <w:rPr>
          <w:color w:val="auto"/>
        </w:rPr>
        <w:t>12</w:t>
      </w:r>
      <w:r>
        <w:rPr>
          <w:color w:val="auto"/>
        </w:rPr>
        <w:fldChar w:fldCharType="end"/>
      </w:r>
      <w:r>
        <w:rPr>
          <w:rStyle w:val="26"/>
          <w:color w:val="auto"/>
        </w:rPr>
        <w:fldChar w:fldCharType="end"/>
      </w:r>
    </w:p>
    <w:p>
      <w:pPr>
        <w:pStyle w:val="10"/>
        <w:rPr>
          <w:rFonts w:asciiTheme="minorHAnsi" w:hAnsiTheme="minorHAnsi" w:eastAsiaTheme="minorEastAsia"/>
          <w:color w:val="auto"/>
        </w:rPr>
      </w:pPr>
      <w:r>
        <w:rPr>
          <w:rStyle w:val="26"/>
          <w:color w:val="auto"/>
        </w:rPr>
        <w:fldChar w:fldCharType="begin"/>
      </w:r>
      <w:r>
        <w:rPr>
          <w:rStyle w:val="26"/>
          <w:color w:val="auto"/>
        </w:rPr>
        <w:instrText xml:space="preserve"> </w:instrText>
      </w:r>
      <w:r>
        <w:rPr>
          <w:color w:val="auto"/>
        </w:rPr>
        <w:instrText xml:space="preserve">HYPERLINK \l "_Toc93511779"</w:instrText>
      </w:r>
      <w:r>
        <w:rPr>
          <w:rStyle w:val="26"/>
          <w:color w:val="auto"/>
        </w:rPr>
        <w:instrText xml:space="preserve"> </w:instrText>
      </w:r>
      <w:r>
        <w:rPr>
          <w:rStyle w:val="26"/>
          <w:color w:val="auto"/>
        </w:rPr>
        <w:fldChar w:fldCharType="separate"/>
      </w:r>
      <w:r>
        <w:rPr>
          <w:rStyle w:val="26"/>
          <w:rFonts w:hint="eastAsia" w:ascii="Times New Roman" w:hAnsi="Times New Roman"/>
          <w:color w:val="auto"/>
        </w:rPr>
        <w:t>（六）持续推进服务模式转变</w:t>
      </w:r>
      <w:r>
        <w:rPr>
          <w:color w:val="auto"/>
        </w:rPr>
        <w:tab/>
      </w:r>
      <w:r>
        <w:rPr>
          <w:color w:val="auto"/>
        </w:rPr>
        <w:fldChar w:fldCharType="begin"/>
      </w:r>
      <w:r>
        <w:rPr>
          <w:color w:val="auto"/>
        </w:rPr>
        <w:instrText xml:space="preserve"> PAGEREF _Toc93511779 \h </w:instrText>
      </w:r>
      <w:r>
        <w:rPr>
          <w:color w:val="auto"/>
        </w:rPr>
        <w:fldChar w:fldCharType="separate"/>
      </w:r>
      <w:r>
        <w:rPr>
          <w:color w:val="auto"/>
        </w:rPr>
        <w:t>12</w:t>
      </w:r>
      <w:r>
        <w:rPr>
          <w:color w:val="auto"/>
        </w:rPr>
        <w:fldChar w:fldCharType="end"/>
      </w:r>
      <w:r>
        <w:rPr>
          <w:rStyle w:val="26"/>
          <w:color w:val="auto"/>
        </w:rPr>
        <w:fldChar w:fldCharType="end"/>
      </w:r>
    </w:p>
    <w:p>
      <w:pPr>
        <w:pStyle w:val="19"/>
        <w:tabs>
          <w:tab w:val="right" w:leader="dot" w:pos="8834"/>
        </w:tabs>
        <w:rPr>
          <w:rFonts w:asciiTheme="minorHAnsi" w:hAnsiTheme="minorHAnsi" w:eastAsiaTheme="minorEastAsia" w:cstheme="minorBidi"/>
          <w:color w:val="auto"/>
          <w:szCs w:val="22"/>
        </w:rPr>
      </w:pPr>
      <w:r>
        <w:rPr>
          <w:rStyle w:val="26"/>
          <w:color w:val="auto"/>
        </w:rPr>
        <w:fldChar w:fldCharType="begin"/>
      </w:r>
      <w:r>
        <w:rPr>
          <w:rStyle w:val="26"/>
          <w:color w:val="auto"/>
        </w:rPr>
        <w:instrText xml:space="preserve"> </w:instrText>
      </w:r>
      <w:r>
        <w:rPr>
          <w:color w:val="auto"/>
        </w:rPr>
        <w:instrText xml:space="preserve">HYPERLINK \l "_Toc93511780"</w:instrText>
      </w:r>
      <w:r>
        <w:rPr>
          <w:rStyle w:val="26"/>
          <w:color w:val="auto"/>
        </w:rPr>
        <w:instrText xml:space="preserve"> </w:instrText>
      </w:r>
      <w:r>
        <w:rPr>
          <w:rStyle w:val="26"/>
          <w:color w:val="auto"/>
        </w:rPr>
        <w:fldChar w:fldCharType="separate"/>
      </w:r>
      <w:r>
        <w:rPr>
          <w:rStyle w:val="26"/>
          <w:rFonts w:hint="eastAsia" w:ascii="楷体" w:hAnsi="楷体" w:eastAsia="楷体"/>
          <w:color w:val="auto"/>
        </w:rPr>
        <w:t>二、构建更加现代的公共卫生体系</w:t>
      </w:r>
      <w:r>
        <w:rPr>
          <w:color w:val="auto"/>
        </w:rPr>
        <w:tab/>
      </w:r>
      <w:r>
        <w:rPr>
          <w:color w:val="auto"/>
        </w:rPr>
        <w:fldChar w:fldCharType="begin"/>
      </w:r>
      <w:r>
        <w:rPr>
          <w:color w:val="auto"/>
        </w:rPr>
        <w:instrText xml:space="preserve"> PAGEREF _Toc93511780 \h </w:instrText>
      </w:r>
      <w:r>
        <w:rPr>
          <w:color w:val="auto"/>
        </w:rPr>
        <w:fldChar w:fldCharType="separate"/>
      </w:r>
      <w:r>
        <w:rPr>
          <w:color w:val="auto"/>
        </w:rPr>
        <w:t>13</w:t>
      </w:r>
      <w:r>
        <w:rPr>
          <w:color w:val="auto"/>
        </w:rPr>
        <w:fldChar w:fldCharType="end"/>
      </w:r>
      <w:r>
        <w:rPr>
          <w:rStyle w:val="26"/>
          <w:color w:val="auto"/>
        </w:rPr>
        <w:fldChar w:fldCharType="end"/>
      </w:r>
    </w:p>
    <w:p>
      <w:pPr>
        <w:pStyle w:val="10"/>
        <w:rPr>
          <w:rFonts w:asciiTheme="minorHAnsi" w:hAnsiTheme="minorHAnsi" w:eastAsiaTheme="minorEastAsia"/>
          <w:color w:val="auto"/>
        </w:rPr>
      </w:pPr>
      <w:r>
        <w:rPr>
          <w:rStyle w:val="26"/>
          <w:color w:val="auto"/>
        </w:rPr>
        <w:fldChar w:fldCharType="begin"/>
      </w:r>
      <w:r>
        <w:rPr>
          <w:rStyle w:val="26"/>
          <w:color w:val="auto"/>
        </w:rPr>
        <w:instrText xml:space="preserve"> </w:instrText>
      </w:r>
      <w:r>
        <w:rPr>
          <w:color w:val="auto"/>
        </w:rPr>
        <w:instrText xml:space="preserve">HYPERLINK \l "_Toc93511781"</w:instrText>
      </w:r>
      <w:r>
        <w:rPr>
          <w:rStyle w:val="26"/>
          <w:color w:val="auto"/>
        </w:rPr>
        <w:instrText xml:space="preserve"> </w:instrText>
      </w:r>
      <w:r>
        <w:rPr>
          <w:rStyle w:val="26"/>
          <w:color w:val="auto"/>
        </w:rPr>
        <w:fldChar w:fldCharType="separate"/>
      </w:r>
      <w:r>
        <w:rPr>
          <w:rStyle w:val="26"/>
          <w:rFonts w:hint="eastAsia" w:ascii="Times New Roman" w:hAnsi="Times New Roman"/>
          <w:color w:val="auto"/>
        </w:rPr>
        <w:t>（一）统筹强化疾病预防控制应对能力</w:t>
      </w:r>
      <w:r>
        <w:rPr>
          <w:color w:val="auto"/>
        </w:rPr>
        <w:tab/>
      </w:r>
      <w:r>
        <w:rPr>
          <w:color w:val="auto"/>
        </w:rPr>
        <w:fldChar w:fldCharType="begin"/>
      </w:r>
      <w:r>
        <w:rPr>
          <w:color w:val="auto"/>
        </w:rPr>
        <w:instrText xml:space="preserve"> PAGEREF _Toc93511781 \h </w:instrText>
      </w:r>
      <w:r>
        <w:rPr>
          <w:color w:val="auto"/>
        </w:rPr>
        <w:fldChar w:fldCharType="separate"/>
      </w:r>
      <w:r>
        <w:rPr>
          <w:color w:val="auto"/>
        </w:rPr>
        <w:t>13</w:t>
      </w:r>
      <w:r>
        <w:rPr>
          <w:color w:val="auto"/>
        </w:rPr>
        <w:fldChar w:fldCharType="end"/>
      </w:r>
      <w:r>
        <w:rPr>
          <w:rStyle w:val="26"/>
          <w:color w:val="auto"/>
        </w:rPr>
        <w:fldChar w:fldCharType="end"/>
      </w:r>
    </w:p>
    <w:p>
      <w:pPr>
        <w:pStyle w:val="10"/>
        <w:rPr>
          <w:rFonts w:asciiTheme="minorHAnsi" w:hAnsiTheme="minorHAnsi" w:eastAsiaTheme="minorEastAsia"/>
          <w:color w:val="auto"/>
        </w:rPr>
      </w:pPr>
      <w:r>
        <w:rPr>
          <w:rStyle w:val="26"/>
          <w:color w:val="auto"/>
        </w:rPr>
        <w:fldChar w:fldCharType="begin"/>
      </w:r>
      <w:r>
        <w:rPr>
          <w:rStyle w:val="26"/>
          <w:color w:val="auto"/>
        </w:rPr>
        <w:instrText xml:space="preserve"> </w:instrText>
      </w:r>
      <w:r>
        <w:rPr>
          <w:color w:val="auto"/>
        </w:rPr>
        <w:instrText xml:space="preserve">HYPERLINK \l "_Toc93511782"</w:instrText>
      </w:r>
      <w:r>
        <w:rPr>
          <w:rStyle w:val="26"/>
          <w:color w:val="auto"/>
        </w:rPr>
        <w:instrText xml:space="preserve"> </w:instrText>
      </w:r>
      <w:r>
        <w:rPr>
          <w:rStyle w:val="26"/>
          <w:color w:val="auto"/>
        </w:rPr>
        <w:fldChar w:fldCharType="separate"/>
      </w:r>
      <w:r>
        <w:rPr>
          <w:rStyle w:val="26"/>
          <w:rFonts w:hint="eastAsia" w:ascii="Times New Roman" w:hAnsi="Times New Roman"/>
          <w:color w:val="auto"/>
        </w:rPr>
        <w:t>（二）大力提高公共卫生应急处置能力</w:t>
      </w:r>
      <w:r>
        <w:rPr>
          <w:color w:val="auto"/>
        </w:rPr>
        <w:tab/>
      </w:r>
      <w:r>
        <w:rPr>
          <w:color w:val="auto"/>
        </w:rPr>
        <w:fldChar w:fldCharType="begin"/>
      </w:r>
      <w:r>
        <w:rPr>
          <w:color w:val="auto"/>
        </w:rPr>
        <w:instrText xml:space="preserve"> PAGEREF _Toc93511782 \h </w:instrText>
      </w:r>
      <w:r>
        <w:rPr>
          <w:color w:val="auto"/>
        </w:rPr>
        <w:fldChar w:fldCharType="separate"/>
      </w:r>
      <w:r>
        <w:rPr>
          <w:color w:val="auto"/>
        </w:rPr>
        <w:t>14</w:t>
      </w:r>
      <w:r>
        <w:rPr>
          <w:color w:val="auto"/>
        </w:rPr>
        <w:fldChar w:fldCharType="end"/>
      </w:r>
      <w:r>
        <w:rPr>
          <w:rStyle w:val="26"/>
          <w:color w:val="auto"/>
        </w:rPr>
        <w:fldChar w:fldCharType="end"/>
      </w:r>
    </w:p>
    <w:p>
      <w:pPr>
        <w:pStyle w:val="10"/>
        <w:rPr>
          <w:rFonts w:asciiTheme="minorHAnsi" w:hAnsiTheme="minorHAnsi" w:eastAsiaTheme="minorEastAsia"/>
          <w:color w:val="auto"/>
        </w:rPr>
      </w:pPr>
      <w:r>
        <w:rPr>
          <w:rStyle w:val="26"/>
          <w:color w:val="auto"/>
        </w:rPr>
        <w:fldChar w:fldCharType="begin"/>
      </w:r>
      <w:r>
        <w:rPr>
          <w:rStyle w:val="26"/>
          <w:color w:val="auto"/>
        </w:rPr>
        <w:instrText xml:space="preserve"> </w:instrText>
      </w:r>
      <w:r>
        <w:rPr>
          <w:color w:val="auto"/>
        </w:rPr>
        <w:instrText xml:space="preserve">HYPERLINK \l "_Toc93511783"</w:instrText>
      </w:r>
      <w:r>
        <w:rPr>
          <w:rStyle w:val="26"/>
          <w:color w:val="auto"/>
        </w:rPr>
        <w:instrText xml:space="preserve"> </w:instrText>
      </w:r>
      <w:r>
        <w:rPr>
          <w:rStyle w:val="26"/>
          <w:color w:val="auto"/>
        </w:rPr>
        <w:fldChar w:fldCharType="separate"/>
      </w:r>
      <w:r>
        <w:rPr>
          <w:rStyle w:val="26"/>
          <w:rFonts w:hint="eastAsia" w:ascii="Times New Roman" w:hAnsi="Times New Roman"/>
          <w:color w:val="auto"/>
        </w:rPr>
        <w:t>（三）持续优化妇幼保健体系服务能力</w:t>
      </w:r>
      <w:r>
        <w:rPr>
          <w:color w:val="auto"/>
        </w:rPr>
        <w:tab/>
      </w:r>
      <w:r>
        <w:rPr>
          <w:color w:val="auto"/>
        </w:rPr>
        <w:fldChar w:fldCharType="begin"/>
      </w:r>
      <w:r>
        <w:rPr>
          <w:color w:val="auto"/>
        </w:rPr>
        <w:instrText xml:space="preserve"> PAGEREF _Toc93511783 \h </w:instrText>
      </w:r>
      <w:r>
        <w:rPr>
          <w:color w:val="auto"/>
        </w:rPr>
        <w:fldChar w:fldCharType="separate"/>
      </w:r>
      <w:r>
        <w:rPr>
          <w:color w:val="auto"/>
        </w:rPr>
        <w:t>14</w:t>
      </w:r>
      <w:r>
        <w:rPr>
          <w:color w:val="auto"/>
        </w:rPr>
        <w:fldChar w:fldCharType="end"/>
      </w:r>
      <w:r>
        <w:rPr>
          <w:rStyle w:val="26"/>
          <w:color w:val="auto"/>
        </w:rPr>
        <w:fldChar w:fldCharType="end"/>
      </w:r>
    </w:p>
    <w:p>
      <w:pPr>
        <w:pStyle w:val="10"/>
        <w:rPr>
          <w:rFonts w:asciiTheme="minorHAnsi" w:hAnsiTheme="minorHAnsi" w:eastAsiaTheme="minorEastAsia"/>
          <w:color w:val="auto"/>
        </w:rPr>
      </w:pPr>
      <w:r>
        <w:rPr>
          <w:rStyle w:val="26"/>
          <w:color w:val="auto"/>
        </w:rPr>
        <w:fldChar w:fldCharType="begin"/>
      </w:r>
      <w:r>
        <w:rPr>
          <w:rStyle w:val="26"/>
          <w:color w:val="auto"/>
        </w:rPr>
        <w:instrText xml:space="preserve"> </w:instrText>
      </w:r>
      <w:r>
        <w:rPr>
          <w:color w:val="auto"/>
        </w:rPr>
        <w:instrText xml:space="preserve">HYPERLINK \l "_Toc93511784"</w:instrText>
      </w:r>
      <w:r>
        <w:rPr>
          <w:rStyle w:val="26"/>
          <w:color w:val="auto"/>
        </w:rPr>
        <w:instrText xml:space="preserve"> </w:instrText>
      </w:r>
      <w:r>
        <w:rPr>
          <w:rStyle w:val="26"/>
          <w:color w:val="auto"/>
        </w:rPr>
        <w:fldChar w:fldCharType="separate"/>
      </w:r>
      <w:r>
        <w:rPr>
          <w:rStyle w:val="26"/>
          <w:rFonts w:hint="eastAsia" w:ascii="Times New Roman" w:hAnsi="Times New Roman"/>
          <w:color w:val="auto"/>
        </w:rPr>
        <w:t>（四）不断推动精神卫生服务体系建设</w:t>
      </w:r>
      <w:r>
        <w:rPr>
          <w:color w:val="auto"/>
        </w:rPr>
        <w:tab/>
      </w:r>
      <w:r>
        <w:rPr>
          <w:color w:val="auto"/>
        </w:rPr>
        <w:fldChar w:fldCharType="begin"/>
      </w:r>
      <w:r>
        <w:rPr>
          <w:color w:val="auto"/>
        </w:rPr>
        <w:instrText xml:space="preserve"> PAGEREF _Toc93511784 \h </w:instrText>
      </w:r>
      <w:r>
        <w:rPr>
          <w:color w:val="auto"/>
        </w:rPr>
        <w:fldChar w:fldCharType="separate"/>
      </w:r>
      <w:r>
        <w:rPr>
          <w:color w:val="auto"/>
        </w:rPr>
        <w:t>15</w:t>
      </w:r>
      <w:r>
        <w:rPr>
          <w:color w:val="auto"/>
        </w:rPr>
        <w:fldChar w:fldCharType="end"/>
      </w:r>
      <w:r>
        <w:rPr>
          <w:rStyle w:val="26"/>
          <w:color w:val="auto"/>
        </w:rPr>
        <w:fldChar w:fldCharType="end"/>
      </w:r>
    </w:p>
    <w:p>
      <w:pPr>
        <w:pStyle w:val="10"/>
        <w:rPr>
          <w:rFonts w:asciiTheme="minorHAnsi" w:hAnsiTheme="minorHAnsi" w:eastAsiaTheme="minorEastAsia"/>
          <w:color w:val="auto"/>
        </w:rPr>
      </w:pPr>
      <w:r>
        <w:rPr>
          <w:rStyle w:val="26"/>
          <w:color w:val="auto"/>
        </w:rPr>
        <w:fldChar w:fldCharType="begin"/>
      </w:r>
      <w:r>
        <w:rPr>
          <w:rStyle w:val="26"/>
          <w:color w:val="auto"/>
        </w:rPr>
        <w:instrText xml:space="preserve"> </w:instrText>
      </w:r>
      <w:r>
        <w:rPr>
          <w:color w:val="auto"/>
        </w:rPr>
        <w:instrText xml:space="preserve">HYPERLINK \l "_Toc93511785"</w:instrText>
      </w:r>
      <w:r>
        <w:rPr>
          <w:rStyle w:val="26"/>
          <w:color w:val="auto"/>
        </w:rPr>
        <w:instrText xml:space="preserve"> </w:instrText>
      </w:r>
      <w:r>
        <w:rPr>
          <w:rStyle w:val="26"/>
          <w:color w:val="auto"/>
        </w:rPr>
        <w:fldChar w:fldCharType="separate"/>
      </w:r>
      <w:r>
        <w:rPr>
          <w:rStyle w:val="26"/>
          <w:rFonts w:hint="eastAsia" w:ascii="Times New Roman" w:hAnsi="Times New Roman"/>
          <w:color w:val="auto"/>
        </w:rPr>
        <w:t>（五）全面提高计划生育服务水平</w:t>
      </w:r>
      <w:r>
        <w:rPr>
          <w:color w:val="auto"/>
        </w:rPr>
        <w:tab/>
      </w:r>
      <w:r>
        <w:rPr>
          <w:color w:val="auto"/>
        </w:rPr>
        <w:fldChar w:fldCharType="begin"/>
      </w:r>
      <w:r>
        <w:rPr>
          <w:color w:val="auto"/>
        </w:rPr>
        <w:instrText xml:space="preserve"> PAGEREF _Toc93511785 \h </w:instrText>
      </w:r>
      <w:r>
        <w:rPr>
          <w:color w:val="auto"/>
        </w:rPr>
        <w:fldChar w:fldCharType="separate"/>
      </w:r>
      <w:r>
        <w:rPr>
          <w:color w:val="auto"/>
        </w:rPr>
        <w:t>16</w:t>
      </w:r>
      <w:r>
        <w:rPr>
          <w:color w:val="auto"/>
        </w:rPr>
        <w:fldChar w:fldCharType="end"/>
      </w:r>
      <w:r>
        <w:rPr>
          <w:rStyle w:val="26"/>
          <w:color w:val="auto"/>
        </w:rPr>
        <w:fldChar w:fldCharType="end"/>
      </w:r>
    </w:p>
    <w:p>
      <w:pPr>
        <w:pStyle w:val="19"/>
        <w:tabs>
          <w:tab w:val="right" w:leader="dot" w:pos="8834"/>
        </w:tabs>
        <w:rPr>
          <w:rFonts w:asciiTheme="minorHAnsi" w:hAnsiTheme="minorHAnsi" w:eastAsiaTheme="minorEastAsia" w:cstheme="minorBidi"/>
          <w:color w:val="auto"/>
          <w:szCs w:val="22"/>
        </w:rPr>
      </w:pPr>
      <w:r>
        <w:rPr>
          <w:rStyle w:val="26"/>
          <w:color w:val="auto"/>
        </w:rPr>
        <w:fldChar w:fldCharType="begin"/>
      </w:r>
      <w:r>
        <w:rPr>
          <w:rStyle w:val="26"/>
          <w:color w:val="auto"/>
        </w:rPr>
        <w:instrText xml:space="preserve"> </w:instrText>
      </w:r>
      <w:r>
        <w:rPr>
          <w:color w:val="auto"/>
        </w:rPr>
        <w:instrText xml:space="preserve">HYPERLINK \l "_Toc93511786"</w:instrText>
      </w:r>
      <w:r>
        <w:rPr>
          <w:rStyle w:val="26"/>
          <w:color w:val="auto"/>
        </w:rPr>
        <w:instrText xml:space="preserve"> </w:instrText>
      </w:r>
      <w:r>
        <w:rPr>
          <w:rStyle w:val="26"/>
          <w:color w:val="auto"/>
        </w:rPr>
        <w:fldChar w:fldCharType="separate"/>
      </w:r>
      <w:r>
        <w:rPr>
          <w:rStyle w:val="26"/>
          <w:rFonts w:hint="eastAsia" w:ascii="楷体" w:hAnsi="楷体" w:eastAsia="楷体"/>
          <w:color w:val="auto"/>
        </w:rPr>
        <w:t>三、建设高质量整合型医疗卫生服务体系</w:t>
      </w:r>
      <w:r>
        <w:rPr>
          <w:color w:val="auto"/>
        </w:rPr>
        <w:tab/>
      </w:r>
      <w:r>
        <w:rPr>
          <w:color w:val="auto"/>
        </w:rPr>
        <w:fldChar w:fldCharType="begin"/>
      </w:r>
      <w:r>
        <w:rPr>
          <w:color w:val="auto"/>
        </w:rPr>
        <w:instrText xml:space="preserve"> PAGEREF _Toc93511786 \h </w:instrText>
      </w:r>
      <w:r>
        <w:rPr>
          <w:color w:val="auto"/>
        </w:rPr>
        <w:fldChar w:fldCharType="separate"/>
      </w:r>
      <w:r>
        <w:rPr>
          <w:color w:val="auto"/>
        </w:rPr>
        <w:t>17</w:t>
      </w:r>
      <w:r>
        <w:rPr>
          <w:color w:val="auto"/>
        </w:rPr>
        <w:fldChar w:fldCharType="end"/>
      </w:r>
      <w:r>
        <w:rPr>
          <w:rStyle w:val="26"/>
          <w:color w:val="auto"/>
        </w:rPr>
        <w:fldChar w:fldCharType="end"/>
      </w:r>
    </w:p>
    <w:p>
      <w:pPr>
        <w:pStyle w:val="10"/>
        <w:rPr>
          <w:rFonts w:asciiTheme="minorHAnsi" w:hAnsiTheme="minorHAnsi" w:eastAsiaTheme="minorEastAsia"/>
          <w:color w:val="auto"/>
        </w:rPr>
      </w:pPr>
      <w:r>
        <w:rPr>
          <w:rStyle w:val="26"/>
          <w:color w:val="auto"/>
        </w:rPr>
        <w:fldChar w:fldCharType="begin"/>
      </w:r>
      <w:r>
        <w:rPr>
          <w:rStyle w:val="26"/>
          <w:color w:val="auto"/>
        </w:rPr>
        <w:instrText xml:space="preserve"> </w:instrText>
      </w:r>
      <w:r>
        <w:rPr>
          <w:color w:val="auto"/>
        </w:rPr>
        <w:instrText xml:space="preserve">HYPERLINK \l "_Toc93511787"</w:instrText>
      </w:r>
      <w:r>
        <w:rPr>
          <w:rStyle w:val="26"/>
          <w:color w:val="auto"/>
        </w:rPr>
        <w:instrText xml:space="preserve"> </w:instrText>
      </w:r>
      <w:r>
        <w:rPr>
          <w:rStyle w:val="26"/>
          <w:color w:val="auto"/>
        </w:rPr>
        <w:fldChar w:fldCharType="separate"/>
      </w:r>
      <w:r>
        <w:rPr>
          <w:rStyle w:val="26"/>
          <w:rFonts w:hint="eastAsia" w:ascii="Times New Roman" w:hAnsi="Times New Roman"/>
          <w:color w:val="auto"/>
        </w:rPr>
        <w:t>（一）不断提高院前急救能力水平</w:t>
      </w:r>
      <w:r>
        <w:rPr>
          <w:color w:val="auto"/>
        </w:rPr>
        <w:tab/>
      </w:r>
      <w:r>
        <w:rPr>
          <w:color w:val="auto"/>
        </w:rPr>
        <w:fldChar w:fldCharType="begin"/>
      </w:r>
      <w:r>
        <w:rPr>
          <w:color w:val="auto"/>
        </w:rPr>
        <w:instrText xml:space="preserve"> PAGEREF _Toc93511787 \h </w:instrText>
      </w:r>
      <w:r>
        <w:rPr>
          <w:color w:val="auto"/>
        </w:rPr>
        <w:fldChar w:fldCharType="separate"/>
      </w:r>
      <w:r>
        <w:rPr>
          <w:color w:val="auto"/>
        </w:rPr>
        <w:t>17</w:t>
      </w:r>
      <w:r>
        <w:rPr>
          <w:color w:val="auto"/>
        </w:rPr>
        <w:fldChar w:fldCharType="end"/>
      </w:r>
      <w:r>
        <w:rPr>
          <w:rStyle w:val="26"/>
          <w:color w:val="auto"/>
        </w:rPr>
        <w:fldChar w:fldCharType="end"/>
      </w:r>
    </w:p>
    <w:p>
      <w:pPr>
        <w:pStyle w:val="10"/>
        <w:rPr>
          <w:rFonts w:asciiTheme="minorHAnsi" w:hAnsiTheme="minorHAnsi" w:eastAsiaTheme="minorEastAsia"/>
          <w:color w:val="auto"/>
        </w:rPr>
      </w:pPr>
      <w:r>
        <w:rPr>
          <w:rStyle w:val="26"/>
          <w:color w:val="auto"/>
        </w:rPr>
        <w:fldChar w:fldCharType="begin"/>
      </w:r>
      <w:r>
        <w:rPr>
          <w:rStyle w:val="26"/>
          <w:color w:val="auto"/>
        </w:rPr>
        <w:instrText xml:space="preserve"> </w:instrText>
      </w:r>
      <w:r>
        <w:rPr>
          <w:color w:val="auto"/>
        </w:rPr>
        <w:instrText xml:space="preserve">HYPERLINK \l "_Toc93511788"</w:instrText>
      </w:r>
      <w:r>
        <w:rPr>
          <w:rStyle w:val="26"/>
          <w:color w:val="auto"/>
        </w:rPr>
        <w:instrText xml:space="preserve"> </w:instrText>
      </w:r>
      <w:r>
        <w:rPr>
          <w:rStyle w:val="26"/>
          <w:color w:val="auto"/>
        </w:rPr>
        <w:fldChar w:fldCharType="separate"/>
      </w:r>
      <w:r>
        <w:rPr>
          <w:rStyle w:val="26"/>
          <w:rFonts w:hint="eastAsia" w:ascii="Times New Roman" w:hAnsi="Times New Roman"/>
          <w:color w:val="auto"/>
        </w:rPr>
        <w:t>（二）持续优化区域医疗资源布局</w:t>
      </w:r>
      <w:r>
        <w:rPr>
          <w:color w:val="auto"/>
        </w:rPr>
        <w:tab/>
      </w:r>
      <w:r>
        <w:rPr>
          <w:color w:val="auto"/>
        </w:rPr>
        <w:fldChar w:fldCharType="begin"/>
      </w:r>
      <w:r>
        <w:rPr>
          <w:color w:val="auto"/>
        </w:rPr>
        <w:instrText xml:space="preserve"> PAGEREF _Toc93511788 \h </w:instrText>
      </w:r>
      <w:r>
        <w:rPr>
          <w:color w:val="auto"/>
        </w:rPr>
        <w:fldChar w:fldCharType="separate"/>
      </w:r>
      <w:r>
        <w:rPr>
          <w:color w:val="auto"/>
        </w:rPr>
        <w:t>18</w:t>
      </w:r>
      <w:r>
        <w:rPr>
          <w:color w:val="auto"/>
        </w:rPr>
        <w:fldChar w:fldCharType="end"/>
      </w:r>
      <w:r>
        <w:rPr>
          <w:rStyle w:val="26"/>
          <w:color w:val="auto"/>
        </w:rPr>
        <w:fldChar w:fldCharType="end"/>
      </w:r>
    </w:p>
    <w:p>
      <w:pPr>
        <w:pStyle w:val="10"/>
        <w:rPr>
          <w:rFonts w:asciiTheme="minorHAnsi" w:hAnsiTheme="minorHAnsi" w:eastAsiaTheme="minorEastAsia"/>
          <w:color w:val="auto"/>
        </w:rPr>
      </w:pPr>
      <w:r>
        <w:rPr>
          <w:rStyle w:val="26"/>
          <w:color w:val="auto"/>
        </w:rPr>
        <w:fldChar w:fldCharType="begin"/>
      </w:r>
      <w:r>
        <w:rPr>
          <w:rStyle w:val="26"/>
          <w:color w:val="auto"/>
        </w:rPr>
        <w:instrText xml:space="preserve"> </w:instrText>
      </w:r>
      <w:r>
        <w:rPr>
          <w:color w:val="auto"/>
        </w:rPr>
        <w:instrText xml:space="preserve">HYPERLINK \l "_Toc93511789"</w:instrText>
      </w:r>
      <w:r>
        <w:rPr>
          <w:rStyle w:val="26"/>
          <w:color w:val="auto"/>
        </w:rPr>
        <w:instrText xml:space="preserve"> </w:instrText>
      </w:r>
      <w:r>
        <w:rPr>
          <w:rStyle w:val="26"/>
          <w:color w:val="auto"/>
        </w:rPr>
        <w:fldChar w:fldCharType="separate"/>
      </w:r>
      <w:r>
        <w:rPr>
          <w:rStyle w:val="26"/>
          <w:rFonts w:hint="eastAsia" w:ascii="Times New Roman" w:hAnsi="Times New Roman"/>
          <w:color w:val="auto"/>
        </w:rPr>
        <w:t>（三）促进区域优质资源协同发展</w:t>
      </w:r>
      <w:r>
        <w:rPr>
          <w:color w:val="auto"/>
        </w:rPr>
        <w:tab/>
      </w:r>
      <w:r>
        <w:rPr>
          <w:color w:val="auto"/>
        </w:rPr>
        <w:fldChar w:fldCharType="begin"/>
      </w:r>
      <w:r>
        <w:rPr>
          <w:color w:val="auto"/>
        </w:rPr>
        <w:instrText xml:space="preserve"> PAGEREF _Toc93511789 \h </w:instrText>
      </w:r>
      <w:r>
        <w:rPr>
          <w:color w:val="auto"/>
        </w:rPr>
        <w:fldChar w:fldCharType="separate"/>
      </w:r>
      <w:r>
        <w:rPr>
          <w:color w:val="auto"/>
        </w:rPr>
        <w:t>19</w:t>
      </w:r>
      <w:r>
        <w:rPr>
          <w:color w:val="auto"/>
        </w:rPr>
        <w:fldChar w:fldCharType="end"/>
      </w:r>
      <w:r>
        <w:rPr>
          <w:rStyle w:val="26"/>
          <w:color w:val="auto"/>
        </w:rPr>
        <w:fldChar w:fldCharType="end"/>
      </w:r>
    </w:p>
    <w:p>
      <w:pPr>
        <w:pStyle w:val="10"/>
        <w:rPr>
          <w:rFonts w:asciiTheme="minorHAnsi" w:hAnsiTheme="minorHAnsi" w:eastAsiaTheme="minorEastAsia"/>
          <w:color w:val="auto"/>
        </w:rPr>
      </w:pPr>
      <w:r>
        <w:rPr>
          <w:rStyle w:val="26"/>
          <w:color w:val="auto"/>
        </w:rPr>
        <w:fldChar w:fldCharType="begin"/>
      </w:r>
      <w:r>
        <w:rPr>
          <w:rStyle w:val="26"/>
          <w:color w:val="auto"/>
        </w:rPr>
        <w:instrText xml:space="preserve"> </w:instrText>
      </w:r>
      <w:r>
        <w:rPr>
          <w:color w:val="auto"/>
        </w:rPr>
        <w:instrText xml:space="preserve">HYPERLINK \l "_Toc93511790"</w:instrText>
      </w:r>
      <w:r>
        <w:rPr>
          <w:rStyle w:val="26"/>
          <w:color w:val="auto"/>
        </w:rPr>
        <w:instrText xml:space="preserve"> </w:instrText>
      </w:r>
      <w:r>
        <w:rPr>
          <w:rStyle w:val="26"/>
          <w:color w:val="auto"/>
        </w:rPr>
        <w:fldChar w:fldCharType="separate"/>
      </w:r>
      <w:r>
        <w:rPr>
          <w:rStyle w:val="26"/>
          <w:rFonts w:hint="eastAsia" w:ascii="Times New Roman" w:hAnsi="Times New Roman"/>
          <w:color w:val="auto"/>
        </w:rPr>
        <w:t>（四）推动社会办医向高质量发展</w:t>
      </w:r>
      <w:r>
        <w:rPr>
          <w:color w:val="auto"/>
        </w:rPr>
        <w:tab/>
      </w:r>
      <w:r>
        <w:rPr>
          <w:color w:val="auto"/>
        </w:rPr>
        <w:fldChar w:fldCharType="begin"/>
      </w:r>
      <w:r>
        <w:rPr>
          <w:color w:val="auto"/>
        </w:rPr>
        <w:instrText xml:space="preserve"> PAGEREF _Toc93511790 \h </w:instrText>
      </w:r>
      <w:r>
        <w:rPr>
          <w:color w:val="auto"/>
        </w:rPr>
        <w:fldChar w:fldCharType="separate"/>
      </w:r>
      <w:r>
        <w:rPr>
          <w:color w:val="auto"/>
        </w:rPr>
        <w:t>20</w:t>
      </w:r>
      <w:r>
        <w:rPr>
          <w:color w:val="auto"/>
        </w:rPr>
        <w:fldChar w:fldCharType="end"/>
      </w:r>
      <w:r>
        <w:rPr>
          <w:rStyle w:val="26"/>
          <w:color w:val="auto"/>
        </w:rPr>
        <w:fldChar w:fldCharType="end"/>
      </w:r>
    </w:p>
    <w:p>
      <w:pPr>
        <w:pStyle w:val="10"/>
        <w:rPr>
          <w:rFonts w:asciiTheme="minorHAnsi" w:hAnsiTheme="minorHAnsi" w:eastAsiaTheme="minorEastAsia"/>
          <w:color w:val="auto"/>
        </w:rPr>
      </w:pPr>
      <w:r>
        <w:rPr>
          <w:rStyle w:val="26"/>
          <w:color w:val="auto"/>
        </w:rPr>
        <w:fldChar w:fldCharType="begin"/>
      </w:r>
      <w:r>
        <w:rPr>
          <w:rStyle w:val="26"/>
          <w:color w:val="auto"/>
        </w:rPr>
        <w:instrText xml:space="preserve"> </w:instrText>
      </w:r>
      <w:r>
        <w:rPr>
          <w:color w:val="auto"/>
        </w:rPr>
        <w:instrText xml:space="preserve">HYPERLINK \l "_Toc93511791"</w:instrText>
      </w:r>
      <w:r>
        <w:rPr>
          <w:rStyle w:val="26"/>
          <w:color w:val="auto"/>
        </w:rPr>
        <w:instrText xml:space="preserve"> </w:instrText>
      </w:r>
      <w:r>
        <w:rPr>
          <w:rStyle w:val="26"/>
          <w:color w:val="auto"/>
        </w:rPr>
        <w:fldChar w:fldCharType="separate"/>
      </w:r>
      <w:r>
        <w:rPr>
          <w:rStyle w:val="26"/>
          <w:rFonts w:hint="eastAsia" w:ascii="Times New Roman" w:hAnsi="Times New Roman"/>
          <w:color w:val="auto"/>
        </w:rPr>
        <w:t>（五）优化社区卫生综合服务能力</w:t>
      </w:r>
      <w:r>
        <w:rPr>
          <w:color w:val="auto"/>
        </w:rPr>
        <w:tab/>
      </w:r>
      <w:r>
        <w:rPr>
          <w:color w:val="auto"/>
        </w:rPr>
        <w:fldChar w:fldCharType="begin"/>
      </w:r>
      <w:r>
        <w:rPr>
          <w:color w:val="auto"/>
        </w:rPr>
        <w:instrText xml:space="preserve"> PAGEREF _Toc93511791 \h </w:instrText>
      </w:r>
      <w:r>
        <w:rPr>
          <w:color w:val="auto"/>
        </w:rPr>
        <w:fldChar w:fldCharType="separate"/>
      </w:r>
      <w:r>
        <w:rPr>
          <w:color w:val="auto"/>
        </w:rPr>
        <w:t>21</w:t>
      </w:r>
      <w:r>
        <w:rPr>
          <w:color w:val="auto"/>
        </w:rPr>
        <w:fldChar w:fldCharType="end"/>
      </w:r>
      <w:r>
        <w:rPr>
          <w:rStyle w:val="26"/>
          <w:color w:val="auto"/>
        </w:rPr>
        <w:fldChar w:fldCharType="end"/>
      </w:r>
    </w:p>
    <w:p>
      <w:pPr>
        <w:pStyle w:val="19"/>
        <w:tabs>
          <w:tab w:val="right" w:leader="dot" w:pos="8834"/>
        </w:tabs>
        <w:rPr>
          <w:rFonts w:asciiTheme="minorHAnsi" w:hAnsiTheme="minorHAnsi" w:eastAsiaTheme="minorEastAsia" w:cstheme="minorBidi"/>
          <w:color w:val="auto"/>
          <w:szCs w:val="22"/>
        </w:rPr>
      </w:pPr>
      <w:r>
        <w:rPr>
          <w:rStyle w:val="26"/>
          <w:color w:val="auto"/>
        </w:rPr>
        <w:fldChar w:fldCharType="begin"/>
      </w:r>
      <w:r>
        <w:rPr>
          <w:rStyle w:val="26"/>
          <w:color w:val="auto"/>
        </w:rPr>
        <w:instrText xml:space="preserve"> </w:instrText>
      </w:r>
      <w:r>
        <w:rPr>
          <w:color w:val="auto"/>
        </w:rPr>
        <w:instrText xml:space="preserve">HYPERLINK \l "_Toc93511792"</w:instrText>
      </w:r>
      <w:r>
        <w:rPr>
          <w:rStyle w:val="26"/>
          <w:color w:val="auto"/>
        </w:rPr>
        <w:instrText xml:space="preserve"> </w:instrText>
      </w:r>
      <w:r>
        <w:rPr>
          <w:rStyle w:val="26"/>
          <w:color w:val="auto"/>
        </w:rPr>
        <w:fldChar w:fldCharType="separate"/>
      </w:r>
      <w:r>
        <w:rPr>
          <w:rStyle w:val="26"/>
          <w:rFonts w:hint="eastAsia" w:ascii="楷体" w:hAnsi="楷体" w:eastAsia="楷体"/>
          <w:color w:val="auto"/>
        </w:rPr>
        <w:t>四、系统推进中医药工作</w:t>
      </w:r>
      <w:r>
        <w:rPr>
          <w:color w:val="auto"/>
        </w:rPr>
        <w:tab/>
      </w:r>
      <w:r>
        <w:rPr>
          <w:color w:val="auto"/>
        </w:rPr>
        <w:fldChar w:fldCharType="begin"/>
      </w:r>
      <w:r>
        <w:rPr>
          <w:color w:val="auto"/>
        </w:rPr>
        <w:instrText xml:space="preserve"> PAGEREF _Toc93511792 \h </w:instrText>
      </w:r>
      <w:r>
        <w:rPr>
          <w:color w:val="auto"/>
        </w:rPr>
        <w:fldChar w:fldCharType="separate"/>
      </w:r>
      <w:r>
        <w:rPr>
          <w:color w:val="auto"/>
        </w:rPr>
        <w:t>23</w:t>
      </w:r>
      <w:r>
        <w:rPr>
          <w:color w:val="auto"/>
        </w:rPr>
        <w:fldChar w:fldCharType="end"/>
      </w:r>
      <w:r>
        <w:rPr>
          <w:rStyle w:val="26"/>
          <w:color w:val="auto"/>
        </w:rPr>
        <w:fldChar w:fldCharType="end"/>
      </w:r>
    </w:p>
    <w:p>
      <w:pPr>
        <w:pStyle w:val="10"/>
        <w:rPr>
          <w:rFonts w:asciiTheme="minorHAnsi" w:hAnsiTheme="minorHAnsi" w:eastAsiaTheme="minorEastAsia"/>
          <w:color w:val="auto"/>
        </w:rPr>
      </w:pPr>
      <w:r>
        <w:rPr>
          <w:rStyle w:val="26"/>
          <w:color w:val="auto"/>
        </w:rPr>
        <w:fldChar w:fldCharType="begin"/>
      </w:r>
      <w:r>
        <w:rPr>
          <w:rStyle w:val="26"/>
          <w:color w:val="auto"/>
        </w:rPr>
        <w:instrText xml:space="preserve"> </w:instrText>
      </w:r>
      <w:r>
        <w:rPr>
          <w:color w:val="auto"/>
        </w:rPr>
        <w:instrText xml:space="preserve">HYPERLINK \l "_Toc93511793"</w:instrText>
      </w:r>
      <w:r>
        <w:rPr>
          <w:rStyle w:val="26"/>
          <w:color w:val="auto"/>
        </w:rPr>
        <w:instrText xml:space="preserve"> </w:instrText>
      </w:r>
      <w:r>
        <w:rPr>
          <w:rStyle w:val="26"/>
          <w:color w:val="auto"/>
        </w:rPr>
        <w:fldChar w:fldCharType="separate"/>
      </w:r>
      <w:r>
        <w:rPr>
          <w:rStyle w:val="26"/>
          <w:rFonts w:hint="eastAsia" w:ascii="Times New Roman" w:hAnsi="Times New Roman"/>
          <w:color w:val="auto"/>
        </w:rPr>
        <w:t>（一）文化宣传，营造发展环境</w:t>
      </w:r>
      <w:r>
        <w:rPr>
          <w:color w:val="auto"/>
        </w:rPr>
        <w:tab/>
      </w:r>
      <w:r>
        <w:rPr>
          <w:color w:val="auto"/>
        </w:rPr>
        <w:fldChar w:fldCharType="begin"/>
      </w:r>
      <w:r>
        <w:rPr>
          <w:color w:val="auto"/>
        </w:rPr>
        <w:instrText xml:space="preserve"> PAGEREF _Toc93511793 \h </w:instrText>
      </w:r>
      <w:r>
        <w:rPr>
          <w:color w:val="auto"/>
        </w:rPr>
        <w:fldChar w:fldCharType="separate"/>
      </w:r>
      <w:r>
        <w:rPr>
          <w:color w:val="auto"/>
        </w:rPr>
        <w:t>23</w:t>
      </w:r>
      <w:r>
        <w:rPr>
          <w:color w:val="auto"/>
        </w:rPr>
        <w:fldChar w:fldCharType="end"/>
      </w:r>
      <w:r>
        <w:rPr>
          <w:rStyle w:val="26"/>
          <w:color w:val="auto"/>
        </w:rPr>
        <w:fldChar w:fldCharType="end"/>
      </w:r>
    </w:p>
    <w:p>
      <w:pPr>
        <w:pStyle w:val="10"/>
        <w:rPr>
          <w:rFonts w:asciiTheme="minorHAnsi" w:hAnsiTheme="minorHAnsi" w:eastAsiaTheme="minorEastAsia"/>
          <w:color w:val="auto"/>
        </w:rPr>
      </w:pPr>
      <w:r>
        <w:rPr>
          <w:rStyle w:val="26"/>
          <w:color w:val="auto"/>
        </w:rPr>
        <w:fldChar w:fldCharType="begin"/>
      </w:r>
      <w:r>
        <w:rPr>
          <w:rStyle w:val="26"/>
          <w:color w:val="auto"/>
        </w:rPr>
        <w:instrText xml:space="preserve"> </w:instrText>
      </w:r>
      <w:r>
        <w:rPr>
          <w:color w:val="auto"/>
        </w:rPr>
        <w:instrText xml:space="preserve">HYPERLINK \l "_Toc93511794"</w:instrText>
      </w:r>
      <w:r>
        <w:rPr>
          <w:rStyle w:val="26"/>
          <w:color w:val="auto"/>
        </w:rPr>
        <w:instrText xml:space="preserve"> </w:instrText>
      </w:r>
      <w:r>
        <w:rPr>
          <w:rStyle w:val="26"/>
          <w:color w:val="auto"/>
        </w:rPr>
        <w:fldChar w:fldCharType="separate"/>
      </w:r>
      <w:r>
        <w:rPr>
          <w:rStyle w:val="26"/>
          <w:rFonts w:hint="eastAsia" w:ascii="Times New Roman" w:hAnsi="Times New Roman"/>
          <w:color w:val="auto"/>
        </w:rPr>
        <w:t>（二）发挥优势，扩大推广应用</w:t>
      </w:r>
      <w:r>
        <w:rPr>
          <w:color w:val="auto"/>
        </w:rPr>
        <w:tab/>
      </w:r>
      <w:r>
        <w:rPr>
          <w:color w:val="auto"/>
        </w:rPr>
        <w:fldChar w:fldCharType="begin"/>
      </w:r>
      <w:r>
        <w:rPr>
          <w:color w:val="auto"/>
        </w:rPr>
        <w:instrText xml:space="preserve"> PAGEREF _Toc93511794 \h </w:instrText>
      </w:r>
      <w:r>
        <w:rPr>
          <w:color w:val="auto"/>
        </w:rPr>
        <w:fldChar w:fldCharType="separate"/>
      </w:r>
      <w:r>
        <w:rPr>
          <w:color w:val="auto"/>
        </w:rPr>
        <w:t>23</w:t>
      </w:r>
      <w:r>
        <w:rPr>
          <w:color w:val="auto"/>
        </w:rPr>
        <w:fldChar w:fldCharType="end"/>
      </w:r>
      <w:r>
        <w:rPr>
          <w:rStyle w:val="26"/>
          <w:color w:val="auto"/>
        </w:rPr>
        <w:fldChar w:fldCharType="end"/>
      </w:r>
    </w:p>
    <w:p>
      <w:pPr>
        <w:pStyle w:val="10"/>
        <w:rPr>
          <w:rFonts w:asciiTheme="minorHAnsi" w:hAnsiTheme="minorHAnsi" w:eastAsiaTheme="minorEastAsia"/>
          <w:color w:val="auto"/>
        </w:rPr>
      </w:pPr>
      <w:r>
        <w:rPr>
          <w:rStyle w:val="26"/>
          <w:color w:val="auto"/>
        </w:rPr>
        <w:fldChar w:fldCharType="begin"/>
      </w:r>
      <w:r>
        <w:rPr>
          <w:rStyle w:val="26"/>
          <w:color w:val="auto"/>
        </w:rPr>
        <w:instrText xml:space="preserve"> </w:instrText>
      </w:r>
      <w:r>
        <w:rPr>
          <w:color w:val="auto"/>
        </w:rPr>
        <w:instrText xml:space="preserve">HYPERLINK \l "_Toc93511795"</w:instrText>
      </w:r>
      <w:r>
        <w:rPr>
          <w:rStyle w:val="26"/>
          <w:color w:val="auto"/>
        </w:rPr>
        <w:instrText xml:space="preserve"> </w:instrText>
      </w:r>
      <w:r>
        <w:rPr>
          <w:rStyle w:val="26"/>
          <w:color w:val="auto"/>
        </w:rPr>
        <w:fldChar w:fldCharType="separate"/>
      </w:r>
      <w:r>
        <w:rPr>
          <w:rStyle w:val="26"/>
          <w:rFonts w:hint="eastAsia" w:ascii="Times New Roman" w:hAnsi="Times New Roman"/>
          <w:color w:val="auto"/>
        </w:rPr>
        <w:t>（三）优化布局，完善服务体系</w:t>
      </w:r>
      <w:r>
        <w:rPr>
          <w:color w:val="auto"/>
        </w:rPr>
        <w:tab/>
      </w:r>
      <w:r>
        <w:rPr>
          <w:color w:val="auto"/>
        </w:rPr>
        <w:fldChar w:fldCharType="begin"/>
      </w:r>
      <w:r>
        <w:rPr>
          <w:color w:val="auto"/>
        </w:rPr>
        <w:instrText xml:space="preserve"> PAGEREF _Toc93511795 \h </w:instrText>
      </w:r>
      <w:r>
        <w:rPr>
          <w:color w:val="auto"/>
        </w:rPr>
        <w:fldChar w:fldCharType="separate"/>
      </w:r>
      <w:r>
        <w:rPr>
          <w:color w:val="auto"/>
        </w:rPr>
        <w:t>23</w:t>
      </w:r>
      <w:r>
        <w:rPr>
          <w:color w:val="auto"/>
        </w:rPr>
        <w:fldChar w:fldCharType="end"/>
      </w:r>
      <w:r>
        <w:rPr>
          <w:rStyle w:val="26"/>
          <w:color w:val="auto"/>
        </w:rPr>
        <w:fldChar w:fldCharType="end"/>
      </w:r>
    </w:p>
    <w:p>
      <w:pPr>
        <w:pStyle w:val="10"/>
        <w:rPr>
          <w:rFonts w:asciiTheme="minorHAnsi" w:hAnsiTheme="minorHAnsi" w:eastAsiaTheme="minorEastAsia"/>
          <w:color w:val="auto"/>
        </w:rPr>
      </w:pPr>
      <w:r>
        <w:rPr>
          <w:rStyle w:val="26"/>
          <w:color w:val="auto"/>
        </w:rPr>
        <w:fldChar w:fldCharType="begin"/>
      </w:r>
      <w:r>
        <w:rPr>
          <w:rStyle w:val="26"/>
          <w:color w:val="auto"/>
        </w:rPr>
        <w:instrText xml:space="preserve"> </w:instrText>
      </w:r>
      <w:r>
        <w:rPr>
          <w:color w:val="auto"/>
        </w:rPr>
        <w:instrText xml:space="preserve">HYPERLINK \l "_Toc93511796"</w:instrText>
      </w:r>
      <w:r>
        <w:rPr>
          <w:rStyle w:val="26"/>
          <w:color w:val="auto"/>
        </w:rPr>
        <w:instrText xml:space="preserve"> </w:instrText>
      </w:r>
      <w:r>
        <w:rPr>
          <w:rStyle w:val="26"/>
          <w:color w:val="auto"/>
        </w:rPr>
        <w:fldChar w:fldCharType="separate"/>
      </w:r>
      <w:r>
        <w:rPr>
          <w:rStyle w:val="26"/>
          <w:rFonts w:hint="eastAsia" w:ascii="Times New Roman" w:hAnsi="Times New Roman"/>
          <w:color w:val="auto"/>
        </w:rPr>
        <w:t>（四）试点创新，打造发展高地</w:t>
      </w:r>
      <w:r>
        <w:rPr>
          <w:color w:val="auto"/>
        </w:rPr>
        <w:tab/>
      </w:r>
      <w:r>
        <w:rPr>
          <w:color w:val="auto"/>
        </w:rPr>
        <w:fldChar w:fldCharType="begin"/>
      </w:r>
      <w:r>
        <w:rPr>
          <w:color w:val="auto"/>
        </w:rPr>
        <w:instrText xml:space="preserve"> PAGEREF _Toc93511796 \h </w:instrText>
      </w:r>
      <w:r>
        <w:rPr>
          <w:color w:val="auto"/>
        </w:rPr>
        <w:fldChar w:fldCharType="separate"/>
      </w:r>
      <w:r>
        <w:rPr>
          <w:color w:val="auto"/>
        </w:rPr>
        <w:t>24</w:t>
      </w:r>
      <w:r>
        <w:rPr>
          <w:color w:val="auto"/>
        </w:rPr>
        <w:fldChar w:fldCharType="end"/>
      </w:r>
      <w:r>
        <w:rPr>
          <w:rStyle w:val="26"/>
          <w:color w:val="auto"/>
        </w:rPr>
        <w:fldChar w:fldCharType="end"/>
      </w:r>
    </w:p>
    <w:p>
      <w:pPr>
        <w:pStyle w:val="10"/>
        <w:rPr>
          <w:rFonts w:asciiTheme="minorHAnsi" w:hAnsiTheme="minorHAnsi" w:eastAsiaTheme="minorEastAsia"/>
          <w:color w:val="auto"/>
        </w:rPr>
      </w:pPr>
      <w:r>
        <w:rPr>
          <w:rStyle w:val="26"/>
          <w:color w:val="auto"/>
        </w:rPr>
        <w:fldChar w:fldCharType="begin"/>
      </w:r>
      <w:r>
        <w:rPr>
          <w:rStyle w:val="26"/>
          <w:color w:val="auto"/>
        </w:rPr>
        <w:instrText xml:space="preserve"> </w:instrText>
      </w:r>
      <w:r>
        <w:rPr>
          <w:color w:val="auto"/>
        </w:rPr>
        <w:instrText xml:space="preserve">HYPERLINK \l "_Toc93511797"</w:instrText>
      </w:r>
      <w:r>
        <w:rPr>
          <w:rStyle w:val="26"/>
          <w:color w:val="auto"/>
        </w:rPr>
        <w:instrText xml:space="preserve"> </w:instrText>
      </w:r>
      <w:r>
        <w:rPr>
          <w:rStyle w:val="26"/>
          <w:color w:val="auto"/>
        </w:rPr>
        <w:fldChar w:fldCharType="separate"/>
      </w:r>
      <w:r>
        <w:rPr>
          <w:rStyle w:val="26"/>
          <w:rFonts w:hint="eastAsia" w:ascii="Times New Roman" w:hAnsi="Times New Roman"/>
          <w:color w:val="auto"/>
        </w:rPr>
        <w:t>（五）薪火相传，加强人才建设</w:t>
      </w:r>
      <w:r>
        <w:rPr>
          <w:color w:val="auto"/>
        </w:rPr>
        <w:tab/>
      </w:r>
      <w:r>
        <w:rPr>
          <w:color w:val="auto"/>
        </w:rPr>
        <w:fldChar w:fldCharType="begin"/>
      </w:r>
      <w:r>
        <w:rPr>
          <w:color w:val="auto"/>
        </w:rPr>
        <w:instrText xml:space="preserve"> PAGEREF _Toc93511797 \h </w:instrText>
      </w:r>
      <w:r>
        <w:rPr>
          <w:color w:val="auto"/>
        </w:rPr>
        <w:fldChar w:fldCharType="separate"/>
      </w:r>
      <w:r>
        <w:rPr>
          <w:color w:val="auto"/>
        </w:rPr>
        <w:t>24</w:t>
      </w:r>
      <w:r>
        <w:rPr>
          <w:color w:val="auto"/>
        </w:rPr>
        <w:fldChar w:fldCharType="end"/>
      </w:r>
      <w:r>
        <w:rPr>
          <w:rStyle w:val="26"/>
          <w:color w:val="auto"/>
        </w:rPr>
        <w:fldChar w:fldCharType="end"/>
      </w:r>
    </w:p>
    <w:p>
      <w:pPr>
        <w:pStyle w:val="19"/>
        <w:tabs>
          <w:tab w:val="right" w:leader="dot" w:pos="8834"/>
        </w:tabs>
        <w:rPr>
          <w:rFonts w:asciiTheme="minorHAnsi" w:hAnsiTheme="minorHAnsi" w:eastAsiaTheme="minorEastAsia" w:cstheme="minorBidi"/>
          <w:color w:val="auto"/>
          <w:szCs w:val="22"/>
        </w:rPr>
      </w:pPr>
      <w:r>
        <w:rPr>
          <w:rStyle w:val="26"/>
          <w:color w:val="auto"/>
        </w:rPr>
        <w:fldChar w:fldCharType="begin"/>
      </w:r>
      <w:r>
        <w:rPr>
          <w:rStyle w:val="26"/>
          <w:color w:val="auto"/>
        </w:rPr>
        <w:instrText xml:space="preserve"> </w:instrText>
      </w:r>
      <w:r>
        <w:rPr>
          <w:color w:val="auto"/>
        </w:rPr>
        <w:instrText xml:space="preserve">HYPERLINK \l "_Toc93511798"</w:instrText>
      </w:r>
      <w:r>
        <w:rPr>
          <w:rStyle w:val="26"/>
          <w:color w:val="auto"/>
        </w:rPr>
        <w:instrText xml:space="preserve"> </w:instrText>
      </w:r>
      <w:r>
        <w:rPr>
          <w:rStyle w:val="26"/>
          <w:color w:val="auto"/>
        </w:rPr>
        <w:fldChar w:fldCharType="separate"/>
      </w:r>
      <w:r>
        <w:rPr>
          <w:rStyle w:val="26"/>
          <w:rFonts w:hint="eastAsia" w:ascii="楷体" w:hAnsi="楷体" w:eastAsia="楷体"/>
          <w:color w:val="auto"/>
        </w:rPr>
        <w:t>五、推进国家级卫生区示范区联创联建</w:t>
      </w:r>
      <w:r>
        <w:rPr>
          <w:color w:val="auto"/>
        </w:rPr>
        <w:tab/>
      </w:r>
      <w:r>
        <w:rPr>
          <w:color w:val="auto"/>
        </w:rPr>
        <w:fldChar w:fldCharType="begin"/>
      </w:r>
      <w:r>
        <w:rPr>
          <w:color w:val="auto"/>
        </w:rPr>
        <w:instrText xml:space="preserve"> PAGEREF _Toc93511798 \h </w:instrText>
      </w:r>
      <w:r>
        <w:rPr>
          <w:color w:val="auto"/>
        </w:rPr>
        <w:fldChar w:fldCharType="separate"/>
      </w:r>
      <w:r>
        <w:rPr>
          <w:color w:val="auto"/>
        </w:rPr>
        <w:t>24</w:t>
      </w:r>
      <w:r>
        <w:rPr>
          <w:color w:val="auto"/>
        </w:rPr>
        <w:fldChar w:fldCharType="end"/>
      </w:r>
      <w:r>
        <w:rPr>
          <w:rStyle w:val="26"/>
          <w:color w:val="auto"/>
        </w:rPr>
        <w:fldChar w:fldCharType="end"/>
      </w:r>
    </w:p>
    <w:p>
      <w:pPr>
        <w:pStyle w:val="10"/>
        <w:rPr>
          <w:rFonts w:asciiTheme="minorHAnsi" w:hAnsiTheme="minorHAnsi" w:eastAsiaTheme="minorEastAsia"/>
          <w:color w:val="auto"/>
        </w:rPr>
      </w:pPr>
      <w:r>
        <w:rPr>
          <w:rStyle w:val="26"/>
          <w:color w:val="auto"/>
        </w:rPr>
        <w:fldChar w:fldCharType="begin"/>
      </w:r>
      <w:r>
        <w:rPr>
          <w:rStyle w:val="26"/>
          <w:color w:val="auto"/>
        </w:rPr>
        <w:instrText xml:space="preserve"> </w:instrText>
      </w:r>
      <w:r>
        <w:rPr>
          <w:color w:val="auto"/>
        </w:rPr>
        <w:instrText xml:space="preserve">HYPERLINK \l "_Toc93511799"</w:instrText>
      </w:r>
      <w:r>
        <w:rPr>
          <w:rStyle w:val="26"/>
          <w:color w:val="auto"/>
        </w:rPr>
        <w:instrText xml:space="preserve"> </w:instrText>
      </w:r>
      <w:r>
        <w:rPr>
          <w:rStyle w:val="26"/>
          <w:color w:val="auto"/>
        </w:rPr>
        <w:fldChar w:fldCharType="separate"/>
      </w:r>
      <w:r>
        <w:rPr>
          <w:rStyle w:val="26"/>
          <w:rFonts w:hint="eastAsia" w:ascii="Times New Roman" w:hAnsi="Times New Roman"/>
          <w:color w:val="auto"/>
        </w:rPr>
        <w:t>（一）全面完成国家卫生区创建</w:t>
      </w:r>
      <w:r>
        <w:rPr>
          <w:color w:val="auto"/>
        </w:rPr>
        <w:tab/>
      </w:r>
      <w:r>
        <w:rPr>
          <w:color w:val="auto"/>
        </w:rPr>
        <w:fldChar w:fldCharType="begin"/>
      </w:r>
      <w:r>
        <w:rPr>
          <w:color w:val="auto"/>
        </w:rPr>
        <w:instrText xml:space="preserve"> PAGEREF _Toc93511799 \h </w:instrText>
      </w:r>
      <w:r>
        <w:rPr>
          <w:color w:val="auto"/>
        </w:rPr>
        <w:fldChar w:fldCharType="separate"/>
      </w:r>
      <w:r>
        <w:rPr>
          <w:color w:val="auto"/>
        </w:rPr>
        <w:t>24</w:t>
      </w:r>
      <w:r>
        <w:rPr>
          <w:color w:val="auto"/>
        </w:rPr>
        <w:fldChar w:fldCharType="end"/>
      </w:r>
      <w:r>
        <w:rPr>
          <w:rStyle w:val="26"/>
          <w:color w:val="auto"/>
        </w:rPr>
        <w:fldChar w:fldCharType="end"/>
      </w:r>
    </w:p>
    <w:p>
      <w:pPr>
        <w:pStyle w:val="10"/>
        <w:rPr>
          <w:rFonts w:asciiTheme="minorHAnsi" w:hAnsiTheme="minorHAnsi" w:eastAsiaTheme="minorEastAsia"/>
          <w:color w:val="auto"/>
        </w:rPr>
      </w:pPr>
      <w:r>
        <w:rPr>
          <w:rStyle w:val="26"/>
          <w:color w:val="auto"/>
        </w:rPr>
        <w:fldChar w:fldCharType="begin"/>
      </w:r>
      <w:r>
        <w:rPr>
          <w:rStyle w:val="26"/>
          <w:color w:val="auto"/>
        </w:rPr>
        <w:instrText xml:space="preserve"> </w:instrText>
      </w:r>
      <w:r>
        <w:rPr>
          <w:color w:val="auto"/>
        </w:rPr>
        <w:instrText xml:space="preserve">HYPERLINK \l "_Toc93511800"</w:instrText>
      </w:r>
      <w:r>
        <w:rPr>
          <w:rStyle w:val="26"/>
          <w:color w:val="auto"/>
        </w:rPr>
        <w:instrText xml:space="preserve"> </w:instrText>
      </w:r>
      <w:r>
        <w:rPr>
          <w:rStyle w:val="26"/>
          <w:color w:val="auto"/>
        </w:rPr>
        <w:fldChar w:fldCharType="separate"/>
      </w:r>
      <w:r>
        <w:rPr>
          <w:rStyle w:val="26"/>
          <w:rFonts w:hint="eastAsia" w:ascii="Times New Roman" w:hAnsi="Times New Roman"/>
          <w:color w:val="auto"/>
        </w:rPr>
        <w:t>（二）不断巩固示范区建设成果</w:t>
      </w:r>
      <w:r>
        <w:rPr>
          <w:color w:val="auto"/>
        </w:rPr>
        <w:tab/>
      </w:r>
      <w:r>
        <w:rPr>
          <w:color w:val="auto"/>
        </w:rPr>
        <w:fldChar w:fldCharType="begin"/>
      </w:r>
      <w:r>
        <w:rPr>
          <w:color w:val="auto"/>
        </w:rPr>
        <w:instrText xml:space="preserve"> PAGEREF _Toc93511800 \h </w:instrText>
      </w:r>
      <w:r>
        <w:rPr>
          <w:color w:val="auto"/>
        </w:rPr>
        <w:fldChar w:fldCharType="separate"/>
      </w:r>
      <w:r>
        <w:rPr>
          <w:color w:val="auto"/>
        </w:rPr>
        <w:t>25</w:t>
      </w:r>
      <w:r>
        <w:rPr>
          <w:color w:val="auto"/>
        </w:rPr>
        <w:fldChar w:fldCharType="end"/>
      </w:r>
      <w:r>
        <w:rPr>
          <w:rStyle w:val="26"/>
          <w:color w:val="auto"/>
        </w:rPr>
        <w:fldChar w:fldCharType="end"/>
      </w:r>
    </w:p>
    <w:p>
      <w:pPr>
        <w:pStyle w:val="10"/>
        <w:rPr>
          <w:rFonts w:asciiTheme="minorHAnsi" w:hAnsiTheme="minorHAnsi" w:eastAsiaTheme="minorEastAsia"/>
          <w:color w:val="auto"/>
        </w:rPr>
      </w:pPr>
      <w:r>
        <w:rPr>
          <w:rStyle w:val="26"/>
          <w:color w:val="auto"/>
        </w:rPr>
        <w:fldChar w:fldCharType="begin"/>
      </w:r>
      <w:r>
        <w:rPr>
          <w:rStyle w:val="26"/>
          <w:color w:val="auto"/>
        </w:rPr>
        <w:instrText xml:space="preserve"> </w:instrText>
      </w:r>
      <w:r>
        <w:rPr>
          <w:color w:val="auto"/>
        </w:rPr>
        <w:instrText xml:space="preserve">HYPERLINK \l "_Toc93511801"</w:instrText>
      </w:r>
      <w:r>
        <w:rPr>
          <w:rStyle w:val="26"/>
          <w:color w:val="auto"/>
        </w:rPr>
        <w:instrText xml:space="preserve"> </w:instrText>
      </w:r>
      <w:r>
        <w:rPr>
          <w:rStyle w:val="26"/>
          <w:color w:val="auto"/>
        </w:rPr>
        <w:fldChar w:fldCharType="separate"/>
      </w:r>
      <w:r>
        <w:rPr>
          <w:rStyle w:val="26"/>
          <w:rFonts w:hint="eastAsia" w:ascii="Times New Roman" w:hAnsi="Times New Roman"/>
          <w:color w:val="auto"/>
        </w:rPr>
        <w:t>（三）完成全国健康促进区建设</w:t>
      </w:r>
      <w:r>
        <w:rPr>
          <w:color w:val="auto"/>
        </w:rPr>
        <w:tab/>
      </w:r>
      <w:r>
        <w:rPr>
          <w:color w:val="auto"/>
        </w:rPr>
        <w:fldChar w:fldCharType="begin"/>
      </w:r>
      <w:r>
        <w:rPr>
          <w:color w:val="auto"/>
        </w:rPr>
        <w:instrText xml:space="preserve"> PAGEREF _Toc93511801 \h </w:instrText>
      </w:r>
      <w:r>
        <w:rPr>
          <w:color w:val="auto"/>
        </w:rPr>
        <w:fldChar w:fldCharType="separate"/>
      </w:r>
      <w:r>
        <w:rPr>
          <w:color w:val="auto"/>
        </w:rPr>
        <w:t>25</w:t>
      </w:r>
      <w:r>
        <w:rPr>
          <w:color w:val="auto"/>
        </w:rPr>
        <w:fldChar w:fldCharType="end"/>
      </w:r>
      <w:r>
        <w:rPr>
          <w:rStyle w:val="26"/>
          <w:color w:val="auto"/>
        </w:rPr>
        <w:fldChar w:fldCharType="end"/>
      </w:r>
    </w:p>
    <w:p>
      <w:pPr>
        <w:pStyle w:val="19"/>
        <w:tabs>
          <w:tab w:val="right" w:leader="dot" w:pos="8834"/>
        </w:tabs>
        <w:rPr>
          <w:rFonts w:asciiTheme="minorHAnsi" w:hAnsiTheme="minorHAnsi" w:eastAsiaTheme="minorEastAsia" w:cstheme="minorBidi"/>
          <w:color w:val="auto"/>
          <w:szCs w:val="22"/>
        </w:rPr>
      </w:pPr>
      <w:r>
        <w:rPr>
          <w:rStyle w:val="26"/>
          <w:color w:val="auto"/>
        </w:rPr>
        <w:fldChar w:fldCharType="begin"/>
      </w:r>
      <w:r>
        <w:rPr>
          <w:rStyle w:val="26"/>
          <w:color w:val="auto"/>
        </w:rPr>
        <w:instrText xml:space="preserve"> </w:instrText>
      </w:r>
      <w:r>
        <w:rPr>
          <w:color w:val="auto"/>
        </w:rPr>
        <w:instrText xml:space="preserve">HYPERLINK \l "_Toc93511802"</w:instrText>
      </w:r>
      <w:r>
        <w:rPr>
          <w:rStyle w:val="26"/>
          <w:color w:val="auto"/>
        </w:rPr>
        <w:instrText xml:space="preserve"> </w:instrText>
      </w:r>
      <w:r>
        <w:rPr>
          <w:rStyle w:val="26"/>
          <w:color w:val="auto"/>
        </w:rPr>
        <w:fldChar w:fldCharType="separate"/>
      </w:r>
      <w:r>
        <w:rPr>
          <w:rStyle w:val="26"/>
          <w:rFonts w:hint="eastAsia" w:ascii="楷体" w:hAnsi="楷体" w:eastAsia="楷体"/>
          <w:color w:val="auto"/>
        </w:rPr>
        <w:t>六、数字化赋能高质量发展</w:t>
      </w:r>
      <w:r>
        <w:rPr>
          <w:color w:val="auto"/>
        </w:rPr>
        <w:tab/>
      </w:r>
      <w:r>
        <w:rPr>
          <w:color w:val="auto"/>
        </w:rPr>
        <w:fldChar w:fldCharType="begin"/>
      </w:r>
      <w:r>
        <w:rPr>
          <w:color w:val="auto"/>
        </w:rPr>
        <w:instrText xml:space="preserve"> PAGEREF _Toc93511802 \h </w:instrText>
      </w:r>
      <w:r>
        <w:rPr>
          <w:color w:val="auto"/>
        </w:rPr>
        <w:fldChar w:fldCharType="separate"/>
      </w:r>
      <w:r>
        <w:rPr>
          <w:color w:val="auto"/>
        </w:rPr>
        <w:t>26</w:t>
      </w:r>
      <w:r>
        <w:rPr>
          <w:color w:val="auto"/>
        </w:rPr>
        <w:fldChar w:fldCharType="end"/>
      </w:r>
      <w:r>
        <w:rPr>
          <w:rStyle w:val="26"/>
          <w:color w:val="auto"/>
        </w:rPr>
        <w:fldChar w:fldCharType="end"/>
      </w:r>
    </w:p>
    <w:p>
      <w:pPr>
        <w:pStyle w:val="10"/>
        <w:rPr>
          <w:rFonts w:asciiTheme="minorHAnsi" w:hAnsiTheme="minorHAnsi" w:eastAsiaTheme="minorEastAsia"/>
          <w:color w:val="auto"/>
        </w:rPr>
      </w:pPr>
      <w:r>
        <w:rPr>
          <w:rStyle w:val="26"/>
          <w:color w:val="auto"/>
        </w:rPr>
        <w:fldChar w:fldCharType="begin"/>
      </w:r>
      <w:r>
        <w:rPr>
          <w:rStyle w:val="26"/>
          <w:color w:val="auto"/>
        </w:rPr>
        <w:instrText xml:space="preserve"> </w:instrText>
      </w:r>
      <w:r>
        <w:rPr>
          <w:color w:val="auto"/>
        </w:rPr>
        <w:instrText xml:space="preserve">HYPERLINK \l "_Toc93511803"</w:instrText>
      </w:r>
      <w:r>
        <w:rPr>
          <w:rStyle w:val="26"/>
          <w:color w:val="auto"/>
        </w:rPr>
        <w:instrText xml:space="preserve"> </w:instrText>
      </w:r>
      <w:r>
        <w:rPr>
          <w:rStyle w:val="26"/>
          <w:color w:val="auto"/>
        </w:rPr>
        <w:fldChar w:fldCharType="separate"/>
      </w:r>
      <w:r>
        <w:rPr>
          <w:rStyle w:val="26"/>
          <w:rFonts w:hint="eastAsia" w:ascii="Times New Roman" w:hAnsi="Times New Roman"/>
          <w:color w:val="auto"/>
        </w:rPr>
        <w:t>（一）大力推进互联网健康服务</w:t>
      </w:r>
      <w:r>
        <w:rPr>
          <w:color w:val="auto"/>
        </w:rPr>
        <w:tab/>
      </w:r>
      <w:r>
        <w:rPr>
          <w:color w:val="auto"/>
        </w:rPr>
        <w:fldChar w:fldCharType="begin"/>
      </w:r>
      <w:r>
        <w:rPr>
          <w:color w:val="auto"/>
        </w:rPr>
        <w:instrText xml:space="preserve"> PAGEREF _Toc93511803 \h </w:instrText>
      </w:r>
      <w:r>
        <w:rPr>
          <w:color w:val="auto"/>
        </w:rPr>
        <w:fldChar w:fldCharType="separate"/>
      </w:r>
      <w:r>
        <w:rPr>
          <w:color w:val="auto"/>
        </w:rPr>
        <w:t>26</w:t>
      </w:r>
      <w:r>
        <w:rPr>
          <w:color w:val="auto"/>
        </w:rPr>
        <w:fldChar w:fldCharType="end"/>
      </w:r>
      <w:r>
        <w:rPr>
          <w:rStyle w:val="26"/>
          <w:color w:val="auto"/>
        </w:rPr>
        <w:fldChar w:fldCharType="end"/>
      </w:r>
    </w:p>
    <w:p>
      <w:pPr>
        <w:pStyle w:val="10"/>
        <w:rPr>
          <w:rFonts w:asciiTheme="minorHAnsi" w:hAnsiTheme="minorHAnsi" w:eastAsiaTheme="minorEastAsia"/>
          <w:color w:val="auto"/>
        </w:rPr>
      </w:pPr>
      <w:r>
        <w:rPr>
          <w:rStyle w:val="26"/>
          <w:color w:val="auto"/>
        </w:rPr>
        <w:fldChar w:fldCharType="begin"/>
      </w:r>
      <w:r>
        <w:rPr>
          <w:rStyle w:val="26"/>
          <w:color w:val="auto"/>
        </w:rPr>
        <w:instrText xml:space="preserve"> </w:instrText>
      </w:r>
      <w:r>
        <w:rPr>
          <w:color w:val="auto"/>
        </w:rPr>
        <w:instrText xml:space="preserve">HYPERLINK \l "_Toc93511804"</w:instrText>
      </w:r>
      <w:r>
        <w:rPr>
          <w:rStyle w:val="26"/>
          <w:color w:val="auto"/>
        </w:rPr>
        <w:instrText xml:space="preserve"> </w:instrText>
      </w:r>
      <w:r>
        <w:rPr>
          <w:rStyle w:val="26"/>
          <w:color w:val="auto"/>
        </w:rPr>
        <w:fldChar w:fldCharType="separate"/>
      </w:r>
      <w:r>
        <w:rPr>
          <w:rStyle w:val="26"/>
          <w:rFonts w:hint="eastAsia" w:ascii="Times New Roman" w:hAnsi="Times New Roman"/>
          <w:color w:val="auto"/>
        </w:rPr>
        <w:t>（二）加强健康大数据综合应用</w:t>
      </w:r>
      <w:r>
        <w:rPr>
          <w:color w:val="auto"/>
        </w:rPr>
        <w:tab/>
      </w:r>
      <w:r>
        <w:rPr>
          <w:color w:val="auto"/>
        </w:rPr>
        <w:fldChar w:fldCharType="begin"/>
      </w:r>
      <w:r>
        <w:rPr>
          <w:color w:val="auto"/>
        </w:rPr>
        <w:instrText xml:space="preserve"> PAGEREF _Toc93511804 \h </w:instrText>
      </w:r>
      <w:r>
        <w:rPr>
          <w:color w:val="auto"/>
        </w:rPr>
        <w:fldChar w:fldCharType="separate"/>
      </w:r>
      <w:r>
        <w:rPr>
          <w:color w:val="auto"/>
        </w:rPr>
        <w:t>26</w:t>
      </w:r>
      <w:r>
        <w:rPr>
          <w:color w:val="auto"/>
        </w:rPr>
        <w:fldChar w:fldCharType="end"/>
      </w:r>
      <w:r>
        <w:rPr>
          <w:rStyle w:val="26"/>
          <w:color w:val="auto"/>
        </w:rPr>
        <w:fldChar w:fldCharType="end"/>
      </w:r>
    </w:p>
    <w:p>
      <w:pPr>
        <w:pStyle w:val="19"/>
        <w:tabs>
          <w:tab w:val="right" w:leader="dot" w:pos="8834"/>
        </w:tabs>
        <w:rPr>
          <w:rFonts w:asciiTheme="minorHAnsi" w:hAnsiTheme="minorHAnsi" w:eastAsiaTheme="minorEastAsia" w:cstheme="minorBidi"/>
          <w:color w:val="auto"/>
          <w:szCs w:val="22"/>
        </w:rPr>
      </w:pPr>
      <w:r>
        <w:rPr>
          <w:rStyle w:val="26"/>
          <w:color w:val="auto"/>
        </w:rPr>
        <w:fldChar w:fldCharType="begin"/>
      </w:r>
      <w:r>
        <w:rPr>
          <w:rStyle w:val="26"/>
          <w:color w:val="auto"/>
        </w:rPr>
        <w:instrText xml:space="preserve"> </w:instrText>
      </w:r>
      <w:r>
        <w:rPr>
          <w:color w:val="auto"/>
        </w:rPr>
        <w:instrText xml:space="preserve">HYPERLINK \l "_Toc93511805"</w:instrText>
      </w:r>
      <w:r>
        <w:rPr>
          <w:rStyle w:val="26"/>
          <w:color w:val="auto"/>
        </w:rPr>
        <w:instrText xml:space="preserve"> </w:instrText>
      </w:r>
      <w:r>
        <w:rPr>
          <w:rStyle w:val="26"/>
          <w:color w:val="auto"/>
        </w:rPr>
        <w:fldChar w:fldCharType="separate"/>
      </w:r>
      <w:r>
        <w:rPr>
          <w:rStyle w:val="26"/>
          <w:rFonts w:hint="eastAsia" w:ascii="楷体" w:hAnsi="楷体" w:eastAsia="楷体"/>
          <w:color w:val="auto"/>
        </w:rPr>
        <w:t>七、统筹推进其他工作</w:t>
      </w:r>
      <w:r>
        <w:rPr>
          <w:color w:val="auto"/>
        </w:rPr>
        <w:tab/>
      </w:r>
      <w:r>
        <w:rPr>
          <w:color w:val="auto"/>
        </w:rPr>
        <w:fldChar w:fldCharType="begin"/>
      </w:r>
      <w:r>
        <w:rPr>
          <w:color w:val="auto"/>
        </w:rPr>
        <w:instrText xml:space="preserve"> PAGEREF _Toc93511805 \h </w:instrText>
      </w:r>
      <w:r>
        <w:rPr>
          <w:color w:val="auto"/>
        </w:rPr>
        <w:fldChar w:fldCharType="separate"/>
      </w:r>
      <w:r>
        <w:rPr>
          <w:color w:val="auto"/>
        </w:rPr>
        <w:t>26</w:t>
      </w:r>
      <w:r>
        <w:rPr>
          <w:color w:val="auto"/>
        </w:rPr>
        <w:fldChar w:fldCharType="end"/>
      </w:r>
      <w:r>
        <w:rPr>
          <w:rStyle w:val="26"/>
          <w:color w:val="auto"/>
        </w:rPr>
        <w:fldChar w:fldCharType="end"/>
      </w:r>
    </w:p>
    <w:p>
      <w:pPr>
        <w:pStyle w:val="10"/>
        <w:rPr>
          <w:rFonts w:asciiTheme="minorHAnsi" w:hAnsiTheme="minorHAnsi" w:eastAsiaTheme="minorEastAsia"/>
          <w:color w:val="auto"/>
        </w:rPr>
      </w:pPr>
      <w:r>
        <w:rPr>
          <w:rStyle w:val="26"/>
          <w:color w:val="auto"/>
        </w:rPr>
        <w:fldChar w:fldCharType="begin"/>
      </w:r>
      <w:r>
        <w:rPr>
          <w:rStyle w:val="26"/>
          <w:color w:val="auto"/>
        </w:rPr>
        <w:instrText xml:space="preserve"> </w:instrText>
      </w:r>
      <w:r>
        <w:rPr>
          <w:color w:val="auto"/>
        </w:rPr>
        <w:instrText xml:space="preserve">HYPERLINK \l "_Toc93511806"</w:instrText>
      </w:r>
      <w:r>
        <w:rPr>
          <w:rStyle w:val="26"/>
          <w:color w:val="auto"/>
        </w:rPr>
        <w:instrText xml:space="preserve"> </w:instrText>
      </w:r>
      <w:r>
        <w:rPr>
          <w:rStyle w:val="26"/>
          <w:color w:val="auto"/>
        </w:rPr>
        <w:fldChar w:fldCharType="separate"/>
      </w:r>
      <w:r>
        <w:rPr>
          <w:rStyle w:val="26"/>
          <w:rFonts w:hint="eastAsia" w:ascii="Times New Roman" w:hAnsi="Times New Roman"/>
          <w:color w:val="auto"/>
        </w:rPr>
        <w:t>（一）完善治理组织体系</w:t>
      </w:r>
      <w:r>
        <w:rPr>
          <w:color w:val="auto"/>
        </w:rPr>
        <w:tab/>
      </w:r>
      <w:r>
        <w:rPr>
          <w:color w:val="auto"/>
        </w:rPr>
        <w:fldChar w:fldCharType="begin"/>
      </w:r>
      <w:r>
        <w:rPr>
          <w:color w:val="auto"/>
        </w:rPr>
        <w:instrText xml:space="preserve"> PAGEREF _Toc93511806 \h </w:instrText>
      </w:r>
      <w:r>
        <w:rPr>
          <w:color w:val="auto"/>
        </w:rPr>
        <w:fldChar w:fldCharType="separate"/>
      </w:r>
      <w:r>
        <w:rPr>
          <w:color w:val="auto"/>
        </w:rPr>
        <w:t>26</w:t>
      </w:r>
      <w:r>
        <w:rPr>
          <w:color w:val="auto"/>
        </w:rPr>
        <w:fldChar w:fldCharType="end"/>
      </w:r>
      <w:r>
        <w:rPr>
          <w:rStyle w:val="26"/>
          <w:color w:val="auto"/>
        </w:rPr>
        <w:fldChar w:fldCharType="end"/>
      </w:r>
    </w:p>
    <w:p>
      <w:pPr>
        <w:pStyle w:val="10"/>
        <w:rPr>
          <w:rFonts w:asciiTheme="minorHAnsi" w:hAnsiTheme="minorHAnsi" w:eastAsiaTheme="minorEastAsia"/>
          <w:color w:val="auto"/>
        </w:rPr>
      </w:pPr>
      <w:r>
        <w:rPr>
          <w:rStyle w:val="26"/>
          <w:color w:val="auto"/>
        </w:rPr>
        <w:fldChar w:fldCharType="begin"/>
      </w:r>
      <w:r>
        <w:rPr>
          <w:rStyle w:val="26"/>
          <w:color w:val="auto"/>
        </w:rPr>
        <w:instrText xml:space="preserve"> </w:instrText>
      </w:r>
      <w:r>
        <w:rPr>
          <w:color w:val="auto"/>
        </w:rPr>
        <w:instrText xml:space="preserve">HYPERLINK \l "_Toc93511807"</w:instrText>
      </w:r>
      <w:r>
        <w:rPr>
          <w:rStyle w:val="26"/>
          <w:color w:val="auto"/>
        </w:rPr>
        <w:instrText xml:space="preserve"> </w:instrText>
      </w:r>
      <w:r>
        <w:rPr>
          <w:rStyle w:val="26"/>
          <w:color w:val="auto"/>
        </w:rPr>
        <w:fldChar w:fldCharType="separate"/>
      </w:r>
      <w:r>
        <w:rPr>
          <w:rStyle w:val="26"/>
          <w:rFonts w:hint="eastAsia" w:ascii="Times New Roman" w:hAnsi="Times New Roman"/>
          <w:color w:val="auto"/>
        </w:rPr>
        <w:t>（二）加强卫生法制监督</w:t>
      </w:r>
      <w:r>
        <w:rPr>
          <w:color w:val="auto"/>
        </w:rPr>
        <w:tab/>
      </w:r>
      <w:r>
        <w:rPr>
          <w:color w:val="auto"/>
        </w:rPr>
        <w:fldChar w:fldCharType="begin"/>
      </w:r>
      <w:r>
        <w:rPr>
          <w:color w:val="auto"/>
        </w:rPr>
        <w:instrText xml:space="preserve"> PAGEREF _Toc93511807 \h </w:instrText>
      </w:r>
      <w:r>
        <w:rPr>
          <w:color w:val="auto"/>
        </w:rPr>
        <w:fldChar w:fldCharType="separate"/>
      </w:r>
      <w:r>
        <w:rPr>
          <w:color w:val="auto"/>
        </w:rPr>
        <w:t>27</w:t>
      </w:r>
      <w:r>
        <w:rPr>
          <w:color w:val="auto"/>
        </w:rPr>
        <w:fldChar w:fldCharType="end"/>
      </w:r>
      <w:r>
        <w:rPr>
          <w:rStyle w:val="26"/>
          <w:color w:val="auto"/>
        </w:rPr>
        <w:fldChar w:fldCharType="end"/>
      </w:r>
    </w:p>
    <w:p>
      <w:pPr>
        <w:pStyle w:val="10"/>
        <w:rPr>
          <w:rFonts w:asciiTheme="minorHAnsi" w:hAnsiTheme="minorHAnsi" w:eastAsiaTheme="minorEastAsia"/>
          <w:color w:val="auto"/>
        </w:rPr>
      </w:pPr>
      <w:r>
        <w:rPr>
          <w:rStyle w:val="26"/>
          <w:color w:val="auto"/>
        </w:rPr>
        <w:fldChar w:fldCharType="begin"/>
      </w:r>
      <w:r>
        <w:rPr>
          <w:rStyle w:val="26"/>
          <w:color w:val="auto"/>
        </w:rPr>
        <w:instrText xml:space="preserve"> </w:instrText>
      </w:r>
      <w:r>
        <w:rPr>
          <w:color w:val="auto"/>
        </w:rPr>
        <w:instrText xml:space="preserve">HYPERLINK \l "_Toc93511808"</w:instrText>
      </w:r>
      <w:r>
        <w:rPr>
          <w:rStyle w:val="26"/>
          <w:color w:val="auto"/>
        </w:rPr>
        <w:instrText xml:space="preserve"> </w:instrText>
      </w:r>
      <w:r>
        <w:rPr>
          <w:rStyle w:val="26"/>
          <w:color w:val="auto"/>
        </w:rPr>
        <w:fldChar w:fldCharType="separate"/>
      </w:r>
      <w:r>
        <w:rPr>
          <w:rStyle w:val="26"/>
          <w:rFonts w:hint="eastAsia" w:ascii="Times New Roman" w:hAnsi="Times New Roman"/>
          <w:color w:val="auto"/>
        </w:rPr>
        <w:t>（三）加强行业风险防控</w:t>
      </w:r>
      <w:r>
        <w:rPr>
          <w:color w:val="auto"/>
        </w:rPr>
        <w:tab/>
      </w:r>
      <w:r>
        <w:rPr>
          <w:color w:val="auto"/>
        </w:rPr>
        <w:fldChar w:fldCharType="begin"/>
      </w:r>
      <w:r>
        <w:rPr>
          <w:color w:val="auto"/>
        </w:rPr>
        <w:instrText xml:space="preserve"> PAGEREF _Toc93511808 \h </w:instrText>
      </w:r>
      <w:r>
        <w:rPr>
          <w:color w:val="auto"/>
        </w:rPr>
        <w:fldChar w:fldCharType="separate"/>
      </w:r>
      <w:r>
        <w:rPr>
          <w:color w:val="auto"/>
        </w:rPr>
        <w:t>27</w:t>
      </w:r>
      <w:r>
        <w:rPr>
          <w:color w:val="auto"/>
        </w:rPr>
        <w:fldChar w:fldCharType="end"/>
      </w:r>
      <w:r>
        <w:rPr>
          <w:rStyle w:val="26"/>
          <w:color w:val="auto"/>
        </w:rPr>
        <w:fldChar w:fldCharType="end"/>
      </w:r>
    </w:p>
    <w:p>
      <w:pPr>
        <w:pStyle w:val="10"/>
        <w:rPr>
          <w:rFonts w:asciiTheme="minorHAnsi" w:hAnsiTheme="minorHAnsi" w:eastAsiaTheme="minorEastAsia"/>
          <w:color w:val="auto"/>
        </w:rPr>
      </w:pPr>
      <w:r>
        <w:rPr>
          <w:rStyle w:val="26"/>
          <w:color w:val="auto"/>
        </w:rPr>
        <w:fldChar w:fldCharType="begin"/>
      </w:r>
      <w:r>
        <w:rPr>
          <w:rStyle w:val="26"/>
          <w:color w:val="auto"/>
        </w:rPr>
        <w:instrText xml:space="preserve"> </w:instrText>
      </w:r>
      <w:r>
        <w:rPr>
          <w:color w:val="auto"/>
        </w:rPr>
        <w:instrText xml:space="preserve">HYPERLINK \l "_Toc93511809"</w:instrText>
      </w:r>
      <w:r>
        <w:rPr>
          <w:rStyle w:val="26"/>
          <w:color w:val="auto"/>
        </w:rPr>
        <w:instrText xml:space="preserve"> </w:instrText>
      </w:r>
      <w:r>
        <w:rPr>
          <w:rStyle w:val="26"/>
          <w:color w:val="auto"/>
        </w:rPr>
        <w:fldChar w:fldCharType="separate"/>
      </w:r>
      <w:r>
        <w:rPr>
          <w:rStyle w:val="26"/>
          <w:rFonts w:hint="eastAsia" w:ascii="Times New Roman" w:hAnsi="Times New Roman"/>
          <w:color w:val="auto"/>
        </w:rPr>
        <w:t>（四）加强健康科技创新</w:t>
      </w:r>
      <w:r>
        <w:rPr>
          <w:color w:val="auto"/>
        </w:rPr>
        <w:tab/>
      </w:r>
      <w:r>
        <w:rPr>
          <w:color w:val="auto"/>
        </w:rPr>
        <w:fldChar w:fldCharType="begin"/>
      </w:r>
      <w:r>
        <w:rPr>
          <w:color w:val="auto"/>
        </w:rPr>
        <w:instrText xml:space="preserve"> PAGEREF _Toc93511809 \h </w:instrText>
      </w:r>
      <w:r>
        <w:rPr>
          <w:color w:val="auto"/>
        </w:rPr>
        <w:fldChar w:fldCharType="separate"/>
      </w:r>
      <w:r>
        <w:rPr>
          <w:color w:val="auto"/>
        </w:rPr>
        <w:t>28</w:t>
      </w:r>
      <w:r>
        <w:rPr>
          <w:color w:val="auto"/>
        </w:rPr>
        <w:fldChar w:fldCharType="end"/>
      </w:r>
      <w:r>
        <w:rPr>
          <w:rStyle w:val="26"/>
          <w:color w:val="auto"/>
        </w:rPr>
        <w:fldChar w:fldCharType="end"/>
      </w:r>
    </w:p>
    <w:p>
      <w:pPr>
        <w:pStyle w:val="10"/>
        <w:rPr>
          <w:rFonts w:asciiTheme="minorHAnsi" w:hAnsiTheme="minorHAnsi" w:eastAsiaTheme="minorEastAsia"/>
          <w:color w:val="auto"/>
        </w:rPr>
      </w:pPr>
      <w:r>
        <w:rPr>
          <w:rStyle w:val="26"/>
          <w:color w:val="auto"/>
        </w:rPr>
        <w:fldChar w:fldCharType="begin"/>
      </w:r>
      <w:r>
        <w:rPr>
          <w:rStyle w:val="26"/>
          <w:color w:val="auto"/>
        </w:rPr>
        <w:instrText xml:space="preserve"> </w:instrText>
      </w:r>
      <w:r>
        <w:rPr>
          <w:color w:val="auto"/>
        </w:rPr>
        <w:instrText xml:space="preserve">HYPERLINK \l "_Toc93511810"</w:instrText>
      </w:r>
      <w:r>
        <w:rPr>
          <w:rStyle w:val="26"/>
          <w:color w:val="auto"/>
        </w:rPr>
        <w:instrText xml:space="preserve"> </w:instrText>
      </w:r>
      <w:r>
        <w:rPr>
          <w:rStyle w:val="26"/>
          <w:color w:val="auto"/>
        </w:rPr>
        <w:fldChar w:fldCharType="separate"/>
      </w:r>
      <w:r>
        <w:rPr>
          <w:rStyle w:val="26"/>
          <w:rFonts w:hint="eastAsia" w:ascii="Times New Roman" w:hAnsi="Times New Roman"/>
          <w:color w:val="auto"/>
        </w:rPr>
        <w:t>（五）加强人才培养引进</w:t>
      </w:r>
      <w:r>
        <w:rPr>
          <w:color w:val="auto"/>
        </w:rPr>
        <w:tab/>
      </w:r>
      <w:r>
        <w:rPr>
          <w:color w:val="auto"/>
        </w:rPr>
        <w:fldChar w:fldCharType="begin"/>
      </w:r>
      <w:r>
        <w:rPr>
          <w:color w:val="auto"/>
        </w:rPr>
        <w:instrText xml:space="preserve"> PAGEREF _Toc93511810 \h </w:instrText>
      </w:r>
      <w:r>
        <w:rPr>
          <w:color w:val="auto"/>
        </w:rPr>
        <w:fldChar w:fldCharType="separate"/>
      </w:r>
      <w:r>
        <w:rPr>
          <w:color w:val="auto"/>
        </w:rPr>
        <w:t>28</w:t>
      </w:r>
      <w:r>
        <w:rPr>
          <w:color w:val="auto"/>
        </w:rPr>
        <w:fldChar w:fldCharType="end"/>
      </w:r>
      <w:r>
        <w:rPr>
          <w:rStyle w:val="26"/>
          <w:color w:val="auto"/>
        </w:rPr>
        <w:fldChar w:fldCharType="end"/>
      </w:r>
    </w:p>
    <w:p>
      <w:pPr>
        <w:pStyle w:val="15"/>
        <w:rPr>
          <w:rFonts w:asciiTheme="minorHAnsi" w:hAnsiTheme="minorHAnsi" w:eastAsiaTheme="minorEastAsia" w:cstheme="minorBidi"/>
          <w:color w:val="auto"/>
          <w:sz w:val="21"/>
          <w:szCs w:val="22"/>
        </w:rPr>
      </w:pPr>
      <w:r>
        <w:rPr>
          <w:rStyle w:val="26"/>
          <w:color w:val="auto"/>
        </w:rPr>
        <w:fldChar w:fldCharType="begin"/>
      </w:r>
      <w:r>
        <w:rPr>
          <w:rStyle w:val="26"/>
          <w:color w:val="auto"/>
        </w:rPr>
        <w:instrText xml:space="preserve"> </w:instrText>
      </w:r>
      <w:r>
        <w:rPr>
          <w:color w:val="auto"/>
        </w:rPr>
        <w:instrText xml:space="preserve">HYPERLINK \l "_Toc93511811"</w:instrText>
      </w:r>
      <w:r>
        <w:rPr>
          <w:rStyle w:val="26"/>
          <w:color w:val="auto"/>
        </w:rPr>
        <w:instrText xml:space="preserve"> </w:instrText>
      </w:r>
      <w:r>
        <w:rPr>
          <w:rStyle w:val="26"/>
          <w:color w:val="auto"/>
        </w:rPr>
        <w:fldChar w:fldCharType="separate"/>
      </w:r>
      <w:r>
        <w:rPr>
          <w:rStyle w:val="26"/>
          <w:rFonts w:hint="eastAsia"/>
          <w:color w:val="auto"/>
        </w:rPr>
        <w:t>第四章</w:t>
      </w:r>
      <w:r>
        <w:rPr>
          <w:rStyle w:val="26"/>
          <w:color w:val="auto"/>
        </w:rPr>
        <w:t xml:space="preserve"> </w:t>
      </w:r>
      <w:r>
        <w:rPr>
          <w:rStyle w:val="26"/>
          <w:rFonts w:hint="eastAsia"/>
          <w:color w:val="auto"/>
        </w:rPr>
        <w:t>落实保障与监督</w:t>
      </w:r>
      <w:r>
        <w:rPr>
          <w:color w:val="auto"/>
        </w:rPr>
        <w:tab/>
      </w:r>
      <w:r>
        <w:rPr>
          <w:color w:val="auto"/>
        </w:rPr>
        <w:fldChar w:fldCharType="begin"/>
      </w:r>
      <w:r>
        <w:rPr>
          <w:color w:val="auto"/>
        </w:rPr>
        <w:instrText xml:space="preserve"> PAGEREF _Toc93511811 \h </w:instrText>
      </w:r>
      <w:r>
        <w:rPr>
          <w:color w:val="auto"/>
        </w:rPr>
        <w:fldChar w:fldCharType="separate"/>
      </w:r>
      <w:r>
        <w:rPr>
          <w:color w:val="auto"/>
        </w:rPr>
        <w:t>28</w:t>
      </w:r>
      <w:r>
        <w:rPr>
          <w:color w:val="auto"/>
        </w:rPr>
        <w:fldChar w:fldCharType="end"/>
      </w:r>
      <w:r>
        <w:rPr>
          <w:rStyle w:val="26"/>
          <w:color w:val="auto"/>
        </w:rPr>
        <w:fldChar w:fldCharType="end"/>
      </w:r>
    </w:p>
    <w:p>
      <w:pPr>
        <w:pStyle w:val="19"/>
        <w:tabs>
          <w:tab w:val="right" w:leader="dot" w:pos="8834"/>
        </w:tabs>
        <w:rPr>
          <w:rFonts w:asciiTheme="minorHAnsi" w:hAnsiTheme="minorHAnsi" w:eastAsiaTheme="minorEastAsia" w:cstheme="minorBidi"/>
          <w:color w:val="auto"/>
          <w:szCs w:val="22"/>
        </w:rPr>
      </w:pPr>
      <w:r>
        <w:rPr>
          <w:rStyle w:val="26"/>
          <w:color w:val="auto"/>
        </w:rPr>
        <w:fldChar w:fldCharType="begin"/>
      </w:r>
      <w:r>
        <w:rPr>
          <w:rStyle w:val="26"/>
          <w:color w:val="auto"/>
        </w:rPr>
        <w:instrText xml:space="preserve"> </w:instrText>
      </w:r>
      <w:r>
        <w:rPr>
          <w:color w:val="auto"/>
        </w:rPr>
        <w:instrText xml:space="preserve">HYPERLINK \l "_Toc93511812"</w:instrText>
      </w:r>
      <w:r>
        <w:rPr>
          <w:rStyle w:val="26"/>
          <w:color w:val="auto"/>
        </w:rPr>
        <w:instrText xml:space="preserve"> </w:instrText>
      </w:r>
      <w:r>
        <w:rPr>
          <w:rStyle w:val="26"/>
          <w:color w:val="auto"/>
        </w:rPr>
        <w:fldChar w:fldCharType="separate"/>
      </w:r>
      <w:r>
        <w:rPr>
          <w:rStyle w:val="26"/>
          <w:rFonts w:hint="eastAsia" w:ascii="楷体" w:hAnsi="楷体" w:eastAsia="楷体"/>
          <w:color w:val="auto"/>
        </w:rPr>
        <w:t>一、加强组织领导</w:t>
      </w:r>
      <w:r>
        <w:rPr>
          <w:color w:val="auto"/>
        </w:rPr>
        <w:tab/>
      </w:r>
      <w:r>
        <w:rPr>
          <w:color w:val="auto"/>
        </w:rPr>
        <w:fldChar w:fldCharType="begin"/>
      </w:r>
      <w:r>
        <w:rPr>
          <w:color w:val="auto"/>
        </w:rPr>
        <w:instrText xml:space="preserve"> PAGEREF _Toc93511812 \h </w:instrText>
      </w:r>
      <w:r>
        <w:rPr>
          <w:color w:val="auto"/>
        </w:rPr>
        <w:fldChar w:fldCharType="separate"/>
      </w:r>
      <w:r>
        <w:rPr>
          <w:color w:val="auto"/>
        </w:rPr>
        <w:t>28</w:t>
      </w:r>
      <w:r>
        <w:rPr>
          <w:color w:val="auto"/>
        </w:rPr>
        <w:fldChar w:fldCharType="end"/>
      </w:r>
      <w:r>
        <w:rPr>
          <w:rStyle w:val="26"/>
          <w:color w:val="auto"/>
        </w:rPr>
        <w:fldChar w:fldCharType="end"/>
      </w:r>
    </w:p>
    <w:p>
      <w:pPr>
        <w:pStyle w:val="19"/>
        <w:tabs>
          <w:tab w:val="right" w:leader="dot" w:pos="8834"/>
        </w:tabs>
        <w:rPr>
          <w:rFonts w:asciiTheme="minorHAnsi" w:hAnsiTheme="minorHAnsi" w:eastAsiaTheme="minorEastAsia" w:cstheme="minorBidi"/>
          <w:color w:val="auto"/>
          <w:szCs w:val="22"/>
        </w:rPr>
      </w:pPr>
      <w:r>
        <w:rPr>
          <w:rStyle w:val="26"/>
          <w:color w:val="auto"/>
        </w:rPr>
        <w:fldChar w:fldCharType="begin"/>
      </w:r>
      <w:r>
        <w:rPr>
          <w:rStyle w:val="26"/>
          <w:color w:val="auto"/>
        </w:rPr>
        <w:instrText xml:space="preserve"> </w:instrText>
      </w:r>
      <w:r>
        <w:rPr>
          <w:color w:val="auto"/>
        </w:rPr>
        <w:instrText xml:space="preserve">HYPERLINK \l "_Toc93511813"</w:instrText>
      </w:r>
      <w:r>
        <w:rPr>
          <w:rStyle w:val="26"/>
          <w:color w:val="auto"/>
        </w:rPr>
        <w:instrText xml:space="preserve"> </w:instrText>
      </w:r>
      <w:r>
        <w:rPr>
          <w:rStyle w:val="26"/>
          <w:color w:val="auto"/>
        </w:rPr>
        <w:fldChar w:fldCharType="separate"/>
      </w:r>
      <w:r>
        <w:rPr>
          <w:rStyle w:val="26"/>
          <w:rFonts w:hint="eastAsia" w:ascii="楷体" w:hAnsi="楷体" w:eastAsia="楷体"/>
          <w:color w:val="auto"/>
        </w:rPr>
        <w:t>二、强化有效投入</w:t>
      </w:r>
      <w:r>
        <w:rPr>
          <w:color w:val="auto"/>
        </w:rPr>
        <w:tab/>
      </w:r>
      <w:r>
        <w:rPr>
          <w:color w:val="auto"/>
        </w:rPr>
        <w:fldChar w:fldCharType="begin"/>
      </w:r>
      <w:r>
        <w:rPr>
          <w:color w:val="auto"/>
        </w:rPr>
        <w:instrText xml:space="preserve"> PAGEREF _Toc93511813 \h </w:instrText>
      </w:r>
      <w:r>
        <w:rPr>
          <w:color w:val="auto"/>
        </w:rPr>
        <w:fldChar w:fldCharType="separate"/>
      </w:r>
      <w:r>
        <w:rPr>
          <w:color w:val="auto"/>
        </w:rPr>
        <w:t>29</w:t>
      </w:r>
      <w:r>
        <w:rPr>
          <w:color w:val="auto"/>
        </w:rPr>
        <w:fldChar w:fldCharType="end"/>
      </w:r>
      <w:r>
        <w:rPr>
          <w:rStyle w:val="26"/>
          <w:color w:val="auto"/>
        </w:rPr>
        <w:fldChar w:fldCharType="end"/>
      </w:r>
    </w:p>
    <w:p>
      <w:pPr>
        <w:pStyle w:val="19"/>
        <w:tabs>
          <w:tab w:val="right" w:leader="dot" w:pos="8834"/>
        </w:tabs>
        <w:rPr>
          <w:rFonts w:asciiTheme="minorHAnsi" w:hAnsiTheme="minorHAnsi" w:eastAsiaTheme="minorEastAsia" w:cstheme="minorBidi"/>
          <w:color w:val="auto"/>
          <w:szCs w:val="22"/>
        </w:rPr>
      </w:pPr>
      <w:r>
        <w:rPr>
          <w:rStyle w:val="26"/>
          <w:color w:val="auto"/>
        </w:rPr>
        <w:fldChar w:fldCharType="begin"/>
      </w:r>
      <w:r>
        <w:rPr>
          <w:rStyle w:val="26"/>
          <w:color w:val="auto"/>
        </w:rPr>
        <w:instrText xml:space="preserve"> </w:instrText>
      </w:r>
      <w:r>
        <w:rPr>
          <w:color w:val="auto"/>
        </w:rPr>
        <w:instrText xml:space="preserve">HYPERLINK \l "_Toc93511814"</w:instrText>
      </w:r>
      <w:r>
        <w:rPr>
          <w:rStyle w:val="26"/>
          <w:color w:val="auto"/>
        </w:rPr>
        <w:instrText xml:space="preserve"> </w:instrText>
      </w:r>
      <w:r>
        <w:rPr>
          <w:rStyle w:val="26"/>
          <w:color w:val="auto"/>
        </w:rPr>
        <w:fldChar w:fldCharType="separate"/>
      </w:r>
      <w:r>
        <w:rPr>
          <w:rStyle w:val="26"/>
          <w:rFonts w:hint="eastAsia" w:ascii="楷体" w:hAnsi="楷体" w:eastAsia="楷体"/>
          <w:color w:val="auto"/>
        </w:rPr>
        <w:t>三、强化监督评价</w:t>
      </w:r>
      <w:r>
        <w:rPr>
          <w:color w:val="auto"/>
        </w:rPr>
        <w:tab/>
      </w:r>
      <w:r>
        <w:rPr>
          <w:color w:val="auto"/>
        </w:rPr>
        <w:fldChar w:fldCharType="begin"/>
      </w:r>
      <w:r>
        <w:rPr>
          <w:color w:val="auto"/>
        </w:rPr>
        <w:instrText xml:space="preserve"> PAGEREF _Toc93511814 \h </w:instrText>
      </w:r>
      <w:r>
        <w:rPr>
          <w:color w:val="auto"/>
        </w:rPr>
        <w:fldChar w:fldCharType="separate"/>
      </w:r>
      <w:r>
        <w:rPr>
          <w:color w:val="auto"/>
        </w:rPr>
        <w:t>29</w:t>
      </w:r>
      <w:r>
        <w:rPr>
          <w:color w:val="auto"/>
        </w:rPr>
        <w:fldChar w:fldCharType="end"/>
      </w:r>
      <w:r>
        <w:rPr>
          <w:rStyle w:val="26"/>
          <w:color w:val="auto"/>
        </w:rPr>
        <w:fldChar w:fldCharType="end"/>
      </w:r>
    </w:p>
    <w:p>
      <w:pPr>
        <w:pStyle w:val="19"/>
        <w:tabs>
          <w:tab w:val="right" w:leader="dot" w:pos="8834"/>
        </w:tabs>
        <w:rPr>
          <w:color w:val="auto"/>
          <w:sz w:val="22"/>
        </w:rPr>
      </w:pPr>
      <w:r>
        <w:rPr>
          <w:color w:val="auto"/>
          <w:sz w:val="22"/>
        </w:rPr>
        <w:fldChar w:fldCharType="end"/>
      </w:r>
    </w:p>
    <w:p>
      <w:pPr>
        <w:widowControl/>
        <w:jc w:val="left"/>
        <w:rPr>
          <w:rFonts w:ascii="Times New Roman" w:hAnsi="Times New Roman" w:cs="Times New Roman"/>
          <w:color w:val="auto"/>
          <w:sz w:val="22"/>
        </w:rPr>
      </w:pPr>
      <w:r>
        <w:rPr>
          <w:rFonts w:ascii="Times New Roman" w:hAnsi="Times New Roman" w:cs="Times New Roman"/>
          <w:color w:val="auto"/>
          <w:sz w:val="22"/>
        </w:rPr>
        <w:br w:type="page"/>
      </w:r>
    </w:p>
    <w:p>
      <w:pPr>
        <w:rPr>
          <w:rFonts w:ascii="Times New Roman" w:hAnsi="Times New Roman" w:cs="Times New Roman"/>
          <w:color w:val="auto"/>
          <w:sz w:val="22"/>
        </w:rPr>
        <w:sectPr>
          <w:footerReference r:id="rId5" w:type="default"/>
          <w:pgSz w:w="11906" w:h="16838"/>
          <w:pgMar w:top="1418" w:right="1474" w:bottom="1440" w:left="1588" w:header="851" w:footer="992" w:gutter="0"/>
          <w:pgNumType w:start="1"/>
          <w:cols w:space="425" w:num="1"/>
          <w:docGrid w:type="lines" w:linePitch="312" w:charSpace="0"/>
        </w:sectPr>
      </w:pPr>
    </w:p>
    <w:p>
      <w:pPr>
        <w:rPr>
          <w:rFonts w:ascii="Times New Roman" w:hAnsi="Times New Roman" w:cs="Times New Roman"/>
          <w:color w:val="auto"/>
          <w:sz w:val="22"/>
        </w:rPr>
      </w:pPr>
    </w:p>
    <w:p>
      <w:pPr>
        <w:pStyle w:val="35"/>
        <w:ind w:firstLine="640" w:firstLineChars="200"/>
        <w:rPr>
          <w:rFonts w:ascii="Times New Roman" w:hAnsi="Times New Roman" w:eastAsia="仿宋_GB2312" w:cs="Times New Roman"/>
          <w:color w:val="auto"/>
          <w:sz w:val="32"/>
          <w:szCs w:val="28"/>
        </w:rPr>
      </w:pPr>
    </w:p>
    <w:p>
      <w:pPr>
        <w:pStyle w:val="35"/>
        <w:ind w:firstLine="640" w:firstLineChars="200"/>
        <w:rPr>
          <w:rFonts w:ascii="Times New Roman" w:hAnsi="Times New Roman" w:eastAsia="仿宋_GB2312" w:cs="Times New Roman"/>
          <w:color w:val="auto"/>
          <w:sz w:val="32"/>
          <w:szCs w:val="28"/>
        </w:rPr>
      </w:pPr>
    </w:p>
    <w:p>
      <w:pPr>
        <w:pStyle w:val="2"/>
        <w:numPr>
          <w:ilvl w:val="0"/>
          <w:numId w:val="0"/>
        </w:numPr>
        <w:spacing w:after="156" w:afterLines="50"/>
        <w:rPr>
          <w:rFonts w:ascii="Times New Roman" w:hAnsi="Times New Roman" w:cs="Times New Roman"/>
          <w:color w:val="auto"/>
          <w:sz w:val="40"/>
          <w:szCs w:val="28"/>
        </w:rPr>
      </w:pPr>
      <w:bookmarkStart w:id="0" w:name="_Toc93511744"/>
      <w:r>
        <w:rPr>
          <w:rFonts w:hint="eastAsia" w:ascii="Times New Roman" w:hAnsi="Times New Roman" w:eastAsia="仿宋_GB2312"/>
          <w:color w:val="auto"/>
          <w:sz w:val="40"/>
          <w:szCs w:val="28"/>
        </w:rPr>
        <w:t>序</w:t>
      </w:r>
      <w:r>
        <w:rPr>
          <w:rFonts w:hint="eastAsia" w:ascii="Times New Roman" w:hAnsi="Times New Roman"/>
          <w:color w:val="auto"/>
          <w:sz w:val="40"/>
          <w:szCs w:val="28"/>
        </w:rPr>
        <w:t xml:space="preserve">  </w:t>
      </w:r>
      <w:r>
        <w:rPr>
          <w:rFonts w:hint="eastAsia" w:ascii="Times New Roman" w:hAnsi="Times New Roman" w:eastAsia="仿宋_GB2312"/>
          <w:color w:val="auto"/>
          <w:sz w:val="40"/>
          <w:szCs w:val="28"/>
        </w:rPr>
        <w:t>言</w:t>
      </w:r>
      <w:bookmarkEnd w:id="0"/>
    </w:p>
    <w:p>
      <w:pPr>
        <w:pStyle w:val="35"/>
        <w:ind w:firstLine="640" w:firstLineChars="200"/>
        <w:rPr>
          <w:rFonts w:ascii="Times New Roman" w:hAnsi="Times New Roman" w:eastAsia="仿宋_GB2312" w:cs="Times New Roman"/>
          <w:color w:val="auto"/>
          <w:sz w:val="32"/>
          <w:szCs w:val="28"/>
        </w:rPr>
      </w:pPr>
    </w:p>
    <w:p>
      <w:pPr>
        <w:adjustRightInd w:val="0"/>
        <w:snapToGrid w:val="0"/>
        <w:spacing w:before="46" w:beforeLines="15" w:after="46" w:afterLines="15" w:line="360" w:lineRule="auto"/>
        <w:ind w:firstLine="640" w:firstLineChars="200"/>
        <w:jc w:val="left"/>
        <w:rPr>
          <w:rFonts w:ascii="Times New Roman" w:hAnsi="Times New Roman" w:eastAsia="仿宋_GB2312" w:cs="Times New Roman"/>
          <w:color w:val="auto"/>
          <w:sz w:val="32"/>
          <w:szCs w:val="28"/>
        </w:rPr>
      </w:pPr>
      <w:r>
        <w:rPr>
          <w:rFonts w:ascii="仿宋" w:hAnsi="仿宋" w:eastAsia="仿宋_GB2312" w:cs="Times New Roman"/>
          <w:color w:val="auto"/>
          <w:sz w:val="32"/>
          <w:szCs w:val="28"/>
        </w:rPr>
        <w:t>“十四五”</w:t>
      </w:r>
      <w:r>
        <w:rPr>
          <w:rFonts w:hint="eastAsia" w:ascii="Times New Roman" w:hAnsi="Times New Roman" w:eastAsia="仿宋_GB2312" w:cs="Times New Roman"/>
          <w:color w:val="auto"/>
          <w:sz w:val="32"/>
          <w:szCs w:val="28"/>
        </w:rPr>
        <w:t>时期是开启</w:t>
      </w:r>
      <w:r>
        <w:rPr>
          <w:rFonts w:ascii="仿宋" w:hAnsi="仿宋" w:eastAsia="仿宋_GB2312" w:cs="Times New Roman"/>
          <w:color w:val="auto"/>
          <w:sz w:val="32"/>
          <w:szCs w:val="28"/>
        </w:rPr>
        <w:t>全面建设</w:t>
      </w:r>
      <w:r>
        <w:rPr>
          <w:rFonts w:hint="eastAsia" w:ascii="Times New Roman" w:hAnsi="Times New Roman" w:eastAsia="仿宋_GB2312" w:cs="Times New Roman"/>
          <w:color w:val="auto"/>
          <w:sz w:val="32"/>
          <w:szCs w:val="28"/>
        </w:rPr>
        <w:t>社会主义现代化国家新征程、向第二个百年奋斗目标进军的第一个五年。为贯彻落实市、</w:t>
      </w:r>
      <w:r>
        <w:rPr>
          <w:rFonts w:ascii="仿宋" w:hAnsi="仿宋" w:eastAsia="仿宋_GB2312" w:cs="Times New Roman"/>
          <w:color w:val="auto"/>
          <w:sz w:val="32"/>
          <w:szCs w:val="28"/>
        </w:rPr>
        <w:t>区“十四五”时期</w:t>
      </w:r>
      <w:r>
        <w:rPr>
          <w:rFonts w:hint="eastAsia" w:ascii="Times New Roman" w:hAnsi="Times New Roman" w:eastAsia="仿宋_GB2312" w:cs="Times New Roman"/>
          <w:color w:val="auto"/>
          <w:sz w:val="32"/>
          <w:szCs w:val="28"/>
        </w:rPr>
        <w:t>经济社会发展要求，遵循《北京市城市总体规划（</w:t>
      </w:r>
      <w:r>
        <w:rPr>
          <w:rFonts w:ascii="Times New Roman" w:hAnsi="Times New Roman" w:eastAsia="仿宋_GB2312" w:cs="Times New Roman"/>
          <w:color w:val="auto"/>
          <w:sz w:val="32"/>
          <w:szCs w:val="28"/>
        </w:rPr>
        <w:t>2016</w:t>
      </w:r>
      <w:r>
        <w:rPr>
          <w:rFonts w:hint="eastAsia" w:ascii="Times New Roman" w:hAnsi="Times New Roman" w:eastAsia="仿宋_GB2312" w:cs="Times New Roman"/>
          <w:color w:val="auto"/>
          <w:sz w:val="32"/>
          <w:szCs w:val="28"/>
        </w:rPr>
        <w:t>年</w:t>
      </w:r>
      <w:r>
        <w:rPr>
          <w:rFonts w:hint="eastAsia" w:ascii="宋体" w:hAnsi="宋体" w:eastAsia="宋体" w:cs="宋体"/>
          <w:color w:val="auto"/>
          <w:sz w:val="32"/>
          <w:szCs w:val="28"/>
        </w:rPr>
        <w:t>－</w:t>
      </w:r>
      <w:r>
        <w:rPr>
          <w:rFonts w:ascii="Times New Roman" w:hAnsi="Times New Roman" w:eastAsia="仿宋_GB2312" w:cs="Times New Roman"/>
          <w:color w:val="auto"/>
          <w:sz w:val="32"/>
          <w:szCs w:val="28"/>
        </w:rPr>
        <w:t>2035</w:t>
      </w:r>
      <w:r>
        <w:rPr>
          <w:rFonts w:hint="eastAsia" w:ascii="Times New Roman" w:hAnsi="Times New Roman" w:eastAsia="仿宋_GB2312" w:cs="Times New Roman"/>
          <w:color w:val="auto"/>
          <w:sz w:val="32"/>
          <w:szCs w:val="28"/>
        </w:rPr>
        <w:t>年）》及《丰台分区规划（</w:t>
      </w:r>
      <w:r>
        <w:rPr>
          <w:rFonts w:ascii="Times New Roman" w:hAnsi="Times New Roman" w:eastAsia="仿宋_GB2312" w:cs="Times New Roman"/>
          <w:color w:val="auto"/>
          <w:sz w:val="32"/>
          <w:szCs w:val="28"/>
        </w:rPr>
        <w:t>2017</w:t>
      </w:r>
      <w:r>
        <w:rPr>
          <w:rFonts w:hint="eastAsia" w:ascii="Times New Roman" w:hAnsi="Times New Roman" w:eastAsia="仿宋_GB2312" w:cs="Times New Roman"/>
          <w:color w:val="auto"/>
          <w:sz w:val="32"/>
          <w:szCs w:val="28"/>
        </w:rPr>
        <w:t>年</w:t>
      </w:r>
      <w:r>
        <w:rPr>
          <w:rFonts w:hint="eastAsia" w:ascii="宋体" w:hAnsi="宋体" w:eastAsia="宋体" w:cs="宋体"/>
          <w:color w:val="auto"/>
          <w:sz w:val="32"/>
          <w:szCs w:val="28"/>
        </w:rPr>
        <w:t>－</w:t>
      </w:r>
      <w:r>
        <w:rPr>
          <w:rFonts w:ascii="Times New Roman" w:hAnsi="Times New Roman" w:eastAsia="仿宋_GB2312" w:cs="Times New Roman"/>
          <w:color w:val="auto"/>
          <w:sz w:val="32"/>
          <w:szCs w:val="28"/>
        </w:rPr>
        <w:t>2035</w:t>
      </w:r>
      <w:r>
        <w:rPr>
          <w:rFonts w:hint="eastAsia" w:ascii="Times New Roman" w:hAnsi="Times New Roman" w:eastAsia="仿宋_GB2312" w:cs="Times New Roman"/>
          <w:color w:val="auto"/>
          <w:sz w:val="32"/>
          <w:szCs w:val="28"/>
        </w:rPr>
        <w:t>年）》精神；展望富强民主文明和谐美丽的社会主义现代化强国建设目标、构建人类卫生健康共同体发展蓝图；结合新冠肺炎疫情补齐丰台区公共卫生防控救治短板、结合新的行政区划补齐卫生健康服务体系弱项和空白点；加大关键环节发展改革力度，着力解决不平衡不充分问题；依据《北京市国民经济和社会发展第十四个五年规划和二</w:t>
      </w:r>
      <w:r>
        <w:rPr>
          <w:rFonts w:hint="eastAsia" w:ascii="宋体" w:hAnsi="宋体" w:eastAsia="宋体" w:cs="宋体"/>
          <w:color w:val="auto"/>
          <w:sz w:val="32"/>
          <w:szCs w:val="28"/>
        </w:rPr>
        <w:t>〇</w:t>
      </w:r>
      <w:r>
        <w:rPr>
          <w:rFonts w:hint="eastAsia" w:ascii="仿宋_GB2312" w:hAnsi="仿宋_GB2312" w:eastAsia="仿宋_GB2312" w:cs="仿宋_GB2312"/>
          <w:color w:val="auto"/>
          <w:sz w:val="32"/>
          <w:szCs w:val="28"/>
        </w:rPr>
        <w:t>三五年远景目标纲要》《北京市丰台区国民经济和社会发展第十四个五年规划和二</w:t>
      </w:r>
      <w:r>
        <w:rPr>
          <w:rFonts w:hint="eastAsia" w:ascii="宋体" w:hAnsi="宋体" w:eastAsia="宋体" w:cs="宋体"/>
          <w:color w:val="auto"/>
          <w:sz w:val="32"/>
          <w:szCs w:val="28"/>
        </w:rPr>
        <w:t>〇</w:t>
      </w:r>
      <w:r>
        <w:rPr>
          <w:rFonts w:hint="eastAsia" w:ascii="仿宋_GB2312" w:hAnsi="仿宋_GB2312" w:eastAsia="仿宋_GB2312" w:cs="仿宋_GB2312"/>
          <w:color w:val="auto"/>
          <w:sz w:val="32"/>
          <w:szCs w:val="28"/>
        </w:rPr>
        <w:t>三五年远景目标纲要》等相关文件，特制定本规划。</w:t>
      </w:r>
    </w:p>
    <w:p>
      <w:pPr>
        <w:adjustRightInd w:val="0"/>
        <w:snapToGrid w:val="0"/>
        <w:spacing w:before="46" w:beforeLines="15" w:after="46" w:afterLines="15" w:line="360" w:lineRule="auto"/>
        <w:ind w:firstLine="640" w:firstLineChars="200"/>
        <w:jc w:val="left"/>
        <w:rPr>
          <w:rFonts w:ascii="Times New Roman" w:hAnsi="Times New Roman" w:eastAsia="仿宋_GB2312" w:cs="Times New Roman"/>
          <w:color w:val="auto"/>
          <w:sz w:val="32"/>
          <w:szCs w:val="28"/>
        </w:rPr>
      </w:pPr>
    </w:p>
    <w:p>
      <w:pPr>
        <w:widowControl/>
        <w:jc w:val="left"/>
        <w:rPr>
          <w:rFonts w:ascii="Times New Roman" w:hAnsi="Times New Roman" w:eastAsia="仿宋_GB2312" w:cs="Times New Roman"/>
          <w:color w:val="auto"/>
          <w:kern w:val="0"/>
          <w:sz w:val="32"/>
          <w:szCs w:val="28"/>
        </w:rPr>
      </w:pPr>
      <w:r>
        <w:rPr>
          <w:rFonts w:ascii="Times New Roman" w:hAnsi="Times New Roman" w:eastAsia="仿宋_GB2312" w:cs="Times New Roman"/>
          <w:color w:val="auto"/>
          <w:sz w:val="32"/>
          <w:szCs w:val="28"/>
        </w:rPr>
        <w:br w:type="page"/>
      </w:r>
    </w:p>
    <w:p>
      <w:pPr>
        <w:pStyle w:val="2"/>
        <w:numPr>
          <w:ilvl w:val="0"/>
          <w:numId w:val="0"/>
        </w:numPr>
        <w:spacing w:after="156" w:afterLines="50"/>
        <w:rPr>
          <w:rFonts w:ascii="Times New Roman" w:hAnsi="Times New Roman"/>
          <w:color w:val="auto"/>
          <w:sz w:val="40"/>
          <w:szCs w:val="28"/>
        </w:rPr>
      </w:pPr>
      <w:bookmarkStart w:id="1" w:name="_Toc93511745"/>
      <w:r>
        <w:rPr>
          <w:rFonts w:hint="eastAsia" w:ascii="Times New Roman" w:hAnsi="Times New Roman"/>
          <w:color w:val="auto"/>
          <w:sz w:val="40"/>
          <w:szCs w:val="28"/>
        </w:rPr>
        <w:t>第一章</w:t>
      </w:r>
      <w:r>
        <w:rPr>
          <w:rFonts w:ascii="Times New Roman" w:hAnsi="Times New Roman"/>
          <w:color w:val="auto"/>
          <w:sz w:val="40"/>
          <w:szCs w:val="28"/>
        </w:rPr>
        <w:t xml:space="preserve"> </w:t>
      </w:r>
      <w:r>
        <w:rPr>
          <w:rFonts w:hint="eastAsia" w:ascii="Times New Roman" w:hAnsi="Times New Roman"/>
          <w:color w:val="auto"/>
          <w:sz w:val="40"/>
          <w:szCs w:val="28"/>
        </w:rPr>
        <w:t>规划背景与形势</w:t>
      </w:r>
      <w:bookmarkEnd w:id="1"/>
      <w:r>
        <w:rPr>
          <w:rFonts w:ascii="Times New Roman" w:hAnsi="Times New Roman"/>
          <w:color w:val="auto"/>
          <w:sz w:val="40"/>
          <w:szCs w:val="28"/>
        </w:rPr>
        <w:t xml:space="preserve"> </w:t>
      </w:r>
    </w:p>
    <w:p>
      <w:pPr>
        <w:pStyle w:val="3"/>
        <w:spacing w:line="360" w:lineRule="auto"/>
        <w:ind w:firstLine="723" w:firstLineChars="200"/>
        <w:jc w:val="both"/>
        <w:rPr>
          <w:rFonts w:ascii="楷体" w:hAnsi="楷体" w:eastAsia="楷体"/>
          <w:color w:val="auto"/>
          <w:sz w:val="36"/>
          <w:szCs w:val="28"/>
        </w:rPr>
      </w:pPr>
      <w:bookmarkStart w:id="2" w:name="_Toc93511746"/>
      <w:r>
        <w:rPr>
          <w:rFonts w:ascii="楷体" w:hAnsi="楷体" w:eastAsia="楷体"/>
          <w:color w:val="auto"/>
          <w:sz w:val="36"/>
          <w:szCs w:val="28"/>
        </w:rPr>
        <w:t>一、发展的成就与水平</w:t>
      </w:r>
      <w:bookmarkEnd w:id="2"/>
    </w:p>
    <w:p>
      <w:pPr>
        <w:adjustRightInd w:val="0"/>
        <w:snapToGrid w:val="0"/>
        <w:spacing w:before="46" w:beforeLines="15" w:after="46" w:afterLines="15" w:line="360" w:lineRule="auto"/>
        <w:ind w:firstLine="640" w:firstLineChars="200"/>
        <w:jc w:val="left"/>
        <w:rPr>
          <w:rFonts w:ascii="仿宋" w:hAnsi="仿宋" w:eastAsia="仿宋_GB2312" w:cs="Times New Roman"/>
          <w:color w:val="auto"/>
          <w:sz w:val="32"/>
          <w:szCs w:val="28"/>
        </w:rPr>
      </w:pPr>
      <w:r>
        <w:rPr>
          <w:rFonts w:hint="eastAsia" w:ascii="Times New Roman" w:hAnsi="Times New Roman" w:eastAsia="仿宋_GB2312" w:cs="Times New Roman"/>
          <w:color w:val="auto"/>
          <w:sz w:val="32"/>
          <w:szCs w:val="28"/>
        </w:rPr>
        <w:t>“十三五”时期，全区卫生系统在区委区政府的坚强领导下，坚持以习近平新时代中国特色社会主义思想为指导，深入贯彻习近平总书记关于卫生健康事业改革发展重要论述，坚持新时代卫生健康工作方针，结合丰台实际，认真落实国家人口政策，不断深化医药卫生体制改革，持续优化医疗资源布局，稳步提高医疗卫生服务能力，加大国家中医药综合改革试验区建设力度，统筹推进疫情防控，全面实行家庭医生签约服务。五年来，基本医疗卫生制度更加成熟，医疗卫生服务体系更加完善，疾病防治能力不断增强，人民群众健康水平明显提高。至“十三五”期末，人均期望寿命达到</w:t>
      </w:r>
      <w:r>
        <w:rPr>
          <w:rFonts w:ascii="Times New Roman" w:hAnsi="Times New Roman" w:eastAsia="仿宋_GB2312" w:cs="Times New Roman"/>
          <w:color w:val="auto"/>
          <w:sz w:val="32"/>
          <w:szCs w:val="28"/>
        </w:rPr>
        <w:t>82.71</w:t>
      </w:r>
      <w:r>
        <w:rPr>
          <w:rFonts w:hint="eastAsia" w:ascii="Times New Roman" w:hAnsi="Times New Roman" w:eastAsia="仿宋_GB2312" w:cs="Times New Roman"/>
          <w:color w:val="auto"/>
          <w:sz w:val="32"/>
          <w:szCs w:val="28"/>
        </w:rPr>
        <w:t>岁，高于全市平均水平；孕产妇死亡率下降到</w:t>
      </w:r>
      <w:r>
        <w:rPr>
          <w:rFonts w:ascii="Times New Roman" w:hAnsi="Times New Roman" w:eastAsia="仿宋_GB2312" w:cs="Times New Roman"/>
          <w:color w:val="auto"/>
          <w:sz w:val="32"/>
          <w:szCs w:val="28"/>
        </w:rPr>
        <w:t>3.04/10</w:t>
      </w:r>
      <w:r>
        <w:rPr>
          <w:rFonts w:hint="eastAsia" w:ascii="Times New Roman" w:hAnsi="Times New Roman" w:eastAsia="仿宋_GB2312" w:cs="Times New Roman"/>
          <w:color w:val="auto"/>
          <w:sz w:val="32"/>
          <w:szCs w:val="28"/>
        </w:rPr>
        <w:t>万；新生儿死亡率、婴儿死亡率、</w:t>
      </w:r>
      <w:r>
        <w:rPr>
          <w:rFonts w:ascii="Times New Roman" w:hAnsi="Times New Roman" w:eastAsia="仿宋_GB2312" w:cs="Times New Roman"/>
          <w:color w:val="auto"/>
          <w:sz w:val="32"/>
          <w:szCs w:val="28"/>
        </w:rPr>
        <w:t>5</w:t>
      </w:r>
      <w:r>
        <w:rPr>
          <w:rFonts w:hint="eastAsia" w:ascii="Times New Roman" w:hAnsi="Times New Roman" w:eastAsia="仿宋_GB2312" w:cs="Times New Roman"/>
          <w:color w:val="auto"/>
          <w:sz w:val="32"/>
          <w:szCs w:val="28"/>
        </w:rPr>
        <w:t>岁以下儿童死亡率、甲乙类传染病报告发病率顺利实现</w:t>
      </w:r>
      <w:r>
        <w:rPr>
          <w:rFonts w:ascii="仿宋" w:hAnsi="仿宋" w:eastAsia="仿宋_GB2312" w:cs="Times New Roman"/>
          <w:color w:val="auto"/>
          <w:sz w:val="32"/>
          <w:szCs w:val="28"/>
        </w:rPr>
        <w:t>“十三五”</w:t>
      </w:r>
      <w:r>
        <w:rPr>
          <w:rFonts w:hint="eastAsia" w:ascii="Times New Roman" w:hAnsi="Times New Roman" w:eastAsia="仿宋_GB2312" w:cs="Times New Roman"/>
          <w:color w:val="auto"/>
          <w:sz w:val="32"/>
          <w:szCs w:val="28"/>
        </w:rPr>
        <w:t>确定的发展目标。居民对卫生健康事业发展</w:t>
      </w:r>
      <w:r>
        <w:rPr>
          <w:rFonts w:ascii="仿宋" w:hAnsi="仿宋" w:eastAsia="仿宋_GB2312" w:cs="Times New Roman"/>
          <w:color w:val="auto"/>
          <w:sz w:val="32"/>
          <w:szCs w:val="28"/>
        </w:rPr>
        <w:t>的满意度和整体评价较高。</w:t>
      </w:r>
    </w:p>
    <w:p>
      <w:pPr>
        <w:pStyle w:val="5"/>
        <w:tabs>
          <w:tab w:val="clear" w:pos="720"/>
        </w:tabs>
        <w:spacing w:before="0" w:after="0" w:line="360" w:lineRule="auto"/>
        <w:ind w:left="0" w:firstLine="643" w:firstLineChars="200"/>
        <w:jc w:val="both"/>
        <w:rPr>
          <w:rFonts w:ascii="Times New Roman" w:hAnsi="Times New Roman" w:eastAsia="仿宋_GB2312"/>
          <w:b w:val="0"/>
          <w:color w:val="auto"/>
          <w:kern w:val="2"/>
          <w:sz w:val="32"/>
          <w:szCs w:val="28"/>
        </w:rPr>
      </w:pPr>
      <w:bookmarkStart w:id="3" w:name="_Toc93511747"/>
      <w:r>
        <w:rPr>
          <w:rFonts w:hint="eastAsia" w:ascii="Times New Roman" w:hAnsi="Times New Roman"/>
          <w:color w:val="auto"/>
          <w:sz w:val="32"/>
          <w:szCs w:val="28"/>
        </w:rPr>
        <w:t>（一）公共卫生服务体系不断健全</w:t>
      </w:r>
      <w:bookmarkEnd w:id="3"/>
    </w:p>
    <w:p>
      <w:pPr>
        <w:adjustRightInd w:val="0"/>
        <w:snapToGrid w:val="0"/>
        <w:spacing w:before="46" w:beforeLines="15" w:after="46" w:afterLines="15" w:line="360" w:lineRule="auto"/>
        <w:ind w:firstLine="640" w:firstLineChars="200"/>
        <w:jc w:val="left"/>
        <w:rPr>
          <w:rFonts w:hint="eastAsia" w:ascii="Times New Roman" w:hAnsi="Times New Roman" w:eastAsia="仿宋_GB2312" w:cs="Times New Roman"/>
          <w:color w:val="auto"/>
          <w:sz w:val="32"/>
          <w:szCs w:val="28"/>
        </w:rPr>
      </w:pPr>
      <w:r>
        <w:rPr>
          <w:rFonts w:hint="eastAsia" w:ascii="Times New Roman" w:hAnsi="Times New Roman" w:eastAsia="仿宋_GB2312" w:cs="Times New Roman"/>
          <w:color w:val="auto"/>
          <w:sz w:val="32"/>
          <w:szCs w:val="28"/>
        </w:rPr>
        <w:t>巩固国家慢性病综合防控示范区、全国艾滋病综合防治示范区建设成果。多措并举，有效应对了</w:t>
      </w:r>
      <w:r>
        <w:rPr>
          <w:rFonts w:ascii="Times New Roman" w:hAnsi="Times New Roman" w:eastAsia="仿宋_GB2312" w:cs="Times New Roman"/>
          <w:color w:val="auto"/>
          <w:sz w:val="32"/>
          <w:szCs w:val="28"/>
        </w:rPr>
        <w:t>H7N9</w:t>
      </w:r>
      <w:r>
        <w:rPr>
          <w:rFonts w:hint="eastAsia" w:ascii="Times New Roman" w:hAnsi="Times New Roman" w:eastAsia="仿宋_GB2312" w:cs="Times New Roman"/>
          <w:color w:val="auto"/>
          <w:sz w:val="32"/>
          <w:szCs w:val="28"/>
        </w:rPr>
        <w:t>禽流感、布病、手足口等疫情。尤其在应对</w:t>
      </w:r>
      <w:r>
        <w:rPr>
          <w:rFonts w:ascii="Times New Roman" w:hAnsi="Times New Roman" w:eastAsia="仿宋_GB2312" w:cs="Times New Roman"/>
          <w:color w:val="auto"/>
          <w:sz w:val="32"/>
          <w:szCs w:val="28"/>
        </w:rPr>
        <w:t>2020</w:t>
      </w:r>
      <w:r>
        <w:rPr>
          <w:rFonts w:hint="eastAsia" w:ascii="Times New Roman" w:hAnsi="Times New Roman" w:eastAsia="仿宋_GB2312" w:cs="Times New Roman"/>
          <w:color w:val="auto"/>
          <w:sz w:val="32"/>
          <w:szCs w:val="28"/>
        </w:rPr>
        <w:t>年初新冠肺炎疫情过程中，全区靠前防控，科学预判，果断决策，精准施策，有效控制了疫情传播。积极实施肺癌、大肠癌等早诊早治筛查、妇女“两癌”筛查等公共卫生项目。精神卫生管理力度持续增强，各项工作指标稳步提升，严重精神障碍患者在册规范管理率、在册规律服药率等指标均达到市级标准。</w:t>
      </w:r>
    </w:p>
    <w:p>
      <w:pPr>
        <w:pStyle w:val="5"/>
        <w:tabs>
          <w:tab w:val="clear" w:pos="720"/>
        </w:tabs>
        <w:spacing w:before="0" w:after="0" w:line="360" w:lineRule="auto"/>
        <w:ind w:left="0" w:firstLine="643" w:firstLineChars="200"/>
        <w:jc w:val="both"/>
        <w:rPr>
          <w:rFonts w:ascii="Times New Roman" w:hAnsi="Times New Roman"/>
          <w:color w:val="auto"/>
          <w:sz w:val="32"/>
          <w:szCs w:val="28"/>
        </w:rPr>
      </w:pPr>
      <w:bookmarkStart w:id="4" w:name="_Toc93511748"/>
      <w:r>
        <w:rPr>
          <w:rFonts w:hint="eastAsia" w:ascii="Times New Roman" w:hAnsi="Times New Roman"/>
          <w:color w:val="auto"/>
          <w:sz w:val="32"/>
          <w:szCs w:val="28"/>
        </w:rPr>
        <w:t>（二）</w:t>
      </w:r>
      <w:r>
        <w:rPr>
          <w:rFonts w:hint="eastAsia" w:ascii="Times New Roman" w:hAnsi="Times New Roman" w:eastAsia="宋体"/>
          <w:color w:val="auto"/>
          <w:szCs w:val="28"/>
        </w:rPr>
        <w:t>医疗卫生资源配置水平显著提高</w:t>
      </w:r>
      <w:bookmarkEnd w:id="4"/>
    </w:p>
    <w:p>
      <w:pPr>
        <w:adjustRightInd w:val="0"/>
        <w:snapToGrid w:val="0"/>
        <w:spacing w:before="46" w:beforeLines="15" w:after="46" w:afterLines="15" w:line="360" w:lineRule="auto"/>
        <w:ind w:firstLine="640" w:firstLineChars="200"/>
        <w:jc w:val="left"/>
        <w:rPr>
          <w:rFonts w:ascii="Times New Roman" w:hAnsi="Times New Roman" w:eastAsia="仿宋_GB2312" w:cs="Times New Roman"/>
          <w:color w:val="auto"/>
          <w:sz w:val="32"/>
          <w:szCs w:val="28"/>
        </w:rPr>
      </w:pPr>
      <w:r>
        <w:rPr>
          <w:rFonts w:ascii="Times New Roman" w:hAnsi="Times New Roman" w:eastAsia="仿宋_GB2312" w:cs="Times New Roman"/>
          <w:color w:val="auto"/>
          <w:sz w:val="32"/>
          <w:szCs w:val="28"/>
        </w:rPr>
        <w:t>2020</w:t>
      </w:r>
      <w:r>
        <w:rPr>
          <w:rFonts w:hint="eastAsia" w:ascii="Times New Roman" w:hAnsi="Times New Roman" w:eastAsia="仿宋_GB2312" w:cs="Times New Roman"/>
          <w:color w:val="auto"/>
          <w:sz w:val="32"/>
          <w:szCs w:val="28"/>
        </w:rPr>
        <w:t>年每千常住人口实有床位数提高到</w:t>
      </w:r>
      <w:r>
        <w:rPr>
          <w:rFonts w:ascii="Times New Roman" w:hAnsi="Times New Roman" w:eastAsia="仿宋_GB2312" w:cs="Times New Roman"/>
          <w:color w:val="auto"/>
          <w:sz w:val="32"/>
          <w:szCs w:val="28"/>
        </w:rPr>
        <w:t>6.31</w:t>
      </w:r>
      <w:r>
        <w:rPr>
          <w:rFonts w:hint="eastAsia" w:ascii="Times New Roman" w:hAnsi="Times New Roman" w:eastAsia="仿宋_GB2312" w:cs="Times New Roman"/>
          <w:color w:val="auto"/>
          <w:sz w:val="32"/>
          <w:szCs w:val="28"/>
        </w:rPr>
        <w:t>张，超过全市平均水平；每千常住人口卫生技术人员数达到</w:t>
      </w:r>
      <w:r>
        <w:rPr>
          <w:rFonts w:ascii="Times New Roman" w:hAnsi="Times New Roman" w:eastAsia="仿宋_GB2312" w:cs="Times New Roman"/>
          <w:color w:val="auto"/>
          <w:sz w:val="32"/>
          <w:szCs w:val="28"/>
        </w:rPr>
        <w:t>12.23</w:t>
      </w:r>
      <w:r>
        <w:rPr>
          <w:rFonts w:hint="eastAsia" w:ascii="Times New Roman" w:hAnsi="Times New Roman" w:eastAsia="仿宋_GB2312" w:cs="Times New Roman"/>
          <w:color w:val="auto"/>
          <w:sz w:val="32"/>
          <w:szCs w:val="28"/>
        </w:rPr>
        <w:t>人，与全市平均水平的差距进一步缩小。丰台医院提质改建项目加速推进，北京天坛医院迁入并投入运营，北京口腔医院投入建设。建立</w:t>
      </w:r>
      <w:r>
        <w:rPr>
          <w:rFonts w:ascii="Times New Roman" w:hAnsi="Times New Roman" w:eastAsia="仿宋_GB2312" w:cs="Times New Roman"/>
          <w:color w:val="auto"/>
          <w:sz w:val="32"/>
          <w:szCs w:val="28"/>
        </w:rPr>
        <w:t>14</w:t>
      </w:r>
      <w:r>
        <w:rPr>
          <w:rFonts w:hint="eastAsia" w:ascii="Times New Roman" w:hAnsi="Times New Roman" w:eastAsia="仿宋_GB2312" w:cs="Times New Roman"/>
          <w:color w:val="auto"/>
          <w:sz w:val="32"/>
          <w:szCs w:val="28"/>
        </w:rPr>
        <w:t>所专科医联体，医疗机构病例难度组合指数（</w:t>
      </w:r>
      <w:r>
        <w:rPr>
          <w:rFonts w:ascii="Times New Roman" w:hAnsi="Times New Roman" w:eastAsia="仿宋_GB2312" w:cs="Times New Roman"/>
          <w:color w:val="auto"/>
          <w:sz w:val="32"/>
          <w:szCs w:val="28"/>
        </w:rPr>
        <w:t>CMI</w:t>
      </w:r>
      <w:r>
        <w:rPr>
          <w:rFonts w:hint="eastAsia" w:ascii="Times New Roman" w:hAnsi="Times New Roman" w:eastAsia="仿宋_GB2312" w:cs="Times New Roman"/>
          <w:color w:val="auto"/>
          <w:sz w:val="32"/>
          <w:szCs w:val="28"/>
        </w:rPr>
        <w:t>）稳步提高。持续改善医疗服务，患者就医满意度不断提高、就医获得感逐步增强。</w:t>
      </w:r>
    </w:p>
    <w:p>
      <w:pPr>
        <w:pStyle w:val="5"/>
        <w:tabs>
          <w:tab w:val="clear" w:pos="720"/>
        </w:tabs>
        <w:spacing w:before="0" w:after="0" w:line="360" w:lineRule="auto"/>
        <w:ind w:left="0" w:firstLine="643" w:firstLineChars="200"/>
        <w:jc w:val="both"/>
        <w:rPr>
          <w:rFonts w:ascii="Times New Roman" w:hAnsi="Times New Roman"/>
          <w:color w:val="auto"/>
          <w:sz w:val="32"/>
          <w:szCs w:val="28"/>
        </w:rPr>
      </w:pPr>
      <w:bookmarkStart w:id="5" w:name="_Toc93511749"/>
      <w:r>
        <w:rPr>
          <w:rFonts w:hint="eastAsia" w:ascii="Times New Roman" w:hAnsi="Times New Roman"/>
          <w:color w:val="auto"/>
          <w:sz w:val="32"/>
          <w:szCs w:val="28"/>
        </w:rPr>
        <w:t>（三）基层医疗卫生工作得到强化</w:t>
      </w:r>
      <w:bookmarkEnd w:id="5"/>
    </w:p>
    <w:p>
      <w:pPr>
        <w:adjustRightInd w:val="0"/>
        <w:snapToGrid w:val="0"/>
        <w:spacing w:before="46" w:beforeLines="15" w:after="46" w:afterLines="15" w:line="360" w:lineRule="auto"/>
        <w:ind w:firstLine="640" w:firstLineChars="200"/>
        <w:jc w:val="left"/>
        <w:rPr>
          <w:rFonts w:ascii="Times New Roman" w:hAnsi="Times New Roman" w:eastAsia="仿宋_GB2312" w:cs="Times New Roman"/>
          <w:color w:val="auto"/>
          <w:sz w:val="32"/>
          <w:szCs w:val="28"/>
        </w:rPr>
      </w:pPr>
      <w:r>
        <w:rPr>
          <w:rFonts w:hint="eastAsia" w:ascii="Times New Roman" w:hAnsi="Times New Roman" w:eastAsia="仿宋_GB2312" w:cs="Times New Roman"/>
          <w:color w:val="auto"/>
          <w:sz w:val="32"/>
          <w:szCs w:val="28"/>
        </w:rPr>
        <w:t>“十三五”期末，全区</w:t>
      </w:r>
      <w:r>
        <w:rPr>
          <w:rFonts w:ascii="Times New Roman" w:hAnsi="Times New Roman" w:eastAsia="仿宋_GB2312" w:cs="Times New Roman"/>
          <w:color w:val="auto"/>
          <w:sz w:val="32"/>
          <w:szCs w:val="28"/>
        </w:rPr>
        <w:t>23</w:t>
      </w:r>
      <w:r>
        <w:rPr>
          <w:rFonts w:hint="eastAsia" w:ascii="Times New Roman" w:hAnsi="Times New Roman" w:eastAsia="仿宋_GB2312" w:cs="Times New Roman"/>
          <w:color w:val="auto"/>
          <w:sz w:val="32"/>
          <w:szCs w:val="28"/>
        </w:rPr>
        <w:t>所社区卫生服务中心、</w:t>
      </w:r>
      <w:r>
        <w:rPr>
          <w:rFonts w:ascii="Times New Roman" w:hAnsi="Times New Roman" w:eastAsia="仿宋_GB2312" w:cs="Times New Roman"/>
          <w:color w:val="auto"/>
          <w:sz w:val="32"/>
          <w:szCs w:val="28"/>
        </w:rPr>
        <w:t>158</w:t>
      </w:r>
      <w:r>
        <w:rPr>
          <w:rFonts w:hint="eastAsia" w:ascii="Times New Roman" w:hAnsi="Times New Roman" w:eastAsia="仿宋_GB2312" w:cs="Times New Roman"/>
          <w:color w:val="auto"/>
          <w:sz w:val="32"/>
          <w:szCs w:val="28"/>
        </w:rPr>
        <w:t>个社区卫生服务站覆盖了全部街乡镇和居村委会。以互联网</w:t>
      </w:r>
      <w:r>
        <w:rPr>
          <w:rFonts w:ascii="Times New Roman" w:hAnsi="Times New Roman" w:eastAsia="仿宋_GB2312" w:cs="Times New Roman"/>
          <w:color w:val="auto"/>
          <w:sz w:val="32"/>
          <w:szCs w:val="28"/>
        </w:rPr>
        <w:t>+</w:t>
      </w:r>
      <w:r>
        <w:rPr>
          <w:rFonts w:hint="eastAsia" w:ascii="Times New Roman" w:hAnsi="Times New Roman" w:eastAsia="仿宋_GB2312" w:cs="Times New Roman"/>
          <w:color w:val="auto"/>
          <w:sz w:val="32"/>
          <w:szCs w:val="28"/>
        </w:rPr>
        <w:t>、人工智能为管理手段，探索建立了</w:t>
      </w:r>
      <w:r>
        <w:rPr>
          <w:rFonts w:ascii="仿宋" w:hAnsi="仿宋" w:eastAsia="仿宋_GB2312" w:cs="Times New Roman"/>
          <w:color w:val="auto"/>
          <w:sz w:val="32"/>
          <w:szCs w:val="28"/>
        </w:rPr>
        <w:t>“智慧家庭医生优化协同服务模式”</w:t>
      </w:r>
      <w:r>
        <w:rPr>
          <w:rFonts w:hint="eastAsia" w:ascii="仿宋" w:hAnsi="仿宋" w:eastAsia="仿宋_GB2312" w:cs="Times New Roman"/>
          <w:color w:val="auto"/>
          <w:sz w:val="32"/>
          <w:szCs w:val="28"/>
        </w:rPr>
        <w:t>，得到市级部门认可</w:t>
      </w:r>
      <w:r>
        <w:rPr>
          <w:rFonts w:hint="eastAsia" w:ascii="Times New Roman" w:hAnsi="Times New Roman" w:eastAsia="仿宋_GB2312" w:cs="Times New Roman"/>
          <w:color w:val="auto"/>
          <w:sz w:val="32"/>
          <w:szCs w:val="28"/>
        </w:rPr>
        <w:t>。</w:t>
      </w:r>
      <w:r>
        <w:rPr>
          <w:rFonts w:ascii="Times New Roman" w:hAnsi="Times New Roman" w:eastAsia="仿宋_GB2312" w:cs="Times New Roman"/>
          <w:color w:val="auto"/>
          <w:sz w:val="32"/>
          <w:szCs w:val="28"/>
        </w:rPr>
        <w:t>2020</w:t>
      </w:r>
      <w:r>
        <w:rPr>
          <w:rFonts w:hint="eastAsia" w:ascii="Times New Roman" w:hAnsi="Times New Roman" w:eastAsia="仿宋_GB2312" w:cs="Times New Roman"/>
          <w:color w:val="auto"/>
          <w:sz w:val="32"/>
          <w:szCs w:val="28"/>
        </w:rPr>
        <w:t>年底，</w:t>
      </w:r>
      <w:r>
        <w:rPr>
          <w:rFonts w:ascii="Times New Roman" w:hAnsi="Times New Roman" w:eastAsia="仿宋_GB2312" w:cs="Times New Roman"/>
          <w:color w:val="auto"/>
          <w:sz w:val="32"/>
          <w:szCs w:val="28"/>
        </w:rPr>
        <w:t>574</w:t>
      </w:r>
      <w:r>
        <w:rPr>
          <w:rFonts w:hint="eastAsia" w:ascii="Times New Roman" w:hAnsi="Times New Roman" w:eastAsia="仿宋_GB2312" w:cs="Times New Roman"/>
          <w:color w:val="auto"/>
          <w:sz w:val="32"/>
          <w:szCs w:val="28"/>
        </w:rPr>
        <w:t>个家庭医生服务团队签约重点人群</w:t>
      </w:r>
      <w:r>
        <w:rPr>
          <w:rFonts w:ascii="Times New Roman" w:hAnsi="Times New Roman" w:eastAsia="仿宋_GB2312" w:cs="Times New Roman"/>
          <w:color w:val="auto"/>
          <w:sz w:val="32"/>
          <w:szCs w:val="28"/>
        </w:rPr>
        <w:t>38.49</w:t>
      </w:r>
      <w:r>
        <w:rPr>
          <w:rFonts w:hint="eastAsia" w:ascii="Times New Roman" w:hAnsi="Times New Roman" w:eastAsia="仿宋_GB2312" w:cs="Times New Roman"/>
          <w:color w:val="auto"/>
          <w:sz w:val="32"/>
          <w:szCs w:val="28"/>
        </w:rPr>
        <w:t>万人，签约率</w:t>
      </w:r>
      <w:r>
        <w:rPr>
          <w:rFonts w:ascii="Times New Roman" w:hAnsi="Times New Roman" w:eastAsia="仿宋_GB2312" w:cs="Times New Roman"/>
          <w:color w:val="auto"/>
          <w:sz w:val="32"/>
          <w:szCs w:val="28"/>
        </w:rPr>
        <w:t>97.78%</w:t>
      </w:r>
      <w:r>
        <w:rPr>
          <w:rFonts w:hint="eastAsia" w:ascii="Times New Roman" w:hAnsi="Times New Roman" w:eastAsia="仿宋_GB2312" w:cs="Times New Roman"/>
          <w:color w:val="auto"/>
          <w:sz w:val="32"/>
          <w:szCs w:val="28"/>
        </w:rPr>
        <w:t>。落实分级诊疗制度，基层就诊率达到</w:t>
      </w:r>
      <w:r>
        <w:rPr>
          <w:rFonts w:ascii="Times New Roman" w:hAnsi="Times New Roman" w:eastAsia="仿宋_GB2312" w:cs="Times New Roman"/>
          <w:color w:val="auto"/>
          <w:sz w:val="32"/>
          <w:szCs w:val="28"/>
        </w:rPr>
        <w:t>60.8%</w:t>
      </w:r>
      <w:r>
        <w:rPr>
          <w:rFonts w:hint="eastAsia" w:ascii="Times New Roman" w:hAnsi="Times New Roman" w:eastAsia="仿宋_GB2312" w:cs="Times New Roman"/>
          <w:color w:val="auto"/>
          <w:sz w:val="32"/>
          <w:szCs w:val="28"/>
        </w:rPr>
        <w:t>，位居全市前列。</w:t>
      </w:r>
    </w:p>
    <w:p>
      <w:pPr>
        <w:pStyle w:val="5"/>
        <w:tabs>
          <w:tab w:val="clear" w:pos="720"/>
        </w:tabs>
        <w:spacing w:before="0" w:after="0" w:line="360" w:lineRule="auto"/>
        <w:ind w:left="0" w:firstLine="643" w:firstLineChars="200"/>
        <w:jc w:val="both"/>
        <w:rPr>
          <w:rFonts w:ascii="Times New Roman" w:hAnsi="Times New Roman"/>
          <w:color w:val="auto"/>
          <w:sz w:val="32"/>
          <w:szCs w:val="28"/>
        </w:rPr>
      </w:pPr>
      <w:bookmarkStart w:id="6" w:name="_Toc93511750"/>
      <w:r>
        <w:rPr>
          <w:rFonts w:hint="eastAsia" w:ascii="Times New Roman" w:hAnsi="Times New Roman"/>
          <w:color w:val="auto"/>
          <w:sz w:val="32"/>
          <w:szCs w:val="28"/>
        </w:rPr>
        <w:t>（四）中医药事业发展进入新阶段</w:t>
      </w:r>
      <w:bookmarkEnd w:id="6"/>
    </w:p>
    <w:p>
      <w:pPr>
        <w:adjustRightInd w:val="0"/>
        <w:snapToGrid w:val="0"/>
        <w:spacing w:before="46" w:beforeLines="15" w:after="46" w:afterLines="15" w:line="360" w:lineRule="auto"/>
        <w:ind w:firstLine="640" w:firstLineChars="200"/>
        <w:jc w:val="left"/>
        <w:rPr>
          <w:rFonts w:ascii="Times New Roman" w:hAnsi="Times New Roman" w:eastAsia="仿宋_GB2312" w:cs="Times New Roman"/>
          <w:color w:val="auto"/>
          <w:sz w:val="32"/>
          <w:szCs w:val="28"/>
        </w:rPr>
      </w:pPr>
      <w:r>
        <w:rPr>
          <w:rFonts w:hint="eastAsia" w:ascii="Times New Roman" w:hAnsi="Times New Roman" w:eastAsia="仿宋_GB2312" w:cs="Times New Roman"/>
          <w:color w:val="auto"/>
          <w:sz w:val="32"/>
          <w:szCs w:val="28"/>
        </w:rPr>
        <w:t>丰台区成功创建为国家中医药综合改革试验区。持续推进丰台区南苑医院向中医转型发展。东方医院西院区全面开诊。启动中医治未病健康促进工程，开展中医家庭保健员培训、中医健康养老技术骨干培养等工作。组建</w:t>
      </w:r>
      <w:r>
        <w:rPr>
          <w:rFonts w:ascii="Times New Roman" w:hAnsi="Times New Roman" w:eastAsia="仿宋_GB2312" w:cs="Times New Roman"/>
          <w:color w:val="auto"/>
          <w:sz w:val="32"/>
          <w:szCs w:val="28"/>
        </w:rPr>
        <w:t>20</w:t>
      </w:r>
      <w:r>
        <w:rPr>
          <w:rFonts w:hint="eastAsia" w:ascii="Times New Roman" w:hAnsi="Times New Roman" w:eastAsia="仿宋_GB2312" w:cs="Times New Roman"/>
          <w:color w:val="auto"/>
          <w:sz w:val="32"/>
          <w:szCs w:val="28"/>
        </w:rPr>
        <w:t>支区级治未病服务团队，惠及</w:t>
      </w:r>
      <w:r>
        <w:rPr>
          <w:rFonts w:ascii="Times New Roman" w:hAnsi="Times New Roman" w:eastAsia="仿宋_GB2312" w:cs="Times New Roman"/>
          <w:color w:val="auto"/>
          <w:sz w:val="32"/>
          <w:szCs w:val="28"/>
        </w:rPr>
        <w:t>6</w:t>
      </w:r>
      <w:r>
        <w:rPr>
          <w:rFonts w:hint="eastAsia" w:ascii="Times New Roman" w:hAnsi="Times New Roman" w:eastAsia="仿宋_GB2312" w:cs="Times New Roman"/>
          <w:color w:val="auto"/>
          <w:sz w:val="32"/>
          <w:szCs w:val="28"/>
        </w:rPr>
        <w:t>万余人，精准管理达</w:t>
      </w:r>
      <w:r>
        <w:rPr>
          <w:rFonts w:ascii="Times New Roman" w:hAnsi="Times New Roman" w:eastAsia="仿宋_GB2312" w:cs="Times New Roman"/>
          <w:color w:val="auto"/>
          <w:sz w:val="32"/>
          <w:szCs w:val="28"/>
        </w:rPr>
        <w:t>2</w:t>
      </w:r>
      <w:r>
        <w:rPr>
          <w:rFonts w:hint="eastAsia" w:ascii="Times New Roman" w:hAnsi="Times New Roman" w:eastAsia="仿宋_GB2312" w:cs="Times New Roman"/>
          <w:color w:val="auto"/>
          <w:sz w:val="32"/>
          <w:szCs w:val="28"/>
        </w:rPr>
        <w:t>万余人。搭建丰台区脑卒中中医防治网，先后筛查高危人群</w:t>
      </w:r>
      <w:r>
        <w:rPr>
          <w:rFonts w:ascii="Times New Roman" w:hAnsi="Times New Roman" w:eastAsia="仿宋_GB2312" w:cs="Times New Roman"/>
          <w:color w:val="auto"/>
          <w:sz w:val="32"/>
          <w:szCs w:val="28"/>
        </w:rPr>
        <w:t>5</w:t>
      </w:r>
      <w:r>
        <w:rPr>
          <w:rFonts w:hint="eastAsia" w:ascii="Times New Roman" w:hAnsi="Times New Roman" w:eastAsia="仿宋_GB2312" w:cs="Times New Roman"/>
          <w:color w:val="auto"/>
          <w:sz w:val="32"/>
          <w:szCs w:val="28"/>
        </w:rPr>
        <w:t>万多人。基层医疗卫生服务机构全部设置中医药科室，中医药健康管理人数达到</w:t>
      </w:r>
      <w:r>
        <w:rPr>
          <w:rFonts w:ascii="Times New Roman" w:hAnsi="Times New Roman" w:eastAsia="仿宋_GB2312" w:cs="Times New Roman"/>
          <w:color w:val="auto"/>
          <w:sz w:val="32"/>
          <w:szCs w:val="28"/>
        </w:rPr>
        <w:t>20</w:t>
      </w:r>
      <w:r>
        <w:rPr>
          <w:rFonts w:hint="eastAsia" w:ascii="Times New Roman" w:hAnsi="Times New Roman" w:eastAsia="仿宋_GB2312" w:cs="Times New Roman"/>
          <w:color w:val="auto"/>
          <w:sz w:val="32"/>
          <w:szCs w:val="28"/>
        </w:rPr>
        <w:t>万余人。</w:t>
      </w:r>
    </w:p>
    <w:p>
      <w:pPr>
        <w:pStyle w:val="5"/>
        <w:tabs>
          <w:tab w:val="clear" w:pos="720"/>
        </w:tabs>
        <w:spacing w:before="0" w:after="0" w:line="360" w:lineRule="auto"/>
        <w:ind w:left="0" w:firstLine="643" w:firstLineChars="200"/>
        <w:jc w:val="both"/>
        <w:rPr>
          <w:rFonts w:ascii="Times New Roman" w:hAnsi="Times New Roman"/>
          <w:b w:val="0"/>
          <w:bCs/>
          <w:color w:val="auto"/>
          <w:sz w:val="32"/>
          <w:szCs w:val="28"/>
        </w:rPr>
      </w:pPr>
      <w:bookmarkStart w:id="7" w:name="_Toc93511751"/>
      <w:r>
        <w:rPr>
          <w:rFonts w:hint="eastAsia" w:ascii="Times New Roman" w:hAnsi="Times New Roman"/>
          <w:color w:val="auto"/>
          <w:sz w:val="32"/>
          <w:szCs w:val="28"/>
        </w:rPr>
        <w:t>（五）卫生健康帮扶惠民成效显著</w:t>
      </w:r>
      <w:bookmarkEnd w:id="7"/>
    </w:p>
    <w:p>
      <w:pPr>
        <w:adjustRightInd w:val="0"/>
        <w:snapToGrid w:val="0"/>
        <w:spacing w:before="46" w:beforeLines="15" w:after="46" w:afterLines="15" w:line="360" w:lineRule="auto"/>
        <w:ind w:firstLine="640" w:firstLineChars="200"/>
        <w:jc w:val="left"/>
        <w:rPr>
          <w:rFonts w:ascii="Times New Roman" w:hAnsi="Times New Roman" w:eastAsia="仿宋_GB2312" w:cs="Times New Roman"/>
          <w:color w:val="auto"/>
          <w:sz w:val="32"/>
          <w:szCs w:val="28"/>
        </w:rPr>
      </w:pPr>
      <w:r>
        <w:rPr>
          <w:rFonts w:hint="eastAsia" w:ascii="Times New Roman" w:hAnsi="Times New Roman" w:eastAsia="仿宋_GB2312" w:cs="Times New Roman"/>
          <w:color w:val="auto"/>
          <w:sz w:val="32"/>
          <w:szCs w:val="28"/>
        </w:rPr>
        <w:t>对河北、内蒙、青海以及新疆等地开展社区卫生、健康扶贫等支援工作，提高了帮扶地区医疗卫生服务水平。实施免费计划生育服务项目，开展免费婚前检查、孕前优生教育与检查等项目。完善计划生育管理机制，落实国家计生特殊家庭帮扶制度，开展幸福家庭创建、计划生育特殊家庭心灵家园建设等工作，计划生育政策符合率达到</w:t>
      </w:r>
      <w:r>
        <w:rPr>
          <w:rFonts w:ascii="Times New Roman" w:hAnsi="Times New Roman" w:eastAsia="仿宋_GB2312" w:cs="Times New Roman"/>
          <w:color w:val="auto"/>
          <w:sz w:val="32"/>
          <w:szCs w:val="28"/>
        </w:rPr>
        <w:t>98%</w:t>
      </w:r>
      <w:r>
        <w:rPr>
          <w:rFonts w:hint="eastAsia" w:ascii="Times New Roman" w:hAnsi="Times New Roman" w:eastAsia="仿宋_GB2312" w:cs="Times New Roman"/>
          <w:color w:val="auto"/>
          <w:sz w:val="32"/>
          <w:szCs w:val="28"/>
        </w:rPr>
        <w:t>。</w:t>
      </w:r>
    </w:p>
    <w:p>
      <w:pPr>
        <w:pStyle w:val="3"/>
        <w:spacing w:line="360" w:lineRule="auto"/>
        <w:ind w:firstLine="723" w:firstLineChars="200"/>
        <w:jc w:val="both"/>
        <w:rPr>
          <w:rFonts w:ascii="楷体" w:hAnsi="楷体" w:eastAsia="楷体"/>
          <w:color w:val="auto"/>
          <w:sz w:val="36"/>
          <w:szCs w:val="28"/>
        </w:rPr>
      </w:pPr>
      <w:bookmarkStart w:id="8" w:name="_Toc93511752"/>
      <w:r>
        <w:rPr>
          <w:rFonts w:ascii="楷体" w:hAnsi="楷体" w:eastAsia="楷体"/>
          <w:color w:val="auto"/>
          <w:sz w:val="36"/>
          <w:szCs w:val="28"/>
        </w:rPr>
        <w:t>二、存在的</w:t>
      </w:r>
      <w:r>
        <w:rPr>
          <w:rFonts w:hint="eastAsia" w:ascii="楷体" w:hAnsi="楷体" w:eastAsia="楷体"/>
          <w:color w:val="auto"/>
          <w:sz w:val="36"/>
          <w:szCs w:val="28"/>
        </w:rPr>
        <w:t>问题</w:t>
      </w:r>
      <w:r>
        <w:rPr>
          <w:rFonts w:ascii="楷体" w:hAnsi="楷体" w:eastAsia="楷体"/>
          <w:color w:val="auto"/>
          <w:sz w:val="36"/>
          <w:szCs w:val="28"/>
        </w:rPr>
        <w:t>与困难</w:t>
      </w:r>
      <w:bookmarkEnd w:id="8"/>
    </w:p>
    <w:p>
      <w:pPr>
        <w:adjustRightInd w:val="0"/>
        <w:snapToGrid w:val="0"/>
        <w:spacing w:before="46" w:beforeLines="15" w:after="46" w:afterLines="15" w:line="360" w:lineRule="auto"/>
        <w:ind w:firstLine="640" w:firstLineChars="200"/>
        <w:jc w:val="left"/>
        <w:rPr>
          <w:rFonts w:ascii="Times New Roman" w:hAnsi="Times New Roman" w:eastAsia="仿宋_GB2312" w:cs="Times New Roman"/>
          <w:color w:val="auto"/>
          <w:sz w:val="32"/>
          <w:szCs w:val="28"/>
        </w:rPr>
      </w:pPr>
      <w:r>
        <w:rPr>
          <w:rFonts w:hint="eastAsia" w:ascii="Times New Roman" w:hAnsi="Times New Roman" w:eastAsia="仿宋_GB2312" w:cs="Times New Roman"/>
          <w:color w:val="auto"/>
          <w:sz w:val="32"/>
          <w:szCs w:val="28"/>
        </w:rPr>
        <w:t>全区卫生健康事业发展取得长足进步，同时不充分、不平衡的问题也较为突出，短板弱项仍然较明显。</w:t>
      </w:r>
    </w:p>
    <w:p>
      <w:pPr>
        <w:pStyle w:val="5"/>
        <w:tabs>
          <w:tab w:val="clear" w:pos="720"/>
        </w:tabs>
        <w:spacing w:before="0" w:after="0" w:line="360" w:lineRule="auto"/>
        <w:ind w:left="0" w:firstLine="643" w:firstLineChars="200"/>
        <w:jc w:val="both"/>
        <w:rPr>
          <w:rFonts w:ascii="Times New Roman" w:hAnsi="Times New Roman"/>
          <w:color w:val="auto"/>
          <w:sz w:val="32"/>
          <w:szCs w:val="28"/>
        </w:rPr>
      </w:pPr>
      <w:bookmarkStart w:id="9" w:name="_Toc93511753"/>
      <w:r>
        <w:rPr>
          <w:rFonts w:hint="eastAsia" w:ascii="Times New Roman" w:hAnsi="Times New Roman"/>
          <w:color w:val="auto"/>
          <w:sz w:val="32"/>
          <w:szCs w:val="28"/>
        </w:rPr>
        <w:t>（一）政府卫生投入规模结构亟待优化</w:t>
      </w:r>
      <w:bookmarkEnd w:id="9"/>
    </w:p>
    <w:p>
      <w:pPr>
        <w:adjustRightInd w:val="0"/>
        <w:snapToGrid w:val="0"/>
        <w:spacing w:before="46" w:beforeLines="15" w:after="46" w:afterLines="15" w:line="360" w:lineRule="auto"/>
        <w:ind w:firstLine="640" w:firstLineChars="200"/>
        <w:jc w:val="left"/>
        <w:rPr>
          <w:rFonts w:ascii="Times New Roman" w:hAnsi="Times New Roman" w:eastAsia="仿宋_GB2312" w:cs="Times New Roman"/>
          <w:color w:val="auto"/>
          <w:sz w:val="32"/>
          <w:szCs w:val="28"/>
        </w:rPr>
      </w:pPr>
      <w:r>
        <w:rPr>
          <w:rFonts w:hint="eastAsia" w:ascii="Times New Roman" w:hAnsi="Times New Roman" w:eastAsia="仿宋_GB2312" w:cs="Times New Roman"/>
          <w:color w:val="auto"/>
          <w:sz w:val="32"/>
          <w:szCs w:val="28"/>
        </w:rPr>
        <w:t>丰台区</w:t>
      </w:r>
      <w:r>
        <w:rPr>
          <w:rFonts w:ascii="Times New Roman" w:hAnsi="Times New Roman" w:eastAsia="仿宋_GB2312" w:cs="Times New Roman"/>
          <w:color w:val="auto"/>
          <w:sz w:val="32"/>
          <w:szCs w:val="28"/>
        </w:rPr>
        <w:t>2020</w:t>
      </w:r>
      <w:r>
        <w:rPr>
          <w:rFonts w:hint="eastAsia" w:ascii="Times New Roman" w:hAnsi="Times New Roman" w:eastAsia="仿宋_GB2312" w:cs="Times New Roman"/>
          <w:color w:val="auto"/>
          <w:sz w:val="32"/>
          <w:szCs w:val="28"/>
        </w:rPr>
        <w:t>年人均政府卫生支出</w:t>
      </w:r>
      <w:r>
        <w:rPr>
          <w:rFonts w:ascii="Times New Roman" w:hAnsi="Times New Roman" w:eastAsia="仿宋_GB2312" w:cs="Times New Roman"/>
          <w:color w:val="auto"/>
          <w:sz w:val="32"/>
          <w:szCs w:val="28"/>
        </w:rPr>
        <w:t>978</w:t>
      </w:r>
      <w:r>
        <w:rPr>
          <w:rFonts w:hint="eastAsia" w:ascii="Times New Roman" w:hAnsi="Times New Roman" w:eastAsia="仿宋_GB2312" w:cs="Times New Roman"/>
          <w:color w:val="auto"/>
          <w:sz w:val="32"/>
          <w:szCs w:val="28"/>
        </w:rPr>
        <w:t>元左右，区财政卫生支出占一般预算支出的比例低于北京市平均水平</w:t>
      </w:r>
      <w:r>
        <w:rPr>
          <w:rFonts w:ascii="Times New Roman" w:hAnsi="Times New Roman" w:eastAsia="仿宋_GB2312" w:cs="Times New Roman"/>
          <w:color w:val="auto"/>
          <w:sz w:val="32"/>
          <w:szCs w:val="28"/>
        </w:rPr>
        <w:t>1</w:t>
      </w:r>
      <w:r>
        <w:rPr>
          <w:rFonts w:hint="eastAsia" w:ascii="Times New Roman" w:hAnsi="Times New Roman" w:eastAsia="仿宋_GB2312" w:cs="Times New Roman"/>
          <w:color w:val="auto"/>
          <w:sz w:val="32"/>
          <w:szCs w:val="28"/>
        </w:rPr>
        <w:t>个百分点以上。政府财政卫生投入向基层医疗和公共卫生机构倾斜不够，健康优先、预防为主等发展理念体现不足。</w:t>
      </w:r>
    </w:p>
    <w:p>
      <w:pPr>
        <w:pStyle w:val="5"/>
        <w:tabs>
          <w:tab w:val="clear" w:pos="720"/>
        </w:tabs>
        <w:spacing w:before="0" w:after="0" w:line="360" w:lineRule="auto"/>
        <w:ind w:left="0" w:firstLine="643" w:firstLineChars="200"/>
        <w:jc w:val="both"/>
        <w:rPr>
          <w:rFonts w:ascii="Times New Roman" w:hAnsi="Times New Roman"/>
          <w:color w:val="auto"/>
          <w:sz w:val="32"/>
          <w:szCs w:val="28"/>
        </w:rPr>
      </w:pPr>
      <w:bookmarkStart w:id="10" w:name="_Toc93511754"/>
      <w:r>
        <w:rPr>
          <w:rFonts w:hint="eastAsia" w:ascii="Times New Roman" w:hAnsi="Times New Roman"/>
          <w:color w:val="auto"/>
          <w:sz w:val="32"/>
          <w:szCs w:val="28"/>
        </w:rPr>
        <w:t>（二）公共卫生服务</w:t>
      </w:r>
      <w:r>
        <w:rPr>
          <w:rFonts w:hint="eastAsia" w:ascii="Times New Roman" w:hAnsi="Times New Roman"/>
          <w:color w:val="auto"/>
          <w:szCs w:val="28"/>
        </w:rPr>
        <w:t>能力</w:t>
      </w:r>
      <w:r>
        <w:rPr>
          <w:rFonts w:hint="eastAsia" w:ascii="Times New Roman" w:hAnsi="Times New Roman"/>
          <w:color w:val="auto"/>
          <w:sz w:val="32"/>
          <w:szCs w:val="28"/>
        </w:rPr>
        <w:t>仍待加强</w:t>
      </w:r>
      <w:bookmarkEnd w:id="10"/>
    </w:p>
    <w:p>
      <w:pPr>
        <w:adjustRightInd w:val="0"/>
        <w:snapToGrid w:val="0"/>
        <w:spacing w:before="46" w:beforeLines="15" w:after="46" w:afterLines="15" w:line="360" w:lineRule="auto"/>
        <w:ind w:firstLine="640" w:firstLineChars="200"/>
        <w:jc w:val="left"/>
        <w:rPr>
          <w:rFonts w:ascii="Times New Roman" w:hAnsi="Times New Roman" w:eastAsia="仿宋_GB2312" w:cs="Times New Roman"/>
          <w:color w:val="auto"/>
          <w:sz w:val="32"/>
          <w:szCs w:val="28"/>
        </w:rPr>
      </w:pPr>
      <w:r>
        <w:rPr>
          <w:rFonts w:hint="eastAsia" w:ascii="Times New Roman" w:hAnsi="Times New Roman" w:eastAsia="仿宋_GB2312" w:cs="Times New Roman"/>
          <w:bCs/>
          <w:color w:val="auto"/>
          <w:sz w:val="32"/>
          <w:szCs w:val="28"/>
        </w:rPr>
        <w:t>丰台区精神病防治院业务用房面积紧张，床位配置数量无法满足社会需求。</w:t>
      </w:r>
      <w:r>
        <w:rPr>
          <w:rFonts w:hint="eastAsia" w:ascii="Times New Roman" w:hAnsi="Times New Roman" w:eastAsia="仿宋_GB2312" w:cs="Times New Roman"/>
          <w:color w:val="auto"/>
          <w:sz w:val="32"/>
          <w:szCs w:val="28"/>
        </w:rPr>
        <w:t>新生儿死亡率、甲乙类传染病报告发病率等指标高于北京市平均水平。公共卫生事件监测与预警系统、检验检测实验室、应急资源储备等公共卫生应急体系建设存在薄弱环节。</w:t>
      </w:r>
    </w:p>
    <w:p>
      <w:pPr>
        <w:pStyle w:val="5"/>
        <w:tabs>
          <w:tab w:val="clear" w:pos="720"/>
        </w:tabs>
        <w:spacing w:before="0" w:after="0" w:line="360" w:lineRule="auto"/>
        <w:ind w:left="0" w:firstLine="643" w:firstLineChars="200"/>
        <w:jc w:val="both"/>
        <w:rPr>
          <w:rFonts w:ascii="Times New Roman" w:hAnsi="Times New Roman"/>
          <w:color w:val="auto"/>
          <w:sz w:val="32"/>
          <w:szCs w:val="28"/>
        </w:rPr>
      </w:pPr>
      <w:bookmarkStart w:id="11" w:name="_Toc93511755"/>
      <w:r>
        <w:rPr>
          <w:rFonts w:hint="eastAsia" w:ascii="Times New Roman" w:hAnsi="Times New Roman"/>
          <w:color w:val="auto"/>
          <w:sz w:val="32"/>
          <w:szCs w:val="28"/>
        </w:rPr>
        <w:t>（三）医疗</w:t>
      </w:r>
      <w:r>
        <w:rPr>
          <w:rFonts w:hint="eastAsia" w:ascii="Times New Roman" w:hAnsi="Times New Roman"/>
          <w:color w:val="auto"/>
          <w:szCs w:val="28"/>
        </w:rPr>
        <w:t>卫生</w:t>
      </w:r>
      <w:r>
        <w:rPr>
          <w:rFonts w:hint="eastAsia" w:ascii="Times New Roman" w:hAnsi="Times New Roman"/>
          <w:color w:val="auto"/>
          <w:sz w:val="32"/>
          <w:szCs w:val="28"/>
        </w:rPr>
        <w:t>服务体系均衡发展仍需改善</w:t>
      </w:r>
      <w:bookmarkEnd w:id="11"/>
    </w:p>
    <w:p>
      <w:pPr>
        <w:adjustRightInd w:val="0"/>
        <w:snapToGrid w:val="0"/>
        <w:spacing w:before="46" w:beforeLines="15" w:after="46" w:afterLines="15" w:line="360" w:lineRule="auto"/>
        <w:ind w:firstLine="640" w:firstLineChars="200"/>
        <w:jc w:val="left"/>
        <w:rPr>
          <w:rFonts w:ascii="Times New Roman" w:hAnsi="Times New Roman" w:eastAsia="仿宋_GB2312" w:cs="Times New Roman"/>
          <w:color w:val="auto"/>
          <w:sz w:val="32"/>
          <w:szCs w:val="28"/>
        </w:rPr>
      </w:pPr>
      <w:r>
        <w:rPr>
          <w:rFonts w:hint="eastAsia" w:ascii="Times New Roman" w:hAnsi="Times New Roman" w:eastAsia="仿宋_GB2312" w:cs="Times New Roman"/>
          <w:bCs/>
          <w:color w:val="auto"/>
          <w:sz w:val="32"/>
          <w:szCs w:val="28"/>
        </w:rPr>
        <w:t>全区医疗卫生机构神经、康复、中医、传染病等专科特色优势明显，但心脑血管等专科建设、体系综合服务能力需要进一步提高。院前急救呼叫满足率较低，急救站点布局尚存薄弱点。高效的上下联动、共享共赢的医联体</w:t>
      </w:r>
      <w:r>
        <w:rPr>
          <w:rFonts w:hint="eastAsia" w:ascii="Times New Roman" w:hAnsi="Times New Roman" w:eastAsia="仿宋_GB2312" w:cs="Times New Roman"/>
          <w:color w:val="auto"/>
          <w:sz w:val="32"/>
          <w:szCs w:val="28"/>
        </w:rPr>
        <w:t>双向转诊机制有待完善。</w:t>
      </w:r>
    </w:p>
    <w:p>
      <w:pPr>
        <w:pStyle w:val="5"/>
        <w:tabs>
          <w:tab w:val="clear" w:pos="720"/>
        </w:tabs>
        <w:spacing w:before="0" w:after="0" w:line="360" w:lineRule="auto"/>
        <w:ind w:left="0" w:firstLine="643" w:firstLineChars="200"/>
        <w:jc w:val="both"/>
        <w:rPr>
          <w:rFonts w:ascii="Times New Roman" w:hAnsi="Times New Roman"/>
          <w:color w:val="auto"/>
          <w:sz w:val="32"/>
          <w:szCs w:val="28"/>
        </w:rPr>
      </w:pPr>
      <w:bookmarkStart w:id="12" w:name="_Toc93511756"/>
      <w:r>
        <w:rPr>
          <w:rFonts w:hint="eastAsia" w:ascii="Times New Roman" w:hAnsi="Times New Roman"/>
          <w:color w:val="auto"/>
          <w:sz w:val="32"/>
          <w:szCs w:val="28"/>
        </w:rPr>
        <w:t>（四）基层医疗卫生服务短板仍较明显</w:t>
      </w:r>
      <w:bookmarkEnd w:id="12"/>
    </w:p>
    <w:p>
      <w:pPr>
        <w:adjustRightInd w:val="0"/>
        <w:snapToGrid w:val="0"/>
        <w:spacing w:before="46" w:beforeLines="15" w:after="46" w:afterLines="15" w:line="360" w:lineRule="auto"/>
        <w:ind w:firstLine="640" w:firstLineChars="200"/>
        <w:jc w:val="left"/>
        <w:rPr>
          <w:rFonts w:ascii="Times New Roman" w:hAnsi="Times New Roman" w:eastAsia="仿宋_GB2312" w:cs="Times New Roman"/>
          <w:bCs/>
          <w:color w:val="auto"/>
          <w:sz w:val="32"/>
          <w:szCs w:val="28"/>
        </w:rPr>
      </w:pPr>
      <w:r>
        <w:rPr>
          <w:rFonts w:hint="eastAsia" w:ascii="Times New Roman" w:hAnsi="Times New Roman" w:eastAsia="仿宋_GB2312" w:cs="Times New Roman"/>
          <w:bCs/>
          <w:color w:val="auto"/>
          <w:sz w:val="32"/>
          <w:szCs w:val="28"/>
        </w:rPr>
        <w:t>结合新的行政区划，需增建或调整多所社区卫生服务中心，工作任务重。现有社区卫生服务机构建筑空间不足、卫生技术人员配置少等问题突出。政府办社区卫生服务机构占比较低。中医药、康复、长期护理仍是综合服务能力中的弱项。</w:t>
      </w:r>
      <w:r>
        <w:rPr>
          <w:rFonts w:ascii="Times New Roman" w:hAnsi="Times New Roman" w:eastAsia="仿宋_GB2312" w:cs="Times New Roman"/>
          <w:bCs/>
          <w:color w:val="auto"/>
          <w:sz w:val="32"/>
          <w:szCs w:val="28"/>
          <w:highlight w:val="none"/>
        </w:rPr>
        <w:t>65</w:t>
      </w:r>
      <w:r>
        <w:rPr>
          <w:rFonts w:hint="eastAsia" w:ascii="Times New Roman" w:hAnsi="Times New Roman" w:eastAsia="仿宋_GB2312" w:cs="Times New Roman"/>
          <w:bCs/>
          <w:color w:val="auto"/>
          <w:sz w:val="32"/>
          <w:szCs w:val="28"/>
          <w:highlight w:val="none"/>
        </w:rPr>
        <w:t>岁及以上老年人的健康管理率等指标有待提升</w:t>
      </w:r>
      <w:r>
        <w:rPr>
          <w:rFonts w:hint="eastAsia" w:ascii="Times New Roman" w:hAnsi="Times New Roman" w:eastAsia="仿宋_GB2312" w:cs="Times New Roman"/>
          <w:bCs/>
          <w:color w:val="auto"/>
          <w:sz w:val="32"/>
          <w:szCs w:val="28"/>
        </w:rPr>
        <w:t>。</w:t>
      </w:r>
    </w:p>
    <w:p>
      <w:pPr>
        <w:pStyle w:val="5"/>
        <w:tabs>
          <w:tab w:val="clear" w:pos="720"/>
        </w:tabs>
        <w:spacing w:before="0" w:after="0" w:line="360" w:lineRule="auto"/>
        <w:ind w:left="0" w:firstLine="643" w:firstLineChars="200"/>
        <w:jc w:val="both"/>
        <w:rPr>
          <w:rFonts w:ascii="Times New Roman" w:hAnsi="Times New Roman"/>
          <w:color w:val="auto"/>
          <w:sz w:val="32"/>
          <w:szCs w:val="28"/>
        </w:rPr>
      </w:pPr>
      <w:bookmarkStart w:id="13" w:name="_Toc93511757"/>
      <w:r>
        <w:rPr>
          <w:rFonts w:hint="eastAsia" w:ascii="Times New Roman" w:hAnsi="Times New Roman"/>
          <w:color w:val="auto"/>
          <w:sz w:val="32"/>
          <w:szCs w:val="28"/>
        </w:rPr>
        <w:t>（五）卫生技术人员</w:t>
      </w:r>
      <w:r>
        <w:rPr>
          <w:rFonts w:hint="eastAsia" w:ascii="Times New Roman" w:hAnsi="Times New Roman"/>
          <w:color w:val="auto"/>
          <w:szCs w:val="28"/>
        </w:rPr>
        <w:t>不足问题仍较突出</w:t>
      </w:r>
      <w:bookmarkEnd w:id="13"/>
    </w:p>
    <w:p>
      <w:pPr>
        <w:adjustRightInd w:val="0"/>
        <w:snapToGrid w:val="0"/>
        <w:spacing w:before="46" w:beforeLines="15" w:after="46" w:afterLines="15" w:line="360" w:lineRule="auto"/>
        <w:ind w:firstLine="640" w:firstLineChars="200"/>
        <w:jc w:val="left"/>
        <w:rPr>
          <w:rFonts w:ascii="Times New Roman" w:hAnsi="Times New Roman" w:eastAsia="仿宋_GB2312" w:cs="Times New Roman"/>
          <w:color w:val="auto"/>
          <w:sz w:val="32"/>
          <w:szCs w:val="28"/>
        </w:rPr>
      </w:pPr>
      <w:r>
        <w:rPr>
          <w:rFonts w:hint="eastAsia" w:ascii="Times New Roman" w:hAnsi="Times New Roman" w:eastAsia="仿宋_GB2312" w:cs="Times New Roman"/>
          <w:color w:val="auto"/>
          <w:sz w:val="32"/>
          <w:szCs w:val="28"/>
        </w:rPr>
        <w:t>根据相关人力资源配置标准，专业精神卫生防治机构、疾病预防控制机构、社区卫生服务机构卫生技术人员配置缺口分别达到</w:t>
      </w:r>
      <w:r>
        <w:rPr>
          <w:rFonts w:ascii="Times New Roman" w:hAnsi="Times New Roman" w:eastAsia="仿宋_GB2312" w:cs="Times New Roman"/>
          <w:color w:val="auto"/>
          <w:sz w:val="32"/>
          <w:szCs w:val="28"/>
        </w:rPr>
        <w:t>80</w:t>
      </w:r>
      <w:r>
        <w:rPr>
          <w:rFonts w:hint="eastAsia" w:ascii="Times New Roman" w:hAnsi="Times New Roman" w:eastAsia="仿宋_GB2312" w:cs="Times New Roman"/>
          <w:color w:val="auto"/>
          <w:sz w:val="32"/>
          <w:szCs w:val="28"/>
        </w:rPr>
        <w:t>人、</w:t>
      </w:r>
      <w:r>
        <w:rPr>
          <w:rFonts w:ascii="Times New Roman" w:hAnsi="Times New Roman" w:eastAsia="仿宋_GB2312" w:cs="Times New Roman"/>
          <w:color w:val="auto"/>
          <w:sz w:val="32"/>
          <w:szCs w:val="28"/>
        </w:rPr>
        <w:t>100</w:t>
      </w:r>
      <w:r>
        <w:rPr>
          <w:rFonts w:hint="eastAsia" w:ascii="Times New Roman" w:hAnsi="Times New Roman" w:eastAsia="仿宋_GB2312" w:cs="Times New Roman"/>
          <w:color w:val="auto"/>
          <w:sz w:val="32"/>
          <w:szCs w:val="28"/>
        </w:rPr>
        <w:t>人和</w:t>
      </w:r>
      <w:r>
        <w:rPr>
          <w:rFonts w:ascii="Times New Roman" w:hAnsi="Times New Roman" w:eastAsia="仿宋_GB2312" w:cs="Times New Roman"/>
          <w:color w:val="auto"/>
          <w:sz w:val="32"/>
          <w:szCs w:val="28"/>
        </w:rPr>
        <w:t>1300</w:t>
      </w:r>
      <w:r>
        <w:rPr>
          <w:rFonts w:hint="eastAsia" w:ascii="Times New Roman" w:hAnsi="Times New Roman" w:eastAsia="仿宋_GB2312" w:cs="Times New Roman"/>
          <w:color w:val="auto"/>
          <w:sz w:val="32"/>
          <w:szCs w:val="28"/>
        </w:rPr>
        <w:t>人左右。在现有卫生技术人员中，博士学位占比为</w:t>
      </w:r>
      <w:r>
        <w:rPr>
          <w:rFonts w:ascii="Times New Roman" w:hAnsi="Times New Roman" w:eastAsia="仿宋_GB2312" w:cs="Times New Roman"/>
          <w:color w:val="auto"/>
          <w:sz w:val="32"/>
          <w:szCs w:val="28"/>
        </w:rPr>
        <w:t>3.11%</w:t>
      </w:r>
      <w:r>
        <w:rPr>
          <w:rFonts w:hint="eastAsia" w:ascii="Times New Roman" w:hAnsi="Times New Roman" w:eastAsia="仿宋_GB2312" w:cs="Times New Roman"/>
          <w:color w:val="auto"/>
          <w:sz w:val="32"/>
          <w:szCs w:val="28"/>
        </w:rPr>
        <w:t>，高级职称占比为</w:t>
      </w:r>
      <w:r>
        <w:rPr>
          <w:rFonts w:ascii="Times New Roman" w:hAnsi="Times New Roman" w:eastAsia="仿宋_GB2312" w:cs="Times New Roman"/>
          <w:color w:val="auto"/>
          <w:sz w:val="32"/>
          <w:szCs w:val="28"/>
        </w:rPr>
        <w:t>6.1%</w:t>
      </w:r>
      <w:r>
        <w:rPr>
          <w:rFonts w:hint="eastAsia" w:ascii="Times New Roman" w:hAnsi="Times New Roman" w:eastAsia="仿宋_GB2312" w:cs="Times New Roman"/>
          <w:color w:val="auto"/>
          <w:sz w:val="32"/>
          <w:szCs w:val="28"/>
        </w:rPr>
        <w:t>，低于全市平均水平。区属医院中有影响力的领军人才、骨干人才数量仍然不足。</w:t>
      </w:r>
    </w:p>
    <w:p>
      <w:pPr>
        <w:pStyle w:val="3"/>
        <w:spacing w:line="360" w:lineRule="auto"/>
        <w:ind w:firstLine="723" w:firstLineChars="200"/>
        <w:jc w:val="both"/>
        <w:rPr>
          <w:rFonts w:ascii="楷体" w:hAnsi="楷体" w:eastAsia="楷体"/>
          <w:color w:val="auto"/>
          <w:sz w:val="36"/>
          <w:szCs w:val="28"/>
        </w:rPr>
      </w:pPr>
      <w:bookmarkStart w:id="14" w:name="_Toc93511758"/>
      <w:r>
        <w:rPr>
          <w:rFonts w:ascii="楷体" w:hAnsi="楷体" w:eastAsia="楷体"/>
          <w:color w:val="auto"/>
          <w:sz w:val="36"/>
          <w:szCs w:val="28"/>
        </w:rPr>
        <w:t>三、面临的形势与挑战</w:t>
      </w:r>
      <w:bookmarkEnd w:id="14"/>
    </w:p>
    <w:p>
      <w:pPr>
        <w:adjustRightInd w:val="0"/>
        <w:snapToGrid w:val="0"/>
        <w:spacing w:before="46" w:beforeLines="15" w:after="46" w:afterLines="15" w:line="360" w:lineRule="auto"/>
        <w:ind w:firstLine="640" w:firstLineChars="200"/>
        <w:jc w:val="left"/>
        <w:rPr>
          <w:rFonts w:ascii="Times New Roman" w:hAnsi="Times New Roman" w:eastAsia="仿宋_GB2312" w:cs="Times New Roman"/>
          <w:color w:val="auto"/>
          <w:sz w:val="32"/>
          <w:szCs w:val="28"/>
        </w:rPr>
      </w:pPr>
      <w:r>
        <w:rPr>
          <w:rFonts w:hint="eastAsia" w:ascii="Times New Roman" w:hAnsi="Times New Roman" w:eastAsia="仿宋_GB2312" w:cs="Times New Roman"/>
          <w:color w:val="auto"/>
          <w:sz w:val="32"/>
          <w:szCs w:val="28"/>
        </w:rPr>
        <w:t>健康北京建设进入重要的战略机遇期，卫生系统面临着发展任务重、发展基础薄弱等挑战。“十四五”时期必须通过全面深化医药卫生体制改革、转变发展方式、充分利用新发展动能，推动卫生健康事业高质量发展。</w:t>
      </w:r>
    </w:p>
    <w:p>
      <w:pPr>
        <w:pStyle w:val="5"/>
        <w:tabs>
          <w:tab w:val="clear" w:pos="720"/>
        </w:tabs>
        <w:spacing w:before="0" w:after="0" w:line="360" w:lineRule="auto"/>
        <w:ind w:left="0" w:firstLine="643" w:firstLineChars="200"/>
        <w:jc w:val="both"/>
        <w:rPr>
          <w:rFonts w:ascii="Times New Roman" w:hAnsi="Times New Roman"/>
          <w:color w:val="auto"/>
          <w:sz w:val="32"/>
          <w:szCs w:val="28"/>
        </w:rPr>
      </w:pPr>
      <w:bookmarkStart w:id="15" w:name="_Toc93511759"/>
      <w:r>
        <w:rPr>
          <w:rFonts w:hint="eastAsia" w:ascii="Times New Roman" w:hAnsi="Times New Roman"/>
          <w:color w:val="auto"/>
          <w:sz w:val="32"/>
          <w:szCs w:val="28"/>
        </w:rPr>
        <w:t>（一）面临的形势</w:t>
      </w:r>
      <w:bookmarkEnd w:id="15"/>
    </w:p>
    <w:p>
      <w:pPr>
        <w:adjustRightInd w:val="0"/>
        <w:snapToGrid w:val="0"/>
        <w:spacing w:before="46" w:beforeLines="15" w:after="46" w:afterLines="15" w:line="360" w:lineRule="auto"/>
        <w:ind w:firstLine="640" w:firstLineChars="200"/>
        <w:jc w:val="left"/>
        <w:rPr>
          <w:rFonts w:ascii="Times New Roman" w:hAnsi="Times New Roman" w:eastAsia="仿宋_GB2312" w:cs="Times New Roman"/>
          <w:color w:val="auto"/>
          <w:sz w:val="32"/>
          <w:szCs w:val="28"/>
        </w:rPr>
      </w:pPr>
      <w:r>
        <w:rPr>
          <w:rFonts w:hint="eastAsia" w:ascii="Times New Roman" w:hAnsi="Times New Roman" w:eastAsia="仿宋_GB2312" w:cs="Times New Roman"/>
          <w:color w:val="auto"/>
          <w:sz w:val="32"/>
          <w:szCs w:val="28"/>
        </w:rPr>
        <w:t>一是卫生健康事业发展必须坚持底线思维，坚持人民至上，生命至上，“以人民健康为中心”，做实做细做强做大医疗卫生工作，筑牢卫生应急和疫情防控屏障，有效应对各类挑战。</w:t>
      </w:r>
    </w:p>
    <w:p>
      <w:pPr>
        <w:adjustRightInd w:val="0"/>
        <w:snapToGrid w:val="0"/>
        <w:spacing w:before="46" w:beforeLines="15" w:after="46" w:afterLines="15" w:line="360" w:lineRule="auto"/>
        <w:ind w:firstLine="640" w:firstLineChars="200"/>
        <w:jc w:val="left"/>
        <w:rPr>
          <w:rFonts w:ascii="Times New Roman" w:hAnsi="Times New Roman" w:eastAsia="仿宋_GB2312" w:cs="Times New Roman"/>
          <w:color w:val="auto"/>
          <w:sz w:val="32"/>
          <w:szCs w:val="28"/>
        </w:rPr>
      </w:pPr>
      <w:r>
        <w:rPr>
          <w:rFonts w:hint="eastAsia" w:ascii="Times New Roman" w:hAnsi="Times New Roman" w:eastAsia="仿宋_GB2312" w:cs="Times New Roman"/>
          <w:color w:val="auto"/>
          <w:sz w:val="32"/>
          <w:szCs w:val="28"/>
        </w:rPr>
        <w:t>二是大数据、人工智能、物联网等新技术进一步与卫生健康服务相融合，</w:t>
      </w:r>
      <w:r>
        <w:rPr>
          <w:rFonts w:ascii="仿宋" w:hAnsi="仿宋" w:eastAsia="仿宋_GB2312" w:cs="Times New Roman"/>
          <w:color w:val="auto"/>
          <w:sz w:val="32"/>
          <w:szCs w:val="28"/>
        </w:rPr>
        <w:t>“</w:t>
      </w:r>
      <w:r>
        <w:rPr>
          <w:rFonts w:hint="eastAsia" w:ascii="Times New Roman" w:hAnsi="Times New Roman" w:eastAsia="仿宋_GB2312" w:cs="Times New Roman"/>
          <w:color w:val="auto"/>
          <w:sz w:val="32"/>
          <w:szCs w:val="28"/>
        </w:rPr>
        <w:t>互联网</w:t>
      </w:r>
      <w:r>
        <w:rPr>
          <w:rFonts w:ascii="Times New Roman" w:hAnsi="Times New Roman" w:eastAsia="仿宋_GB2312" w:cs="Times New Roman"/>
          <w:color w:val="auto"/>
          <w:sz w:val="32"/>
          <w:szCs w:val="28"/>
        </w:rPr>
        <w:t>+</w:t>
      </w:r>
      <w:r>
        <w:rPr>
          <w:rFonts w:ascii="仿宋" w:hAnsi="仿宋" w:eastAsia="仿宋_GB2312" w:cs="Times New Roman"/>
          <w:color w:val="auto"/>
          <w:sz w:val="32"/>
          <w:szCs w:val="28"/>
        </w:rPr>
        <w:t>”</w:t>
      </w:r>
      <w:r>
        <w:rPr>
          <w:rFonts w:hint="eastAsia" w:ascii="Times New Roman" w:hAnsi="Times New Roman" w:eastAsia="仿宋_GB2312" w:cs="Times New Roman"/>
          <w:color w:val="auto"/>
          <w:sz w:val="32"/>
          <w:szCs w:val="28"/>
        </w:rPr>
        <w:t>等新健康业态发展迅速，高新技术不断涌现，为卫生健康事业提质增效注入新动能。</w:t>
      </w:r>
    </w:p>
    <w:p>
      <w:pPr>
        <w:adjustRightInd w:val="0"/>
        <w:snapToGrid w:val="0"/>
        <w:spacing w:before="46" w:beforeLines="15" w:after="46" w:afterLines="15" w:line="360" w:lineRule="auto"/>
        <w:ind w:firstLine="640" w:firstLineChars="200"/>
        <w:jc w:val="left"/>
        <w:rPr>
          <w:rFonts w:ascii="Times New Roman" w:hAnsi="Times New Roman" w:eastAsia="仿宋_GB2312" w:cs="Times New Roman"/>
          <w:color w:val="auto"/>
          <w:sz w:val="32"/>
          <w:szCs w:val="28"/>
        </w:rPr>
      </w:pPr>
      <w:r>
        <w:rPr>
          <w:rFonts w:hint="eastAsia" w:ascii="Times New Roman" w:hAnsi="Times New Roman" w:eastAsia="仿宋_GB2312" w:cs="Times New Roman"/>
          <w:color w:val="auto"/>
          <w:sz w:val="32"/>
          <w:szCs w:val="28"/>
        </w:rPr>
        <w:t>三是丰台区作为首都中心城区和首都核心功能主承载区，卫生健康事业发展需要站在更高远的视角，做好统筹谋划，围绕服务北京“四个中心”建设，提供更高质量健康保障。</w:t>
      </w:r>
    </w:p>
    <w:p>
      <w:pPr>
        <w:pStyle w:val="5"/>
        <w:tabs>
          <w:tab w:val="clear" w:pos="720"/>
        </w:tabs>
        <w:spacing w:before="0" w:after="0" w:line="360" w:lineRule="auto"/>
        <w:ind w:left="0" w:firstLine="643" w:firstLineChars="200"/>
        <w:jc w:val="both"/>
        <w:rPr>
          <w:rFonts w:ascii="Times New Roman" w:hAnsi="Times New Roman"/>
          <w:color w:val="auto"/>
          <w:sz w:val="32"/>
          <w:szCs w:val="28"/>
        </w:rPr>
      </w:pPr>
      <w:bookmarkStart w:id="16" w:name="_Toc93511760"/>
      <w:r>
        <w:rPr>
          <w:rFonts w:hint="eastAsia" w:ascii="Times New Roman" w:hAnsi="Times New Roman"/>
          <w:color w:val="auto"/>
          <w:sz w:val="32"/>
          <w:szCs w:val="28"/>
        </w:rPr>
        <w:t>（二）面临的挑战</w:t>
      </w:r>
      <w:bookmarkEnd w:id="16"/>
    </w:p>
    <w:p>
      <w:pPr>
        <w:adjustRightInd w:val="0"/>
        <w:snapToGrid w:val="0"/>
        <w:spacing w:before="46" w:beforeLines="15" w:after="46" w:afterLines="15" w:line="360" w:lineRule="auto"/>
        <w:ind w:firstLine="640" w:firstLineChars="200"/>
        <w:jc w:val="left"/>
        <w:rPr>
          <w:rFonts w:ascii="Times New Roman" w:hAnsi="Times New Roman" w:eastAsia="仿宋_GB2312" w:cs="Times New Roman"/>
          <w:color w:val="auto"/>
          <w:sz w:val="32"/>
          <w:szCs w:val="28"/>
        </w:rPr>
      </w:pPr>
      <w:r>
        <w:rPr>
          <w:rFonts w:hint="eastAsia" w:ascii="Times New Roman" w:hAnsi="Times New Roman" w:eastAsia="仿宋_GB2312" w:cs="Times New Roman"/>
          <w:color w:val="auto"/>
          <w:sz w:val="32"/>
          <w:szCs w:val="28"/>
        </w:rPr>
        <w:t>一是全区人口老龄化程度显著高于全市平均水平，</w:t>
      </w:r>
      <w:r>
        <w:rPr>
          <w:rFonts w:ascii="Times New Roman" w:hAnsi="Times New Roman" w:eastAsia="仿宋_GB2312" w:cs="Times New Roman"/>
          <w:color w:val="auto"/>
          <w:sz w:val="32"/>
          <w:szCs w:val="28"/>
        </w:rPr>
        <w:t>2020</w:t>
      </w:r>
      <w:r>
        <w:rPr>
          <w:rFonts w:hint="eastAsia" w:ascii="Times New Roman" w:hAnsi="Times New Roman" w:eastAsia="仿宋_GB2312" w:cs="Times New Roman"/>
          <w:color w:val="auto"/>
          <w:sz w:val="32"/>
          <w:szCs w:val="28"/>
        </w:rPr>
        <w:t>年</w:t>
      </w:r>
      <w:r>
        <w:rPr>
          <w:rFonts w:ascii="Times New Roman" w:hAnsi="Times New Roman" w:eastAsia="仿宋_GB2312" w:cs="Times New Roman"/>
          <w:color w:val="auto"/>
          <w:sz w:val="32"/>
          <w:szCs w:val="28"/>
        </w:rPr>
        <w:t>65</w:t>
      </w:r>
      <w:r>
        <w:rPr>
          <w:rFonts w:hint="eastAsia" w:ascii="Times New Roman" w:hAnsi="Times New Roman" w:eastAsia="仿宋_GB2312" w:cs="Times New Roman"/>
          <w:color w:val="auto"/>
          <w:sz w:val="32"/>
          <w:szCs w:val="28"/>
        </w:rPr>
        <w:t>岁及以上人口比例已经达到</w:t>
      </w:r>
      <w:r>
        <w:rPr>
          <w:rFonts w:ascii="Times New Roman" w:hAnsi="Times New Roman" w:eastAsia="仿宋_GB2312" w:cs="Times New Roman"/>
          <w:color w:val="auto"/>
          <w:sz w:val="32"/>
          <w:szCs w:val="28"/>
        </w:rPr>
        <w:t>15.8%</w:t>
      </w:r>
      <w:r>
        <w:rPr>
          <w:rFonts w:hint="eastAsia" w:ascii="Times New Roman" w:hAnsi="Times New Roman" w:eastAsia="仿宋_GB2312" w:cs="Times New Roman"/>
          <w:color w:val="auto"/>
          <w:sz w:val="32"/>
          <w:szCs w:val="28"/>
        </w:rPr>
        <w:t>，未来仍会持续攀升。医养结合工作、老年健康服务工作压力不断加重。</w:t>
      </w:r>
    </w:p>
    <w:p>
      <w:pPr>
        <w:adjustRightInd w:val="0"/>
        <w:snapToGrid w:val="0"/>
        <w:spacing w:before="46" w:beforeLines="15" w:after="46" w:afterLines="15" w:line="360" w:lineRule="auto"/>
        <w:ind w:firstLine="640" w:firstLineChars="200"/>
        <w:jc w:val="left"/>
        <w:rPr>
          <w:rFonts w:ascii="Times New Roman" w:hAnsi="Times New Roman" w:eastAsia="仿宋_GB2312" w:cs="Times New Roman"/>
          <w:color w:val="auto"/>
          <w:sz w:val="32"/>
          <w:szCs w:val="28"/>
        </w:rPr>
      </w:pPr>
      <w:r>
        <w:rPr>
          <w:rFonts w:hint="eastAsia" w:ascii="Times New Roman" w:hAnsi="Times New Roman" w:eastAsia="仿宋_GB2312" w:cs="Times New Roman"/>
          <w:color w:val="auto"/>
          <w:sz w:val="32"/>
          <w:szCs w:val="28"/>
        </w:rPr>
        <w:t>二是卫生健康需求不断提高，心脑血管疾病、恶性肿瘤等慢性疾病患病率持续增加。疫情常态化防控及新发传染病防控工作不可忽视。群众健康意识提升，多层次多样化健康需求持续快速增长。</w:t>
      </w:r>
    </w:p>
    <w:p>
      <w:pPr>
        <w:adjustRightInd w:val="0"/>
        <w:snapToGrid w:val="0"/>
        <w:spacing w:before="46" w:beforeLines="15" w:after="46" w:afterLines="15" w:line="360" w:lineRule="auto"/>
        <w:ind w:firstLine="640" w:firstLineChars="200"/>
        <w:jc w:val="left"/>
        <w:rPr>
          <w:rFonts w:ascii="Times New Roman" w:hAnsi="Times New Roman" w:eastAsia="仿宋_GB2312" w:cs="Times New Roman"/>
          <w:color w:val="auto"/>
          <w:sz w:val="32"/>
          <w:szCs w:val="28"/>
        </w:rPr>
      </w:pPr>
      <w:r>
        <w:rPr>
          <w:rFonts w:hint="eastAsia" w:ascii="Times New Roman" w:hAnsi="Times New Roman" w:eastAsia="仿宋_GB2312" w:cs="Times New Roman"/>
          <w:color w:val="auto"/>
          <w:sz w:val="32"/>
          <w:szCs w:val="28"/>
        </w:rPr>
        <w:t>三是东西部经济发展、人口分布不均衡等客观情况将长期存在。河西地区卫生健康资源配置基础薄弱、服务体系和服务能力相对不足。改善上述不平衡的状况面临较大挑战。</w:t>
      </w:r>
      <w:bookmarkStart w:id="17" w:name="_Toc43381647"/>
    </w:p>
    <w:bookmarkEnd w:id="17"/>
    <w:p>
      <w:pPr>
        <w:pStyle w:val="2"/>
        <w:numPr>
          <w:ilvl w:val="0"/>
          <w:numId w:val="0"/>
        </w:numPr>
        <w:spacing w:after="156" w:afterLines="50"/>
        <w:rPr>
          <w:rFonts w:ascii="Times New Roman" w:hAnsi="Times New Roman"/>
          <w:color w:val="auto"/>
          <w:sz w:val="40"/>
          <w:szCs w:val="28"/>
        </w:rPr>
      </w:pPr>
      <w:bookmarkStart w:id="18" w:name="_Toc93511761"/>
      <w:r>
        <w:rPr>
          <w:rFonts w:hint="eastAsia" w:ascii="Times New Roman" w:hAnsi="Times New Roman"/>
          <w:color w:val="auto"/>
          <w:sz w:val="40"/>
          <w:szCs w:val="28"/>
        </w:rPr>
        <w:t>第二章</w:t>
      </w:r>
      <w:r>
        <w:rPr>
          <w:rFonts w:ascii="Times New Roman" w:hAnsi="Times New Roman"/>
          <w:color w:val="auto"/>
          <w:sz w:val="40"/>
          <w:szCs w:val="28"/>
        </w:rPr>
        <w:t xml:space="preserve"> </w:t>
      </w:r>
      <w:r>
        <w:rPr>
          <w:rFonts w:hint="eastAsia" w:ascii="Times New Roman" w:hAnsi="Times New Roman"/>
          <w:color w:val="auto"/>
          <w:sz w:val="40"/>
          <w:szCs w:val="28"/>
        </w:rPr>
        <w:t>指导思想与目标</w:t>
      </w:r>
      <w:bookmarkEnd w:id="18"/>
    </w:p>
    <w:p>
      <w:pPr>
        <w:pStyle w:val="3"/>
        <w:spacing w:line="360" w:lineRule="auto"/>
        <w:ind w:firstLine="723" w:firstLineChars="200"/>
        <w:jc w:val="both"/>
        <w:rPr>
          <w:rFonts w:ascii="楷体" w:hAnsi="楷体" w:eastAsia="楷体"/>
          <w:color w:val="auto"/>
          <w:sz w:val="36"/>
          <w:szCs w:val="28"/>
        </w:rPr>
      </w:pPr>
      <w:bookmarkStart w:id="19" w:name="_Toc93511762"/>
      <w:r>
        <w:rPr>
          <w:rFonts w:ascii="楷体" w:hAnsi="楷体" w:eastAsia="楷体"/>
          <w:color w:val="auto"/>
          <w:sz w:val="36"/>
          <w:szCs w:val="28"/>
        </w:rPr>
        <w:t>一、指导思想</w:t>
      </w:r>
      <w:bookmarkEnd w:id="19"/>
    </w:p>
    <w:p>
      <w:pPr>
        <w:adjustRightInd w:val="0"/>
        <w:snapToGrid w:val="0"/>
        <w:spacing w:before="46" w:beforeLines="15" w:after="46" w:afterLines="15" w:line="360" w:lineRule="auto"/>
        <w:ind w:firstLine="640" w:firstLineChars="200"/>
        <w:jc w:val="left"/>
        <w:rPr>
          <w:rFonts w:ascii="Times New Roman" w:hAnsi="Times New Roman" w:eastAsia="仿宋_GB2312" w:cs="Times New Roman"/>
          <w:color w:val="auto"/>
          <w:sz w:val="32"/>
          <w:szCs w:val="28"/>
        </w:rPr>
      </w:pPr>
      <w:r>
        <w:rPr>
          <w:rFonts w:hint="eastAsia" w:ascii="Times New Roman" w:hAnsi="Times New Roman" w:eastAsia="仿宋_GB2312" w:cs="Times New Roman"/>
          <w:color w:val="auto"/>
          <w:sz w:val="32"/>
          <w:szCs w:val="28"/>
        </w:rPr>
        <w:t>高举中国特色社会主义伟大旗帜，坚持以习近平新时代中国特色社会主义思想为指导，深入贯彻党的十九大和十九届历次全</w:t>
      </w:r>
      <w:r>
        <w:rPr>
          <w:rFonts w:ascii="仿宋" w:hAnsi="仿宋" w:eastAsia="仿宋_GB2312" w:cs="Times New Roman"/>
          <w:color w:val="auto"/>
          <w:sz w:val="32"/>
          <w:szCs w:val="28"/>
        </w:rPr>
        <w:t>会精神</w:t>
      </w:r>
      <w:r>
        <w:rPr>
          <w:rFonts w:hint="eastAsia" w:ascii="仿宋" w:hAnsi="仿宋" w:eastAsia="仿宋_GB2312" w:cs="Times New Roman"/>
          <w:color w:val="auto"/>
          <w:sz w:val="32"/>
          <w:szCs w:val="28"/>
        </w:rPr>
        <w:t>，坚定不移贯彻新发展理念，构建新发展格局。</w:t>
      </w:r>
      <w:r>
        <w:rPr>
          <w:rFonts w:ascii="仿宋" w:hAnsi="仿宋" w:eastAsia="仿宋_GB2312" w:cs="Times New Roman"/>
          <w:color w:val="auto"/>
          <w:sz w:val="32"/>
          <w:szCs w:val="28"/>
        </w:rPr>
        <w:t>紧紧围绕首都加强“四个中心”建设的战略布局、提高“四个服务”水平</w:t>
      </w:r>
      <w:r>
        <w:rPr>
          <w:rFonts w:hint="eastAsia" w:ascii="Times New Roman" w:hAnsi="Times New Roman" w:eastAsia="仿宋_GB2312" w:cs="Times New Roman"/>
          <w:color w:val="auto"/>
          <w:sz w:val="32"/>
          <w:szCs w:val="28"/>
        </w:rPr>
        <w:t>的总体安排，按照北京城市总体规划、健康北京、京津冀协同发展、丰台分区规划等基本要求，坚持把保障人民健康放在优先发展的战略位置，全面深化医药卫生体制改革、优化卫生资源配置，不断创新体制机制，推动卫生健康治理体系和治理能力现代化，为区域发展提供高效、优质的公共卫生安全保障和医疗卫生服务。瞄准基本实现社会主义现代化、构建人类卫生健康命运共同体等国家中长期战略发展目标，立足本区优势和基础，抓住机遇、扬长补短、应对挑战、奋勇前进，开创卫生健康事业发展新格局，为全面建设社会主义现代化卫生健康体系开好局、起好步。</w:t>
      </w:r>
    </w:p>
    <w:p>
      <w:pPr>
        <w:pStyle w:val="3"/>
        <w:spacing w:line="360" w:lineRule="auto"/>
        <w:ind w:firstLine="723" w:firstLineChars="200"/>
        <w:jc w:val="both"/>
        <w:rPr>
          <w:rFonts w:ascii="楷体" w:hAnsi="楷体" w:eastAsia="楷体"/>
          <w:color w:val="auto"/>
          <w:sz w:val="36"/>
          <w:szCs w:val="28"/>
        </w:rPr>
      </w:pPr>
      <w:bookmarkStart w:id="20" w:name="_Toc93511763"/>
      <w:r>
        <w:rPr>
          <w:rFonts w:ascii="楷体" w:hAnsi="楷体" w:eastAsia="楷体"/>
          <w:color w:val="auto"/>
          <w:sz w:val="36"/>
          <w:szCs w:val="28"/>
        </w:rPr>
        <w:t>二、发展原则</w:t>
      </w:r>
      <w:bookmarkEnd w:id="20"/>
    </w:p>
    <w:p>
      <w:pPr>
        <w:pStyle w:val="5"/>
        <w:tabs>
          <w:tab w:val="clear" w:pos="720"/>
        </w:tabs>
        <w:spacing w:before="0" w:after="0" w:line="360" w:lineRule="auto"/>
        <w:ind w:left="0" w:firstLine="643" w:firstLineChars="200"/>
        <w:jc w:val="both"/>
        <w:rPr>
          <w:rFonts w:ascii="Times New Roman" w:hAnsi="Times New Roman"/>
          <w:color w:val="auto"/>
          <w:sz w:val="32"/>
          <w:szCs w:val="28"/>
        </w:rPr>
      </w:pPr>
      <w:bookmarkStart w:id="21" w:name="_Toc93511764"/>
      <w:r>
        <w:rPr>
          <w:rFonts w:hint="eastAsia" w:ascii="Times New Roman" w:hAnsi="Times New Roman"/>
          <w:color w:val="auto"/>
          <w:sz w:val="32"/>
          <w:szCs w:val="28"/>
        </w:rPr>
        <w:t>（一）坚持党的领导，发挥特色制度优势</w:t>
      </w:r>
      <w:bookmarkEnd w:id="21"/>
    </w:p>
    <w:p>
      <w:pPr>
        <w:adjustRightInd w:val="0"/>
        <w:snapToGrid w:val="0"/>
        <w:spacing w:before="46" w:beforeLines="15" w:after="46" w:afterLines="15" w:line="360" w:lineRule="auto"/>
        <w:ind w:firstLine="640" w:firstLineChars="200"/>
        <w:jc w:val="left"/>
        <w:rPr>
          <w:color w:val="auto"/>
          <w:sz w:val="22"/>
        </w:rPr>
      </w:pPr>
      <w:r>
        <w:rPr>
          <w:rFonts w:hint="eastAsia" w:ascii="Times New Roman" w:hAnsi="Times New Roman" w:eastAsia="仿宋_GB2312" w:cs="Times New Roman"/>
          <w:color w:val="auto"/>
          <w:sz w:val="32"/>
          <w:szCs w:val="28"/>
        </w:rPr>
        <w:t>坚持党的全面领导，发挥党把方向、谋大局、定政策、促改革</w:t>
      </w:r>
      <w:r>
        <w:rPr>
          <w:rFonts w:hint="eastAsia" w:ascii="Times New Roman" w:hAnsi="Times New Roman" w:eastAsia="仿宋_GB2312" w:cs="Times New Roman"/>
          <w:color w:val="auto"/>
          <w:sz w:val="32"/>
          <w:szCs w:val="28"/>
          <w:shd w:val="clear" w:color="auto" w:fill="auto"/>
        </w:rPr>
        <w:t>、保落实的</w:t>
      </w:r>
      <w:r>
        <w:rPr>
          <w:rFonts w:hint="eastAsia" w:ascii="Times New Roman" w:hAnsi="Times New Roman" w:eastAsia="仿宋_GB2312" w:cs="Times New Roman"/>
          <w:color w:val="auto"/>
          <w:sz w:val="32"/>
          <w:szCs w:val="28"/>
        </w:rPr>
        <w:t>核心领导作用，增强“四个意识”、坚定“四个自信”、做到“两个维护”，</w:t>
      </w:r>
      <w:r>
        <w:rPr>
          <w:rFonts w:hint="eastAsia" w:ascii="Times New Roman" w:hAnsi="Times New Roman" w:eastAsia="仿宋_GB2312" w:cs="Times New Roman"/>
          <w:color w:val="auto"/>
          <w:sz w:val="32"/>
          <w:szCs w:val="28"/>
          <w:shd w:val="clear" w:color="auto" w:fill="auto"/>
        </w:rPr>
        <w:t>贯彻落实党的卫生健康工作方针，</w:t>
      </w:r>
      <w:r>
        <w:rPr>
          <w:rFonts w:hint="eastAsia" w:ascii="Times New Roman" w:hAnsi="Times New Roman" w:eastAsia="仿宋_GB2312" w:cs="Times New Roman"/>
          <w:color w:val="auto"/>
          <w:sz w:val="32"/>
          <w:szCs w:val="28"/>
        </w:rPr>
        <w:t>为实现卫生健康事业高质量发展提供根本保证。</w:t>
      </w:r>
    </w:p>
    <w:p>
      <w:pPr>
        <w:pStyle w:val="5"/>
        <w:tabs>
          <w:tab w:val="clear" w:pos="720"/>
        </w:tabs>
        <w:spacing w:before="0" w:after="0" w:line="360" w:lineRule="auto"/>
        <w:ind w:left="0" w:firstLine="643" w:firstLineChars="200"/>
        <w:jc w:val="both"/>
        <w:rPr>
          <w:rFonts w:ascii="Times New Roman" w:hAnsi="Times New Roman"/>
          <w:color w:val="auto"/>
          <w:sz w:val="32"/>
          <w:szCs w:val="28"/>
        </w:rPr>
      </w:pPr>
      <w:bookmarkStart w:id="22" w:name="_Toc93511765"/>
      <w:r>
        <w:rPr>
          <w:rFonts w:hint="eastAsia" w:ascii="Times New Roman" w:hAnsi="Times New Roman"/>
          <w:color w:val="auto"/>
          <w:sz w:val="32"/>
          <w:szCs w:val="28"/>
        </w:rPr>
        <w:t>（二）坚持健康优先，人民至上生命至上</w:t>
      </w:r>
      <w:bookmarkEnd w:id="22"/>
    </w:p>
    <w:p>
      <w:pPr>
        <w:adjustRightInd w:val="0"/>
        <w:snapToGrid w:val="0"/>
        <w:spacing w:before="46" w:beforeLines="15" w:after="46" w:afterLines="15" w:line="360" w:lineRule="auto"/>
        <w:ind w:firstLine="640" w:firstLineChars="200"/>
        <w:jc w:val="left"/>
        <w:rPr>
          <w:rFonts w:ascii="Times New Roman" w:hAnsi="Times New Roman" w:eastAsia="仿宋_GB2312" w:cs="Times New Roman"/>
          <w:color w:val="auto"/>
          <w:sz w:val="32"/>
          <w:szCs w:val="28"/>
        </w:rPr>
      </w:pPr>
      <w:r>
        <w:rPr>
          <w:rFonts w:hint="eastAsia" w:ascii="Times New Roman" w:hAnsi="Times New Roman" w:eastAsia="仿宋_GB2312" w:cs="Times New Roman"/>
          <w:color w:val="auto"/>
          <w:sz w:val="32"/>
          <w:szCs w:val="28"/>
        </w:rPr>
        <w:t>坚持人民主体地位，落实健康优先发展战略，将</w:t>
      </w:r>
      <w:r>
        <w:rPr>
          <w:rFonts w:ascii="仿宋" w:hAnsi="仿宋" w:eastAsia="仿宋_GB2312" w:cs="Times New Roman"/>
          <w:color w:val="auto"/>
          <w:sz w:val="32"/>
          <w:szCs w:val="28"/>
        </w:rPr>
        <w:t>保障</w:t>
      </w:r>
      <w:r>
        <w:rPr>
          <w:rFonts w:hint="eastAsia" w:ascii="Times New Roman" w:hAnsi="Times New Roman" w:eastAsia="仿宋_GB2312" w:cs="Times New Roman"/>
          <w:color w:val="auto"/>
          <w:sz w:val="32"/>
          <w:szCs w:val="28"/>
        </w:rPr>
        <w:t>和促进人民健康作为工作的出发点和落脚点，促进健康融入公共政策制定实施全过程。全方位强化卫生健康工作，优先配置各种资源，以健康发展带动全局工作，实现经济社会良性平稳运行。</w:t>
      </w:r>
    </w:p>
    <w:p>
      <w:pPr>
        <w:pStyle w:val="5"/>
        <w:tabs>
          <w:tab w:val="clear" w:pos="720"/>
        </w:tabs>
        <w:spacing w:before="0" w:after="0" w:line="360" w:lineRule="auto"/>
        <w:ind w:left="0" w:firstLine="643" w:firstLineChars="200"/>
        <w:jc w:val="both"/>
        <w:rPr>
          <w:rFonts w:ascii="Times New Roman" w:hAnsi="Times New Roman"/>
          <w:color w:val="auto"/>
          <w:sz w:val="32"/>
          <w:szCs w:val="28"/>
        </w:rPr>
      </w:pPr>
      <w:bookmarkStart w:id="23" w:name="_Toc93511766"/>
      <w:r>
        <w:rPr>
          <w:rFonts w:hint="eastAsia" w:ascii="Times New Roman" w:hAnsi="Times New Roman"/>
          <w:color w:val="auto"/>
          <w:sz w:val="32"/>
          <w:szCs w:val="28"/>
        </w:rPr>
        <w:t>（三）坚持公平公正，强化公益惠民属性</w:t>
      </w:r>
      <w:bookmarkEnd w:id="23"/>
    </w:p>
    <w:p>
      <w:pPr>
        <w:adjustRightInd w:val="0"/>
        <w:snapToGrid w:val="0"/>
        <w:spacing w:before="46" w:beforeLines="15" w:after="46" w:afterLines="15" w:line="360" w:lineRule="auto"/>
        <w:ind w:firstLine="640" w:firstLineChars="200"/>
        <w:jc w:val="left"/>
        <w:rPr>
          <w:rFonts w:ascii="Times New Roman" w:hAnsi="Times New Roman" w:eastAsia="仿宋_GB2312" w:cs="Times New Roman"/>
          <w:color w:val="auto"/>
          <w:sz w:val="32"/>
          <w:szCs w:val="28"/>
        </w:rPr>
      </w:pPr>
      <w:r>
        <w:rPr>
          <w:rFonts w:hint="eastAsia" w:ascii="Times New Roman" w:hAnsi="Times New Roman" w:eastAsia="仿宋_GB2312" w:cs="Times New Roman"/>
          <w:color w:val="auto"/>
          <w:sz w:val="32"/>
          <w:szCs w:val="28"/>
        </w:rPr>
        <w:t>推动全区卫生健康事业均衡发展，逐步缩小区域差距，促进社会公平。坚持基本医疗卫生事业的公益性，补齐政府投入短板，不断优化资源配置结构，加强基本医疗和公共卫生体系建设，保证人民群众公平享受优质高效、全方位全周期卫生健康服务。</w:t>
      </w:r>
    </w:p>
    <w:p>
      <w:pPr>
        <w:pStyle w:val="5"/>
        <w:tabs>
          <w:tab w:val="clear" w:pos="720"/>
        </w:tabs>
        <w:spacing w:before="0" w:after="0" w:line="360" w:lineRule="auto"/>
        <w:ind w:left="0" w:firstLine="643" w:firstLineChars="200"/>
        <w:jc w:val="both"/>
        <w:rPr>
          <w:rFonts w:ascii="Times New Roman" w:hAnsi="Times New Roman"/>
          <w:color w:val="auto"/>
          <w:sz w:val="32"/>
          <w:szCs w:val="28"/>
        </w:rPr>
      </w:pPr>
      <w:bookmarkStart w:id="24" w:name="_Toc93511767"/>
      <w:r>
        <w:rPr>
          <w:rFonts w:hint="eastAsia" w:ascii="Times New Roman" w:hAnsi="Times New Roman"/>
          <w:color w:val="auto"/>
          <w:sz w:val="32"/>
          <w:szCs w:val="28"/>
        </w:rPr>
        <w:t>（四）坚持改革创新，落实新的发展理念</w:t>
      </w:r>
      <w:bookmarkEnd w:id="24"/>
    </w:p>
    <w:p>
      <w:pPr>
        <w:adjustRightInd w:val="0"/>
        <w:snapToGrid w:val="0"/>
        <w:spacing w:before="46" w:beforeLines="15" w:after="46" w:afterLines="15" w:line="360" w:lineRule="auto"/>
        <w:ind w:firstLine="640" w:firstLineChars="200"/>
        <w:jc w:val="left"/>
        <w:rPr>
          <w:rFonts w:ascii="Times New Roman" w:hAnsi="Times New Roman" w:eastAsia="仿宋_GB2312" w:cs="Times New Roman"/>
          <w:color w:val="auto"/>
          <w:sz w:val="32"/>
          <w:szCs w:val="28"/>
        </w:rPr>
      </w:pPr>
      <w:r>
        <w:rPr>
          <w:rFonts w:hint="eastAsia" w:ascii="Times New Roman" w:hAnsi="Times New Roman" w:eastAsia="仿宋_GB2312" w:cs="Times New Roman"/>
          <w:color w:val="auto"/>
          <w:sz w:val="32"/>
          <w:szCs w:val="28"/>
        </w:rPr>
        <w:t>不断深化医药卫生体制改革，突破关键节点、重大瓶颈，促进改革举措系统集成。巩固前期全国先进改革发展成果，推动我区卫生健康体系更加成熟定型。贯彻</w:t>
      </w:r>
      <w:r>
        <w:rPr>
          <w:rFonts w:hint="eastAsia" w:ascii="Times New Roman" w:hAnsi="Times New Roman" w:eastAsia="仿宋_GB2312" w:cs="Times New Roman"/>
          <w:color w:val="auto"/>
          <w:sz w:val="32"/>
          <w:szCs w:val="28"/>
          <w:shd w:val="clear" w:color="auto" w:fill="auto"/>
        </w:rPr>
        <w:t>创新、协调、绿色、开放、共享</w:t>
      </w:r>
      <w:r>
        <w:rPr>
          <w:rFonts w:ascii="Times New Roman" w:hAnsi="Times New Roman" w:eastAsia="仿宋_GB2312" w:cs="Times New Roman"/>
          <w:color w:val="auto"/>
          <w:sz w:val="32"/>
          <w:szCs w:val="28"/>
        </w:rPr>
        <w:t>新发展理念</w:t>
      </w:r>
      <w:r>
        <w:rPr>
          <w:rFonts w:hint="eastAsia" w:ascii="Times New Roman" w:hAnsi="Times New Roman" w:eastAsia="仿宋_GB2312" w:cs="Times New Roman"/>
          <w:color w:val="auto"/>
          <w:sz w:val="32"/>
          <w:szCs w:val="28"/>
        </w:rPr>
        <w:t>，着眼全面实现高质量发展，推动卫生健康事业质量变革、效率变革、动力变革。</w:t>
      </w:r>
    </w:p>
    <w:p>
      <w:pPr>
        <w:pStyle w:val="5"/>
        <w:tabs>
          <w:tab w:val="clear" w:pos="720"/>
        </w:tabs>
        <w:spacing w:before="0" w:after="0" w:line="360" w:lineRule="auto"/>
        <w:ind w:left="0" w:firstLine="643" w:firstLineChars="200"/>
        <w:jc w:val="both"/>
        <w:rPr>
          <w:rFonts w:ascii="Times New Roman" w:hAnsi="Times New Roman"/>
          <w:color w:val="auto"/>
          <w:sz w:val="32"/>
          <w:szCs w:val="28"/>
        </w:rPr>
      </w:pPr>
      <w:bookmarkStart w:id="25" w:name="_Toc93511768"/>
      <w:r>
        <w:rPr>
          <w:rFonts w:hint="eastAsia" w:ascii="Times New Roman" w:hAnsi="Times New Roman"/>
          <w:color w:val="auto"/>
          <w:sz w:val="32"/>
          <w:szCs w:val="28"/>
        </w:rPr>
        <w:t>（五）坚持系统观念，构建新的发展方式</w:t>
      </w:r>
      <w:bookmarkEnd w:id="25"/>
    </w:p>
    <w:p>
      <w:pPr>
        <w:adjustRightInd w:val="0"/>
        <w:snapToGrid w:val="0"/>
        <w:spacing w:before="46" w:beforeLines="15" w:after="46" w:afterLines="15" w:line="360" w:lineRule="auto"/>
        <w:ind w:firstLine="640" w:firstLineChars="200"/>
        <w:jc w:val="left"/>
        <w:rPr>
          <w:rFonts w:ascii="Times New Roman" w:hAnsi="Times New Roman" w:eastAsia="仿宋_GB2312" w:cs="Times New Roman"/>
          <w:color w:val="auto"/>
          <w:sz w:val="32"/>
          <w:szCs w:val="28"/>
        </w:rPr>
      </w:pPr>
      <w:r>
        <w:rPr>
          <w:rFonts w:hint="eastAsia" w:ascii="Times New Roman" w:hAnsi="Times New Roman" w:eastAsia="仿宋_GB2312" w:cs="Times New Roman"/>
          <w:color w:val="auto"/>
          <w:sz w:val="32"/>
          <w:szCs w:val="28"/>
        </w:rPr>
        <w:t>坚持预防为主、防治结合、中西医并重，促进卫生健康事业发展方式</w:t>
      </w:r>
      <w:r>
        <w:rPr>
          <w:rFonts w:ascii="仿宋" w:hAnsi="仿宋" w:eastAsia="仿宋_GB2312" w:cs="Times New Roman"/>
          <w:color w:val="auto"/>
          <w:sz w:val="32"/>
          <w:szCs w:val="28"/>
        </w:rPr>
        <w:t>从“以治病为中心”向“以人民健康为中心”</w:t>
      </w:r>
      <w:r>
        <w:rPr>
          <w:rFonts w:hint="eastAsia" w:ascii="仿宋" w:hAnsi="仿宋" w:eastAsia="仿宋_GB2312" w:cs="Times New Roman"/>
          <w:color w:val="auto"/>
          <w:sz w:val="32"/>
          <w:szCs w:val="28"/>
        </w:rPr>
        <w:t>转变</w:t>
      </w:r>
      <w:r>
        <w:rPr>
          <w:rFonts w:ascii="仿宋" w:hAnsi="仿宋" w:eastAsia="仿宋_GB2312" w:cs="Times New Roman"/>
          <w:color w:val="auto"/>
          <w:sz w:val="32"/>
          <w:szCs w:val="28"/>
        </w:rPr>
        <w:t>，</w:t>
      </w:r>
      <w:r>
        <w:rPr>
          <w:rFonts w:hint="eastAsia" w:ascii="Times New Roman" w:hAnsi="Times New Roman" w:eastAsia="仿宋_GB2312" w:cs="Times New Roman"/>
          <w:color w:val="auto"/>
          <w:sz w:val="32"/>
          <w:szCs w:val="28"/>
        </w:rPr>
        <w:t>构建整合型医疗卫生服务体系。建立有效的激励驱动机制，促进卫生健康体系分工协作，推动分级诊疗，实现可持续发展。</w:t>
      </w:r>
    </w:p>
    <w:p>
      <w:pPr>
        <w:pStyle w:val="5"/>
        <w:tabs>
          <w:tab w:val="clear" w:pos="720"/>
        </w:tabs>
        <w:spacing w:before="0" w:after="0" w:line="360" w:lineRule="auto"/>
        <w:ind w:left="0" w:firstLine="643" w:firstLineChars="200"/>
        <w:jc w:val="both"/>
        <w:rPr>
          <w:rFonts w:ascii="Times New Roman" w:hAnsi="Times New Roman"/>
          <w:color w:val="auto"/>
          <w:sz w:val="32"/>
          <w:szCs w:val="28"/>
        </w:rPr>
      </w:pPr>
      <w:bookmarkStart w:id="26" w:name="_Toc93511769"/>
      <w:r>
        <w:rPr>
          <w:rFonts w:hint="eastAsia" w:ascii="Times New Roman" w:hAnsi="Times New Roman"/>
          <w:color w:val="auto"/>
          <w:sz w:val="32"/>
          <w:szCs w:val="28"/>
        </w:rPr>
        <w:t>（六）坚持多方参与，全民共建共治共享</w:t>
      </w:r>
      <w:bookmarkEnd w:id="26"/>
    </w:p>
    <w:p>
      <w:pPr>
        <w:adjustRightInd w:val="0"/>
        <w:snapToGrid w:val="0"/>
        <w:spacing w:before="46" w:beforeLines="15" w:after="46" w:afterLines="15" w:line="360" w:lineRule="auto"/>
        <w:ind w:firstLine="640" w:firstLineChars="200"/>
        <w:jc w:val="left"/>
        <w:rPr>
          <w:rFonts w:ascii="Times New Roman" w:hAnsi="Times New Roman" w:eastAsia="仿宋_GB2312" w:cs="Times New Roman"/>
          <w:color w:val="auto"/>
          <w:sz w:val="32"/>
          <w:szCs w:val="28"/>
        </w:rPr>
      </w:pPr>
      <w:r>
        <w:rPr>
          <w:rFonts w:hint="eastAsia" w:ascii="Times New Roman" w:hAnsi="Times New Roman" w:eastAsia="仿宋_GB2312" w:cs="Times New Roman"/>
          <w:color w:val="auto"/>
          <w:sz w:val="32"/>
          <w:szCs w:val="28"/>
        </w:rPr>
        <w:t>充分利用市场机制，构建多元办医格局，满足多层次卫生健康服务需求。调动全社会参与卫生健康事业治理的积极性，推动卫生健康治理体系和治理能力现代化。积极引导人民群众养成健康文明的行为生活方式，做好自我健康管理，形成主动参与、共建共享的良好局面。</w:t>
      </w:r>
    </w:p>
    <w:p>
      <w:pPr>
        <w:pStyle w:val="3"/>
        <w:spacing w:line="360" w:lineRule="auto"/>
        <w:ind w:firstLine="723" w:firstLineChars="200"/>
        <w:jc w:val="both"/>
        <w:rPr>
          <w:rFonts w:ascii="楷体" w:hAnsi="楷体" w:eastAsia="楷体"/>
          <w:color w:val="auto"/>
          <w:sz w:val="36"/>
          <w:szCs w:val="28"/>
        </w:rPr>
      </w:pPr>
      <w:bookmarkStart w:id="27" w:name="_Toc93511770"/>
      <w:r>
        <w:rPr>
          <w:rFonts w:ascii="楷体" w:hAnsi="楷体" w:eastAsia="楷体"/>
          <w:color w:val="auto"/>
          <w:sz w:val="36"/>
          <w:szCs w:val="28"/>
        </w:rPr>
        <w:t>三、规划目标</w:t>
      </w:r>
      <w:bookmarkEnd w:id="27"/>
    </w:p>
    <w:p>
      <w:pPr>
        <w:adjustRightInd w:val="0"/>
        <w:snapToGrid w:val="0"/>
        <w:spacing w:before="46" w:beforeLines="15" w:after="46" w:afterLines="15" w:line="360" w:lineRule="auto"/>
        <w:ind w:firstLine="640" w:firstLineChars="200"/>
        <w:jc w:val="left"/>
        <w:rPr>
          <w:rFonts w:ascii="Times New Roman" w:hAnsi="Times New Roman" w:eastAsia="仿宋_GB2312" w:cs="Times New Roman"/>
          <w:color w:val="auto"/>
          <w:sz w:val="32"/>
          <w:szCs w:val="28"/>
        </w:rPr>
      </w:pPr>
      <w:r>
        <w:rPr>
          <w:rFonts w:hint="eastAsia" w:ascii="Times New Roman" w:hAnsi="Times New Roman" w:eastAsia="仿宋_GB2312" w:cs="Times New Roman"/>
          <w:color w:val="auto"/>
          <w:sz w:val="32"/>
          <w:szCs w:val="28"/>
        </w:rPr>
        <w:t>——人民群众健康水平持续提升。</w:t>
      </w:r>
      <w:r>
        <w:rPr>
          <w:rFonts w:ascii="Times New Roman" w:hAnsi="Times New Roman" w:eastAsia="仿宋_GB2312" w:cs="Times New Roman"/>
          <w:color w:val="auto"/>
          <w:sz w:val="32"/>
          <w:szCs w:val="28"/>
        </w:rPr>
        <w:t>2025</w:t>
      </w:r>
      <w:r>
        <w:rPr>
          <w:rFonts w:hint="eastAsia" w:ascii="Times New Roman" w:hAnsi="Times New Roman" w:eastAsia="仿宋_GB2312" w:cs="Times New Roman"/>
          <w:color w:val="auto"/>
          <w:sz w:val="32"/>
          <w:szCs w:val="28"/>
        </w:rPr>
        <w:t>年居民健康素养提高到</w:t>
      </w:r>
      <w:r>
        <w:rPr>
          <w:rFonts w:ascii="Times New Roman" w:hAnsi="Times New Roman" w:eastAsia="仿宋_GB2312" w:cs="Times New Roman"/>
          <w:color w:val="auto"/>
          <w:sz w:val="32"/>
          <w:szCs w:val="28"/>
        </w:rPr>
        <w:t>40%</w:t>
      </w:r>
      <w:r>
        <w:rPr>
          <w:rFonts w:hint="eastAsia" w:ascii="Times New Roman" w:hAnsi="Times New Roman" w:eastAsia="仿宋_GB2312" w:cs="Times New Roman"/>
          <w:color w:val="auto"/>
          <w:sz w:val="32"/>
          <w:szCs w:val="28"/>
        </w:rPr>
        <w:t>以上，人均期望寿命达到</w:t>
      </w:r>
      <w:r>
        <w:rPr>
          <w:rFonts w:ascii="Times New Roman" w:hAnsi="Times New Roman" w:eastAsia="仿宋_GB2312" w:cs="Times New Roman"/>
          <w:color w:val="auto"/>
          <w:sz w:val="32"/>
          <w:szCs w:val="28"/>
        </w:rPr>
        <w:t>82.9</w:t>
      </w:r>
      <w:r>
        <w:rPr>
          <w:rFonts w:hint="eastAsia" w:ascii="Times New Roman" w:hAnsi="Times New Roman" w:eastAsia="仿宋_GB2312" w:cs="Times New Roman"/>
          <w:color w:val="auto"/>
          <w:sz w:val="32"/>
          <w:szCs w:val="28"/>
        </w:rPr>
        <w:t>岁。孕产妇死亡率、婴儿死亡率逐步降低。</w:t>
      </w:r>
    </w:p>
    <w:p>
      <w:pPr>
        <w:adjustRightInd w:val="0"/>
        <w:snapToGrid w:val="0"/>
        <w:spacing w:before="46" w:beforeLines="15" w:after="46" w:afterLines="15" w:line="360" w:lineRule="auto"/>
        <w:ind w:firstLine="640" w:firstLineChars="200"/>
        <w:jc w:val="left"/>
        <w:rPr>
          <w:rFonts w:ascii="Times New Roman" w:hAnsi="Times New Roman" w:eastAsia="仿宋_GB2312" w:cs="Times New Roman"/>
          <w:color w:val="auto"/>
          <w:sz w:val="32"/>
          <w:szCs w:val="28"/>
        </w:rPr>
      </w:pPr>
      <w:r>
        <w:rPr>
          <w:rFonts w:hint="eastAsia" w:ascii="Times New Roman" w:hAnsi="Times New Roman" w:eastAsia="仿宋_GB2312" w:cs="Times New Roman"/>
          <w:color w:val="auto"/>
          <w:sz w:val="32"/>
          <w:szCs w:val="28"/>
        </w:rPr>
        <w:t>——筑牢公共卫生安全网。疫情常态化防控能力、突发公共卫生事件应急处置能力及大卫生大健康综合治理能力明显提高，</w:t>
      </w:r>
      <w:r>
        <w:rPr>
          <w:rFonts w:hint="eastAsia" w:ascii="Times New Roman" w:hAnsi="Times New Roman" w:eastAsia="仿宋_GB2312" w:cs="Times New Roman"/>
          <w:color w:val="auto"/>
          <w:kern w:val="2"/>
          <w:sz w:val="32"/>
          <w:szCs w:val="28"/>
        </w:rPr>
        <w:t>能够较好应对中等规模重大疫情和突发公共卫生事件</w:t>
      </w:r>
      <w:r>
        <w:rPr>
          <w:rFonts w:hint="eastAsia" w:ascii="Times New Roman" w:hAnsi="Times New Roman" w:eastAsia="仿宋_GB2312" w:cs="Times New Roman"/>
          <w:color w:val="auto"/>
          <w:sz w:val="32"/>
          <w:szCs w:val="28"/>
        </w:rPr>
        <w:t>，</w:t>
      </w:r>
      <w:r>
        <w:rPr>
          <w:rFonts w:hint="eastAsia" w:ascii="Times New Roman" w:hAnsi="Times New Roman" w:eastAsia="仿宋_GB2312" w:cs="Times New Roman"/>
          <w:color w:val="auto"/>
          <w:kern w:val="2"/>
          <w:sz w:val="32"/>
          <w:szCs w:val="28"/>
        </w:rPr>
        <w:t>为保障人民群众生命安全和身体健康、维护首都安全、建设国际一流的和谐宜居之都提供有力支撑</w:t>
      </w:r>
      <w:r>
        <w:rPr>
          <w:rFonts w:hint="eastAsia" w:ascii="Times New Roman" w:hAnsi="Times New Roman" w:eastAsia="仿宋_GB2312" w:cs="Times New Roman"/>
          <w:color w:val="auto"/>
          <w:sz w:val="32"/>
          <w:szCs w:val="28"/>
        </w:rPr>
        <w:t>。</w:t>
      </w:r>
    </w:p>
    <w:p>
      <w:pPr>
        <w:adjustRightInd w:val="0"/>
        <w:snapToGrid w:val="0"/>
        <w:spacing w:before="46" w:beforeLines="15" w:after="46" w:afterLines="15" w:line="360" w:lineRule="auto"/>
        <w:ind w:firstLine="640" w:firstLineChars="200"/>
        <w:jc w:val="left"/>
        <w:rPr>
          <w:rFonts w:ascii="Times New Roman" w:hAnsi="Times New Roman" w:eastAsia="仿宋_GB2312" w:cs="Times New Roman"/>
          <w:color w:val="auto"/>
          <w:sz w:val="32"/>
          <w:szCs w:val="28"/>
        </w:rPr>
      </w:pPr>
      <w:r>
        <w:rPr>
          <w:rFonts w:hint="eastAsia" w:ascii="Times New Roman" w:hAnsi="Times New Roman" w:eastAsia="仿宋_GB2312" w:cs="Times New Roman"/>
          <w:color w:val="auto"/>
          <w:sz w:val="32"/>
          <w:szCs w:val="28"/>
        </w:rPr>
        <w:t>——加强优质医疗资源供给。加大政府投入，强化人才引进与培养力度，人均卫生资源占有量持续提高。区域医疗中心布局和功能定位更加明确，优质医疗服务能力不断提高，社区卫生服务品牌内涵更加丰富，国家中医药综合改革试验区建设取得新进展。</w:t>
      </w:r>
    </w:p>
    <w:p>
      <w:pPr>
        <w:adjustRightInd w:val="0"/>
        <w:snapToGrid w:val="0"/>
        <w:spacing w:before="46" w:beforeLines="15" w:after="46" w:afterLines="15" w:line="360" w:lineRule="auto"/>
        <w:ind w:firstLine="640" w:firstLineChars="200"/>
        <w:jc w:val="left"/>
        <w:rPr>
          <w:rFonts w:ascii="Times New Roman" w:hAnsi="Times New Roman" w:eastAsia="仿宋_GB2312" w:cs="Times New Roman"/>
          <w:color w:val="auto"/>
          <w:sz w:val="32"/>
          <w:szCs w:val="28"/>
        </w:rPr>
      </w:pPr>
      <w:r>
        <w:rPr>
          <w:rFonts w:hint="eastAsia" w:ascii="Times New Roman" w:hAnsi="Times New Roman" w:eastAsia="仿宋_GB2312" w:cs="Times New Roman"/>
          <w:color w:val="auto"/>
          <w:sz w:val="32"/>
          <w:szCs w:val="28"/>
        </w:rPr>
        <w:t>——认真落实健康北京行动。完成国家卫生区、全国健康促进示范区创建。健康促进与健康教育得到进一步强化。深入开展爱国卫生运动，人居卫生环境质量显著改善。落实健康融入所有政策取得显著成效，初步形成良好的健康支持性环境。</w:t>
      </w:r>
    </w:p>
    <w:p>
      <w:pPr>
        <w:pStyle w:val="3"/>
        <w:spacing w:line="360" w:lineRule="auto"/>
        <w:ind w:firstLine="723" w:firstLineChars="200"/>
        <w:jc w:val="both"/>
        <w:rPr>
          <w:rFonts w:ascii="楷体" w:hAnsi="楷体" w:eastAsia="楷体"/>
          <w:color w:val="auto"/>
          <w:sz w:val="36"/>
          <w:szCs w:val="28"/>
        </w:rPr>
      </w:pPr>
      <w:bookmarkStart w:id="28" w:name="_Toc93511771"/>
      <w:r>
        <w:rPr>
          <w:rFonts w:hint="eastAsia" w:ascii="楷体" w:hAnsi="楷体" w:eastAsia="楷体"/>
          <w:color w:val="auto"/>
          <w:sz w:val="36"/>
          <w:szCs w:val="28"/>
        </w:rPr>
        <w:t>四</w:t>
      </w:r>
      <w:r>
        <w:rPr>
          <w:rFonts w:ascii="楷体" w:hAnsi="楷体" w:eastAsia="楷体"/>
          <w:color w:val="auto"/>
          <w:sz w:val="36"/>
          <w:szCs w:val="28"/>
        </w:rPr>
        <w:t>、主要指标</w:t>
      </w:r>
      <w:bookmarkEnd w:id="28"/>
    </w:p>
    <w:tbl>
      <w:tblPr>
        <w:tblStyle w:val="23"/>
        <w:tblW w:w="827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69"/>
        <w:gridCol w:w="1368"/>
        <w:gridCol w:w="1368"/>
        <w:gridCol w:w="13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blHeader/>
          <w:jc w:val="center"/>
        </w:trPr>
        <w:tc>
          <w:tcPr>
            <w:tcW w:w="4169" w:type="dxa"/>
            <w:tcBorders>
              <w:top w:val="single" w:color="auto" w:sz="4" w:space="0"/>
              <w:bottom w:val="single" w:color="auto" w:sz="4" w:space="0"/>
            </w:tcBorders>
            <w:vAlign w:val="center"/>
          </w:tcPr>
          <w:p>
            <w:pPr>
              <w:adjustRightInd w:val="0"/>
              <w:snapToGrid w:val="0"/>
              <w:spacing w:before="46" w:beforeLines="15" w:after="46" w:afterLines="15"/>
              <w:jc w:val="center"/>
              <w:rPr>
                <w:rFonts w:ascii="Times New Roman" w:hAnsi="Times New Roman" w:eastAsia="仿宋_GB2312" w:cs="Times New Roman"/>
                <w:b/>
                <w:color w:val="auto"/>
                <w:sz w:val="24"/>
                <w:szCs w:val="24"/>
              </w:rPr>
            </w:pPr>
            <w:r>
              <w:rPr>
                <w:rFonts w:ascii="Times New Roman" w:hAnsi="Times New Roman" w:eastAsia="仿宋_GB2312" w:cs="Times New Roman"/>
                <w:b/>
                <w:color w:val="auto"/>
                <w:sz w:val="24"/>
                <w:szCs w:val="24"/>
              </w:rPr>
              <w:t xml:space="preserve">名  </w:t>
            </w:r>
            <w:r>
              <w:rPr>
                <w:rFonts w:hint="eastAsia" w:ascii="Times New Roman" w:hAnsi="Times New Roman" w:eastAsia="仿宋_GB2312" w:cs="Times New Roman"/>
                <w:b/>
                <w:color w:val="auto"/>
                <w:sz w:val="24"/>
                <w:szCs w:val="24"/>
              </w:rPr>
              <w:t>称</w:t>
            </w:r>
          </w:p>
        </w:tc>
        <w:tc>
          <w:tcPr>
            <w:tcW w:w="1368" w:type="dxa"/>
            <w:tcBorders>
              <w:top w:val="single" w:color="auto" w:sz="4" w:space="0"/>
              <w:bottom w:val="single" w:color="auto" w:sz="4" w:space="0"/>
            </w:tcBorders>
            <w:vAlign w:val="center"/>
          </w:tcPr>
          <w:p>
            <w:pPr>
              <w:adjustRightInd w:val="0"/>
              <w:snapToGrid w:val="0"/>
              <w:spacing w:before="46" w:beforeLines="15" w:after="46" w:afterLines="15"/>
              <w:jc w:val="center"/>
              <w:rPr>
                <w:rFonts w:ascii="Times New Roman" w:hAnsi="Times New Roman" w:eastAsia="仿宋_GB2312" w:cs="Times New Roman"/>
                <w:b/>
                <w:color w:val="auto"/>
                <w:sz w:val="24"/>
                <w:szCs w:val="24"/>
              </w:rPr>
            </w:pPr>
            <w:r>
              <w:rPr>
                <w:rFonts w:hint="eastAsia" w:ascii="Times New Roman" w:hAnsi="Times New Roman" w:eastAsia="仿宋_GB2312" w:cs="Times New Roman"/>
                <w:b/>
                <w:color w:val="auto"/>
                <w:sz w:val="24"/>
                <w:szCs w:val="24"/>
              </w:rPr>
              <w:t>性质</w:t>
            </w:r>
          </w:p>
        </w:tc>
        <w:tc>
          <w:tcPr>
            <w:tcW w:w="1368" w:type="dxa"/>
            <w:tcBorders>
              <w:top w:val="single" w:color="auto" w:sz="4" w:space="0"/>
              <w:bottom w:val="single" w:color="auto" w:sz="4" w:space="0"/>
            </w:tcBorders>
            <w:vAlign w:val="center"/>
          </w:tcPr>
          <w:p>
            <w:pPr>
              <w:adjustRightInd w:val="0"/>
              <w:snapToGrid w:val="0"/>
              <w:spacing w:before="46" w:beforeLines="15" w:after="46" w:afterLines="15"/>
              <w:jc w:val="center"/>
              <w:rPr>
                <w:rFonts w:ascii="Times New Roman" w:hAnsi="Times New Roman" w:eastAsia="仿宋_GB2312" w:cs="Times New Roman"/>
                <w:b/>
                <w:color w:val="auto"/>
                <w:sz w:val="24"/>
                <w:szCs w:val="24"/>
              </w:rPr>
            </w:pPr>
            <w:r>
              <w:rPr>
                <w:rFonts w:ascii="Times New Roman" w:hAnsi="Times New Roman" w:eastAsia="仿宋_GB2312" w:cs="Times New Roman"/>
                <w:b/>
                <w:color w:val="auto"/>
                <w:sz w:val="24"/>
                <w:szCs w:val="24"/>
              </w:rPr>
              <w:t>2025</w:t>
            </w:r>
            <w:r>
              <w:rPr>
                <w:rFonts w:hint="eastAsia" w:ascii="Times New Roman" w:hAnsi="Times New Roman" w:eastAsia="仿宋_GB2312" w:cs="Times New Roman"/>
                <w:b/>
                <w:color w:val="auto"/>
                <w:sz w:val="24"/>
                <w:szCs w:val="24"/>
              </w:rPr>
              <w:t>年</w:t>
            </w:r>
          </w:p>
        </w:tc>
        <w:tc>
          <w:tcPr>
            <w:tcW w:w="1368" w:type="dxa"/>
            <w:tcBorders>
              <w:top w:val="single" w:color="auto" w:sz="4" w:space="0"/>
              <w:bottom w:val="single" w:color="auto" w:sz="4" w:space="0"/>
            </w:tcBorders>
            <w:vAlign w:val="center"/>
          </w:tcPr>
          <w:p>
            <w:pPr>
              <w:adjustRightInd w:val="0"/>
              <w:snapToGrid w:val="0"/>
              <w:spacing w:before="46" w:beforeLines="15" w:after="46" w:afterLines="15"/>
              <w:jc w:val="center"/>
              <w:rPr>
                <w:rFonts w:ascii="Times New Roman" w:hAnsi="Times New Roman" w:eastAsia="仿宋_GB2312" w:cs="Times New Roman"/>
                <w:b/>
                <w:color w:val="auto"/>
                <w:sz w:val="24"/>
                <w:szCs w:val="24"/>
              </w:rPr>
            </w:pPr>
            <w:r>
              <w:rPr>
                <w:rFonts w:ascii="Times New Roman" w:hAnsi="Times New Roman" w:eastAsia="仿宋_GB2312" w:cs="Times New Roman"/>
                <w:b/>
                <w:color w:val="auto"/>
                <w:sz w:val="24"/>
                <w:szCs w:val="24"/>
              </w:rPr>
              <w:t>2035</w:t>
            </w:r>
            <w:r>
              <w:rPr>
                <w:rFonts w:hint="eastAsia" w:ascii="Times New Roman" w:hAnsi="Times New Roman" w:eastAsia="仿宋_GB2312" w:cs="Times New Roman"/>
                <w:b/>
                <w:color w:val="auto"/>
                <w:sz w:val="24"/>
                <w:szCs w:val="24"/>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jc w:val="center"/>
        </w:trPr>
        <w:tc>
          <w:tcPr>
            <w:tcW w:w="4169" w:type="dxa"/>
            <w:tcBorders>
              <w:top w:val="single" w:color="auto" w:sz="4" w:space="0"/>
            </w:tcBorders>
            <w:vAlign w:val="center"/>
          </w:tcPr>
          <w:p>
            <w:pPr>
              <w:adjustRightInd w:val="0"/>
              <w:snapToGrid w:val="0"/>
              <w:spacing w:before="46" w:beforeLines="15" w:after="46" w:afterLines="15"/>
              <w:jc w:val="left"/>
              <w:rPr>
                <w:rFonts w:ascii="Times New Roman" w:hAnsi="Times New Roman" w:eastAsia="仿宋_GB2312" w:cs="Times New Roman"/>
                <w:color w:val="auto"/>
                <w:szCs w:val="21"/>
              </w:rPr>
            </w:pPr>
            <w:r>
              <w:rPr>
                <w:rFonts w:ascii="Times New Roman" w:hAnsi="Times New Roman" w:eastAsia="仿宋_GB2312" w:cs="Times New Roman"/>
                <w:color w:val="auto"/>
                <w:szCs w:val="21"/>
              </w:rPr>
              <w:t>人均期望寿命（岁）</w:t>
            </w:r>
          </w:p>
        </w:tc>
        <w:tc>
          <w:tcPr>
            <w:tcW w:w="1368" w:type="dxa"/>
            <w:tcBorders>
              <w:top w:val="single" w:color="auto" w:sz="4" w:space="0"/>
            </w:tcBorders>
            <w:vAlign w:val="center"/>
          </w:tcPr>
          <w:p>
            <w:pPr>
              <w:adjustRightInd w:val="0"/>
              <w:snapToGrid w:val="0"/>
              <w:spacing w:before="46" w:beforeLines="15" w:after="46" w:afterLines="15"/>
              <w:jc w:val="center"/>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预期</w:t>
            </w:r>
            <w:r>
              <w:rPr>
                <w:rFonts w:ascii="Times New Roman" w:hAnsi="Times New Roman" w:eastAsia="仿宋_GB2312" w:cs="Times New Roman"/>
                <w:color w:val="auto"/>
                <w:szCs w:val="21"/>
              </w:rPr>
              <w:t>性</w:t>
            </w:r>
          </w:p>
        </w:tc>
        <w:tc>
          <w:tcPr>
            <w:tcW w:w="1368" w:type="dxa"/>
            <w:tcBorders>
              <w:top w:val="single" w:color="auto" w:sz="4" w:space="0"/>
            </w:tcBorders>
            <w:vAlign w:val="center"/>
          </w:tcPr>
          <w:p>
            <w:pPr>
              <w:adjustRightInd w:val="0"/>
              <w:snapToGrid w:val="0"/>
              <w:spacing w:before="46" w:beforeLines="15" w:after="46" w:afterLines="15"/>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82.9</w:t>
            </w:r>
          </w:p>
        </w:tc>
        <w:tc>
          <w:tcPr>
            <w:tcW w:w="1368" w:type="dxa"/>
            <w:tcBorders>
              <w:top w:val="single" w:color="auto" w:sz="4" w:space="0"/>
            </w:tcBorders>
            <w:vAlign w:val="center"/>
          </w:tcPr>
          <w:p>
            <w:pPr>
              <w:adjustRightInd w:val="0"/>
              <w:snapToGrid w:val="0"/>
              <w:spacing w:before="46" w:beforeLines="15" w:after="46" w:afterLines="15"/>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83.5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 w:hRule="atLeast"/>
          <w:jc w:val="center"/>
        </w:trPr>
        <w:tc>
          <w:tcPr>
            <w:tcW w:w="4169" w:type="dxa"/>
            <w:vAlign w:val="center"/>
          </w:tcPr>
          <w:p>
            <w:pPr>
              <w:adjustRightInd w:val="0"/>
              <w:snapToGrid w:val="0"/>
              <w:spacing w:before="46" w:beforeLines="15" w:after="46" w:afterLines="15"/>
              <w:jc w:val="left"/>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孕产妇死亡率（</w:t>
            </w:r>
            <w:r>
              <w:rPr>
                <w:rFonts w:ascii="Times New Roman" w:hAnsi="Times New Roman" w:eastAsia="仿宋_GB2312" w:cs="Times New Roman"/>
                <w:color w:val="auto"/>
                <w:szCs w:val="21"/>
              </w:rPr>
              <w:t>1/10</w:t>
            </w:r>
            <w:r>
              <w:rPr>
                <w:rFonts w:hint="eastAsia" w:ascii="Times New Roman" w:hAnsi="Times New Roman" w:eastAsia="仿宋_GB2312" w:cs="Times New Roman"/>
                <w:color w:val="auto"/>
                <w:szCs w:val="21"/>
              </w:rPr>
              <w:t>万）</w:t>
            </w:r>
          </w:p>
        </w:tc>
        <w:tc>
          <w:tcPr>
            <w:tcW w:w="1368" w:type="dxa"/>
            <w:vAlign w:val="center"/>
          </w:tcPr>
          <w:p>
            <w:pPr>
              <w:adjustRightInd w:val="0"/>
              <w:snapToGrid w:val="0"/>
              <w:spacing w:before="46" w:beforeLines="15" w:after="46" w:afterLines="15"/>
              <w:jc w:val="center"/>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指导性</w:t>
            </w:r>
          </w:p>
        </w:tc>
        <w:tc>
          <w:tcPr>
            <w:tcW w:w="1368" w:type="dxa"/>
            <w:vAlign w:val="center"/>
          </w:tcPr>
          <w:p>
            <w:pPr>
              <w:adjustRightInd w:val="0"/>
              <w:snapToGrid w:val="0"/>
              <w:spacing w:before="46" w:beforeLines="15" w:after="46" w:afterLines="15"/>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7</w:t>
            </w:r>
          </w:p>
        </w:tc>
        <w:tc>
          <w:tcPr>
            <w:tcW w:w="1368" w:type="dxa"/>
            <w:vAlign w:val="center"/>
          </w:tcPr>
          <w:p>
            <w:pPr>
              <w:adjustRightInd w:val="0"/>
              <w:snapToGrid w:val="0"/>
              <w:spacing w:before="46" w:beforeLines="15" w:after="46" w:afterLines="15"/>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 w:hRule="atLeast"/>
          <w:jc w:val="center"/>
        </w:trPr>
        <w:tc>
          <w:tcPr>
            <w:tcW w:w="4169" w:type="dxa"/>
            <w:vAlign w:val="center"/>
          </w:tcPr>
          <w:p>
            <w:pPr>
              <w:adjustRightInd w:val="0"/>
              <w:snapToGrid w:val="0"/>
              <w:spacing w:before="46" w:beforeLines="15" w:after="46" w:afterLines="15"/>
              <w:jc w:val="left"/>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婴儿死亡率（</w:t>
            </w:r>
            <w:r>
              <w:rPr>
                <w:rFonts w:ascii="Times New Roman" w:hAnsi="Times New Roman" w:eastAsia="仿宋_GB2312" w:cs="Times New Roman"/>
                <w:color w:val="auto"/>
                <w:szCs w:val="21"/>
              </w:rPr>
              <w:t>‰</w:t>
            </w:r>
            <w:r>
              <w:rPr>
                <w:rFonts w:hint="eastAsia" w:ascii="Times New Roman" w:hAnsi="Times New Roman" w:eastAsia="仿宋_GB2312" w:cs="Times New Roman"/>
                <w:color w:val="auto"/>
                <w:szCs w:val="21"/>
              </w:rPr>
              <w:t>）</w:t>
            </w:r>
          </w:p>
        </w:tc>
        <w:tc>
          <w:tcPr>
            <w:tcW w:w="1368" w:type="dxa"/>
            <w:vAlign w:val="center"/>
          </w:tcPr>
          <w:p>
            <w:pPr>
              <w:adjustRightInd w:val="0"/>
              <w:snapToGrid w:val="0"/>
              <w:spacing w:before="46" w:beforeLines="15" w:after="46" w:afterLines="15"/>
              <w:jc w:val="center"/>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指导性</w:t>
            </w:r>
          </w:p>
        </w:tc>
        <w:tc>
          <w:tcPr>
            <w:tcW w:w="1368" w:type="dxa"/>
            <w:vAlign w:val="center"/>
          </w:tcPr>
          <w:p>
            <w:pPr>
              <w:adjustRightInd w:val="0"/>
              <w:snapToGrid w:val="0"/>
              <w:spacing w:before="46" w:beforeLines="15" w:after="46" w:afterLines="15"/>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3</w:t>
            </w:r>
          </w:p>
        </w:tc>
        <w:tc>
          <w:tcPr>
            <w:tcW w:w="1368" w:type="dxa"/>
            <w:vAlign w:val="center"/>
          </w:tcPr>
          <w:p>
            <w:pPr>
              <w:adjustRightInd w:val="0"/>
              <w:snapToGrid w:val="0"/>
              <w:spacing w:before="46" w:beforeLines="15" w:after="46" w:afterLines="15"/>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 w:hRule="atLeast"/>
          <w:jc w:val="center"/>
        </w:trPr>
        <w:tc>
          <w:tcPr>
            <w:tcW w:w="4169" w:type="dxa"/>
            <w:vAlign w:val="center"/>
          </w:tcPr>
          <w:p>
            <w:pPr>
              <w:adjustRightInd w:val="0"/>
              <w:snapToGrid w:val="0"/>
              <w:spacing w:before="46" w:beforeLines="15" w:after="46" w:afterLines="15"/>
              <w:jc w:val="left"/>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居民健康素养水平（</w:t>
            </w:r>
            <w:r>
              <w:rPr>
                <w:rFonts w:ascii="Times New Roman" w:hAnsi="Times New Roman" w:eastAsia="仿宋_GB2312" w:cs="Times New Roman"/>
                <w:color w:val="auto"/>
                <w:szCs w:val="21"/>
              </w:rPr>
              <w:t>%</w:t>
            </w:r>
            <w:r>
              <w:rPr>
                <w:rFonts w:hint="eastAsia" w:ascii="Times New Roman" w:hAnsi="Times New Roman" w:eastAsia="仿宋_GB2312" w:cs="Times New Roman"/>
                <w:color w:val="auto"/>
                <w:szCs w:val="21"/>
              </w:rPr>
              <w:t>）</w:t>
            </w:r>
          </w:p>
        </w:tc>
        <w:tc>
          <w:tcPr>
            <w:tcW w:w="1368" w:type="dxa"/>
            <w:vAlign w:val="center"/>
          </w:tcPr>
          <w:p>
            <w:pPr>
              <w:adjustRightInd w:val="0"/>
              <w:snapToGrid w:val="0"/>
              <w:spacing w:before="46" w:beforeLines="15" w:after="46" w:afterLines="15"/>
              <w:jc w:val="center"/>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预期性</w:t>
            </w:r>
          </w:p>
        </w:tc>
        <w:tc>
          <w:tcPr>
            <w:tcW w:w="1368" w:type="dxa"/>
            <w:vAlign w:val="center"/>
          </w:tcPr>
          <w:p>
            <w:pPr>
              <w:adjustRightInd w:val="0"/>
              <w:snapToGrid w:val="0"/>
              <w:spacing w:before="46" w:beforeLines="15" w:after="46" w:afterLines="15"/>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40.0</w:t>
            </w:r>
          </w:p>
        </w:tc>
        <w:tc>
          <w:tcPr>
            <w:tcW w:w="1368" w:type="dxa"/>
            <w:vAlign w:val="center"/>
          </w:tcPr>
          <w:p>
            <w:pPr>
              <w:adjustRightInd w:val="0"/>
              <w:snapToGrid w:val="0"/>
              <w:spacing w:before="46" w:beforeLines="15" w:after="46" w:afterLines="15"/>
              <w:jc w:val="center"/>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持续提高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 w:hRule="atLeast"/>
          <w:jc w:val="center"/>
        </w:trPr>
        <w:tc>
          <w:tcPr>
            <w:tcW w:w="4169" w:type="dxa"/>
            <w:vAlign w:val="center"/>
          </w:tcPr>
          <w:p>
            <w:pPr>
              <w:adjustRightInd w:val="0"/>
              <w:snapToGrid w:val="0"/>
              <w:spacing w:before="46" w:beforeLines="15" w:after="46" w:afterLines="15"/>
              <w:jc w:val="left"/>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甲乙类传染病报告发病率（</w:t>
            </w:r>
            <w:r>
              <w:rPr>
                <w:rFonts w:ascii="Times New Roman" w:hAnsi="Times New Roman" w:eastAsia="仿宋_GB2312" w:cs="Times New Roman"/>
                <w:color w:val="auto"/>
                <w:szCs w:val="21"/>
              </w:rPr>
              <w:t>1/10</w:t>
            </w:r>
            <w:r>
              <w:rPr>
                <w:rFonts w:hint="eastAsia" w:ascii="Times New Roman" w:hAnsi="Times New Roman" w:eastAsia="仿宋_GB2312" w:cs="Times New Roman"/>
                <w:color w:val="auto"/>
                <w:szCs w:val="21"/>
              </w:rPr>
              <w:t>万）</w:t>
            </w:r>
          </w:p>
        </w:tc>
        <w:tc>
          <w:tcPr>
            <w:tcW w:w="1368" w:type="dxa"/>
            <w:vAlign w:val="center"/>
          </w:tcPr>
          <w:p>
            <w:pPr>
              <w:adjustRightInd w:val="0"/>
              <w:snapToGrid w:val="0"/>
              <w:spacing w:before="46" w:beforeLines="15" w:after="46" w:afterLines="15"/>
              <w:jc w:val="center"/>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指导性</w:t>
            </w:r>
          </w:p>
        </w:tc>
        <w:tc>
          <w:tcPr>
            <w:tcW w:w="1368" w:type="dxa"/>
            <w:vAlign w:val="center"/>
          </w:tcPr>
          <w:p>
            <w:pPr>
              <w:adjustRightInd w:val="0"/>
              <w:snapToGrid w:val="0"/>
              <w:spacing w:before="46" w:beforeLines="15" w:after="46" w:afterLines="15"/>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160</w:t>
            </w:r>
          </w:p>
        </w:tc>
        <w:tc>
          <w:tcPr>
            <w:tcW w:w="1368" w:type="dxa"/>
            <w:vAlign w:val="center"/>
          </w:tcPr>
          <w:p>
            <w:pPr>
              <w:adjustRightInd w:val="0"/>
              <w:snapToGrid w:val="0"/>
              <w:spacing w:before="46" w:beforeLines="15" w:after="46" w:afterLines="15"/>
              <w:jc w:val="center"/>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持续降低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 w:hRule="atLeast"/>
          <w:jc w:val="center"/>
        </w:trPr>
        <w:tc>
          <w:tcPr>
            <w:tcW w:w="4169" w:type="dxa"/>
            <w:vAlign w:val="center"/>
          </w:tcPr>
          <w:p>
            <w:pPr>
              <w:adjustRightInd w:val="0"/>
              <w:snapToGrid w:val="0"/>
              <w:spacing w:before="46" w:beforeLines="15" w:after="46" w:afterLines="15"/>
              <w:jc w:val="left"/>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每千常住人口实际配置床位数量（张）</w:t>
            </w:r>
          </w:p>
        </w:tc>
        <w:tc>
          <w:tcPr>
            <w:tcW w:w="1368" w:type="dxa"/>
            <w:vAlign w:val="center"/>
          </w:tcPr>
          <w:p>
            <w:pPr>
              <w:adjustRightInd w:val="0"/>
              <w:snapToGrid w:val="0"/>
              <w:spacing w:before="46" w:beforeLines="15" w:after="46" w:afterLines="15"/>
              <w:jc w:val="center"/>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预期性</w:t>
            </w:r>
          </w:p>
        </w:tc>
        <w:tc>
          <w:tcPr>
            <w:tcW w:w="1368" w:type="dxa"/>
            <w:vAlign w:val="center"/>
          </w:tcPr>
          <w:p>
            <w:pPr>
              <w:adjustRightInd w:val="0"/>
              <w:snapToGrid w:val="0"/>
              <w:spacing w:before="46" w:beforeLines="15" w:after="46" w:afterLines="15"/>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6.5</w:t>
            </w:r>
          </w:p>
        </w:tc>
        <w:tc>
          <w:tcPr>
            <w:tcW w:w="1368" w:type="dxa"/>
            <w:vAlign w:val="center"/>
          </w:tcPr>
          <w:p>
            <w:pPr>
              <w:adjustRightInd w:val="0"/>
              <w:snapToGrid w:val="0"/>
              <w:spacing w:before="46" w:beforeLines="15" w:after="46" w:afterLines="15"/>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 w:hRule="atLeast"/>
          <w:jc w:val="center"/>
        </w:trPr>
        <w:tc>
          <w:tcPr>
            <w:tcW w:w="4169" w:type="dxa"/>
            <w:vAlign w:val="center"/>
          </w:tcPr>
          <w:p>
            <w:pPr>
              <w:adjustRightInd w:val="0"/>
              <w:snapToGrid w:val="0"/>
              <w:spacing w:before="46" w:beforeLines="15" w:after="46" w:afterLines="15"/>
              <w:jc w:val="left"/>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每千常住人口执业（助理）医师数（人）</w:t>
            </w:r>
          </w:p>
        </w:tc>
        <w:tc>
          <w:tcPr>
            <w:tcW w:w="1368" w:type="dxa"/>
            <w:vAlign w:val="center"/>
          </w:tcPr>
          <w:p>
            <w:pPr>
              <w:adjustRightInd w:val="0"/>
              <w:snapToGrid w:val="0"/>
              <w:spacing w:before="46" w:beforeLines="15" w:after="46" w:afterLines="15"/>
              <w:jc w:val="center"/>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预期性</w:t>
            </w:r>
          </w:p>
        </w:tc>
        <w:tc>
          <w:tcPr>
            <w:tcW w:w="1368" w:type="dxa"/>
            <w:vAlign w:val="center"/>
          </w:tcPr>
          <w:p>
            <w:pPr>
              <w:adjustRightInd w:val="0"/>
              <w:snapToGrid w:val="0"/>
              <w:spacing w:before="46" w:beforeLines="15" w:after="46" w:afterLines="15"/>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5.2</w:t>
            </w:r>
          </w:p>
        </w:tc>
        <w:tc>
          <w:tcPr>
            <w:tcW w:w="1368" w:type="dxa"/>
            <w:vAlign w:val="center"/>
          </w:tcPr>
          <w:p>
            <w:pPr>
              <w:adjustRightInd w:val="0"/>
              <w:snapToGrid w:val="0"/>
              <w:spacing w:before="46" w:beforeLines="15" w:after="46" w:afterLines="15"/>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jc w:val="center"/>
        </w:trPr>
        <w:tc>
          <w:tcPr>
            <w:tcW w:w="4169" w:type="dxa"/>
            <w:vAlign w:val="center"/>
          </w:tcPr>
          <w:p>
            <w:pPr>
              <w:adjustRightInd w:val="0"/>
              <w:snapToGrid w:val="0"/>
              <w:spacing w:before="46" w:beforeLines="15" w:after="46" w:afterLines="15"/>
              <w:jc w:val="left"/>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每千人口注册护士数（人）</w:t>
            </w:r>
          </w:p>
        </w:tc>
        <w:tc>
          <w:tcPr>
            <w:tcW w:w="1368" w:type="dxa"/>
            <w:vAlign w:val="center"/>
          </w:tcPr>
          <w:p>
            <w:pPr>
              <w:adjustRightInd w:val="0"/>
              <w:snapToGrid w:val="0"/>
              <w:spacing w:before="46" w:beforeLines="15" w:after="46" w:afterLines="15"/>
              <w:jc w:val="center"/>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预期性</w:t>
            </w:r>
          </w:p>
        </w:tc>
        <w:tc>
          <w:tcPr>
            <w:tcW w:w="1368" w:type="dxa"/>
            <w:vAlign w:val="center"/>
          </w:tcPr>
          <w:p>
            <w:pPr>
              <w:adjustRightInd w:val="0"/>
              <w:snapToGrid w:val="0"/>
              <w:spacing w:before="46" w:beforeLines="15" w:after="46" w:afterLines="15"/>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5.5</w:t>
            </w:r>
          </w:p>
        </w:tc>
        <w:tc>
          <w:tcPr>
            <w:tcW w:w="1368" w:type="dxa"/>
            <w:vAlign w:val="center"/>
          </w:tcPr>
          <w:p>
            <w:pPr>
              <w:adjustRightInd w:val="0"/>
              <w:snapToGrid w:val="0"/>
              <w:spacing w:before="46" w:beforeLines="15" w:after="46" w:afterLines="15"/>
              <w:jc w:val="center"/>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持续提高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 w:hRule="atLeast"/>
          <w:jc w:val="center"/>
        </w:trPr>
        <w:tc>
          <w:tcPr>
            <w:tcW w:w="4169" w:type="dxa"/>
            <w:vAlign w:val="center"/>
          </w:tcPr>
          <w:p>
            <w:pPr>
              <w:adjustRightInd w:val="0"/>
              <w:snapToGrid w:val="0"/>
              <w:spacing w:before="46" w:beforeLines="15" w:after="46" w:afterLines="15"/>
              <w:jc w:val="left"/>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每万名常住人口疾控力量配比（人）</w:t>
            </w:r>
          </w:p>
        </w:tc>
        <w:tc>
          <w:tcPr>
            <w:tcW w:w="1368" w:type="dxa"/>
            <w:vAlign w:val="center"/>
          </w:tcPr>
          <w:p>
            <w:pPr>
              <w:adjustRightInd w:val="0"/>
              <w:snapToGrid w:val="0"/>
              <w:spacing w:before="46" w:beforeLines="15" w:after="46" w:afterLines="15"/>
              <w:jc w:val="center"/>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约束性</w:t>
            </w:r>
          </w:p>
        </w:tc>
        <w:tc>
          <w:tcPr>
            <w:tcW w:w="1368" w:type="dxa"/>
            <w:vAlign w:val="center"/>
          </w:tcPr>
          <w:p>
            <w:pPr>
              <w:adjustRightInd w:val="0"/>
              <w:snapToGrid w:val="0"/>
              <w:spacing w:before="46" w:beforeLines="15" w:after="46" w:afterLines="15"/>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1.3</w:t>
            </w:r>
          </w:p>
        </w:tc>
        <w:tc>
          <w:tcPr>
            <w:tcW w:w="1368" w:type="dxa"/>
            <w:vAlign w:val="center"/>
          </w:tcPr>
          <w:p>
            <w:pPr>
              <w:adjustRightInd w:val="0"/>
              <w:snapToGrid w:val="0"/>
              <w:spacing w:before="46" w:beforeLines="15" w:after="46" w:afterLines="15"/>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 w:hRule="atLeast"/>
          <w:jc w:val="center"/>
        </w:trPr>
        <w:tc>
          <w:tcPr>
            <w:tcW w:w="4169" w:type="dxa"/>
            <w:vAlign w:val="center"/>
          </w:tcPr>
          <w:p>
            <w:pPr>
              <w:adjustRightInd w:val="0"/>
              <w:snapToGrid w:val="0"/>
              <w:spacing w:before="46" w:beforeLines="15" w:after="46" w:afterLines="15"/>
              <w:jc w:val="left"/>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老年友善医疗机构比例（</w:t>
            </w:r>
            <w:r>
              <w:rPr>
                <w:rFonts w:ascii="Times New Roman" w:hAnsi="Times New Roman" w:eastAsia="仿宋_GB2312" w:cs="Times New Roman"/>
                <w:color w:val="auto"/>
                <w:szCs w:val="21"/>
              </w:rPr>
              <w:t>%</w:t>
            </w:r>
            <w:r>
              <w:rPr>
                <w:rFonts w:hint="eastAsia" w:ascii="Times New Roman" w:hAnsi="Times New Roman" w:eastAsia="仿宋_GB2312" w:cs="Times New Roman"/>
                <w:color w:val="auto"/>
                <w:szCs w:val="21"/>
              </w:rPr>
              <w:t>）</w:t>
            </w:r>
          </w:p>
        </w:tc>
        <w:tc>
          <w:tcPr>
            <w:tcW w:w="1368" w:type="dxa"/>
            <w:vAlign w:val="center"/>
          </w:tcPr>
          <w:p>
            <w:pPr>
              <w:adjustRightInd w:val="0"/>
              <w:snapToGrid w:val="0"/>
              <w:spacing w:before="46" w:beforeLines="15" w:after="46" w:afterLines="15"/>
              <w:jc w:val="center"/>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约束性</w:t>
            </w:r>
          </w:p>
        </w:tc>
        <w:tc>
          <w:tcPr>
            <w:tcW w:w="1368" w:type="dxa"/>
            <w:vAlign w:val="center"/>
          </w:tcPr>
          <w:p>
            <w:pPr>
              <w:adjustRightInd w:val="0"/>
              <w:snapToGrid w:val="0"/>
              <w:spacing w:before="46" w:beforeLines="15" w:after="46" w:afterLines="15"/>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85</w:t>
            </w:r>
          </w:p>
        </w:tc>
        <w:tc>
          <w:tcPr>
            <w:tcW w:w="1368" w:type="dxa"/>
            <w:vAlign w:val="center"/>
          </w:tcPr>
          <w:p>
            <w:pPr>
              <w:adjustRightInd w:val="0"/>
              <w:snapToGrid w:val="0"/>
              <w:spacing w:before="46" w:beforeLines="15" w:after="46" w:afterLines="15"/>
              <w:jc w:val="center"/>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持续提高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 w:hRule="atLeast"/>
          <w:jc w:val="center"/>
        </w:trPr>
        <w:tc>
          <w:tcPr>
            <w:tcW w:w="4169" w:type="dxa"/>
            <w:vAlign w:val="center"/>
          </w:tcPr>
          <w:p>
            <w:pPr>
              <w:adjustRightInd w:val="0"/>
              <w:snapToGrid w:val="0"/>
              <w:spacing w:before="46" w:beforeLines="15" w:after="46" w:afterLines="15"/>
              <w:jc w:val="left"/>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重点人群签约服务覆盖率（</w:t>
            </w:r>
            <w:r>
              <w:rPr>
                <w:rFonts w:ascii="Times New Roman" w:hAnsi="Times New Roman" w:eastAsia="仿宋_GB2312" w:cs="Times New Roman"/>
                <w:color w:val="auto"/>
                <w:szCs w:val="21"/>
              </w:rPr>
              <w:t>%</w:t>
            </w:r>
            <w:r>
              <w:rPr>
                <w:rFonts w:hint="eastAsia" w:ascii="Times New Roman" w:hAnsi="Times New Roman" w:eastAsia="仿宋_GB2312" w:cs="Times New Roman"/>
                <w:color w:val="auto"/>
                <w:szCs w:val="21"/>
              </w:rPr>
              <w:t>）</w:t>
            </w:r>
          </w:p>
        </w:tc>
        <w:tc>
          <w:tcPr>
            <w:tcW w:w="1368" w:type="dxa"/>
            <w:vAlign w:val="center"/>
          </w:tcPr>
          <w:p>
            <w:pPr>
              <w:adjustRightInd w:val="0"/>
              <w:snapToGrid w:val="0"/>
              <w:spacing w:before="46" w:beforeLines="15" w:after="46" w:afterLines="15"/>
              <w:jc w:val="center"/>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指导性</w:t>
            </w:r>
          </w:p>
        </w:tc>
        <w:tc>
          <w:tcPr>
            <w:tcW w:w="1368" w:type="dxa"/>
            <w:vAlign w:val="center"/>
          </w:tcPr>
          <w:p>
            <w:pPr>
              <w:adjustRightInd w:val="0"/>
              <w:snapToGrid w:val="0"/>
              <w:spacing w:before="46" w:beforeLines="15" w:after="46" w:afterLines="15"/>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90</w:t>
            </w:r>
          </w:p>
        </w:tc>
        <w:tc>
          <w:tcPr>
            <w:tcW w:w="1368" w:type="dxa"/>
            <w:vAlign w:val="center"/>
          </w:tcPr>
          <w:p>
            <w:pPr>
              <w:adjustRightInd w:val="0"/>
              <w:snapToGrid w:val="0"/>
              <w:spacing w:before="46" w:beforeLines="15" w:after="46" w:afterLines="15"/>
              <w:jc w:val="center"/>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继续保持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 w:hRule="atLeast"/>
          <w:jc w:val="center"/>
        </w:trPr>
        <w:tc>
          <w:tcPr>
            <w:tcW w:w="4169" w:type="dxa"/>
            <w:vAlign w:val="center"/>
          </w:tcPr>
          <w:p>
            <w:pPr>
              <w:adjustRightInd w:val="0"/>
              <w:snapToGrid w:val="0"/>
              <w:spacing w:before="46" w:beforeLines="15" w:after="46" w:afterLines="15"/>
              <w:jc w:val="left"/>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预约就诊率（</w:t>
            </w:r>
            <w:r>
              <w:rPr>
                <w:rFonts w:ascii="Times New Roman" w:hAnsi="Times New Roman" w:eastAsia="仿宋_GB2312" w:cs="Times New Roman"/>
                <w:color w:val="auto"/>
                <w:szCs w:val="21"/>
              </w:rPr>
              <w:t>%</w:t>
            </w:r>
            <w:r>
              <w:rPr>
                <w:rFonts w:hint="eastAsia" w:ascii="Times New Roman" w:hAnsi="Times New Roman" w:eastAsia="仿宋_GB2312" w:cs="Times New Roman"/>
                <w:color w:val="auto"/>
                <w:szCs w:val="21"/>
              </w:rPr>
              <w:t>）</w:t>
            </w:r>
          </w:p>
        </w:tc>
        <w:tc>
          <w:tcPr>
            <w:tcW w:w="1368" w:type="dxa"/>
            <w:vAlign w:val="center"/>
          </w:tcPr>
          <w:p>
            <w:pPr>
              <w:adjustRightInd w:val="0"/>
              <w:snapToGrid w:val="0"/>
              <w:spacing w:before="46" w:beforeLines="15" w:after="46" w:afterLines="15"/>
              <w:jc w:val="center"/>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预期性</w:t>
            </w:r>
          </w:p>
        </w:tc>
        <w:tc>
          <w:tcPr>
            <w:tcW w:w="1368" w:type="dxa"/>
            <w:vAlign w:val="center"/>
          </w:tcPr>
          <w:p>
            <w:pPr>
              <w:adjustRightInd w:val="0"/>
              <w:snapToGrid w:val="0"/>
              <w:spacing w:before="46" w:beforeLines="15" w:after="46" w:afterLines="15"/>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80</w:t>
            </w:r>
          </w:p>
        </w:tc>
        <w:tc>
          <w:tcPr>
            <w:tcW w:w="1368" w:type="dxa"/>
            <w:vAlign w:val="center"/>
          </w:tcPr>
          <w:p>
            <w:pPr>
              <w:adjustRightInd w:val="0"/>
              <w:snapToGrid w:val="0"/>
              <w:spacing w:before="46" w:beforeLines="15" w:after="46" w:afterLines="15"/>
              <w:jc w:val="center"/>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持续提高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 w:hRule="atLeast"/>
          <w:jc w:val="center"/>
        </w:trPr>
        <w:tc>
          <w:tcPr>
            <w:tcW w:w="4169" w:type="dxa"/>
            <w:vAlign w:val="center"/>
          </w:tcPr>
          <w:p>
            <w:pPr>
              <w:pStyle w:val="35"/>
              <w:jc w:val="both"/>
              <w:rPr>
                <w:rFonts w:ascii="Times New Roman" w:hAnsi="Times New Roman" w:eastAsia="仿宋_GB2312" w:cs="Times New Roman"/>
                <w:color w:val="auto"/>
                <w:kern w:val="0"/>
                <w:sz w:val="21"/>
                <w:szCs w:val="21"/>
              </w:rPr>
            </w:pPr>
            <w:r>
              <w:rPr>
                <w:rFonts w:hint="eastAsia" w:ascii="Times New Roman" w:hAnsi="Times New Roman" w:eastAsia="仿宋_GB2312" w:cs="Times New Roman"/>
                <w:color w:val="auto"/>
                <w:sz w:val="21"/>
                <w:szCs w:val="21"/>
              </w:rPr>
              <w:t>院前医疗急救满足率（</w:t>
            </w:r>
            <w:r>
              <w:rPr>
                <w:rFonts w:ascii="Times New Roman" w:hAnsi="Times New Roman" w:eastAsia="仿宋_GB2312" w:cs="Times New Roman"/>
                <w:color w:val="auto"/>
                <w:sz w:val="21"/>
                <w:szCs w:val="21"/>
              </w:rPr>
              <w:t>%</w:t>
            </w:r>
            <w:r>
              <w:rPr>
                <w:rFonts w:hint="eastAsia" w:ascii="Times New Roman" w:hAnsi="Times New Roman" w:eastAsia="仿宋_GB2312" w:cs="Times New Roman"/>
                <w:color w:val="auto"/>
                <w:sz w:val="21"/>
                <w:szCs w:val="21"/>
              </w:rPr>
              <w:t>）</w:t>
            </w:r>
          </w:p>
        </w:tc>
        <w:tc>
          <w:tcPr>
            <w:tcW w:w="1368" w:type="dxa"/>
            <w:vAlign w:val="center"/>
          </w:tcPr>
          <w:p>
            <w:pPr>
              <w:adjustRightInd w:val="0"/>
              <w:snapToGrid w:val="0"/>
              <w:spacing w:before="46" w:beforeLines="15" w:after="46" w:afterLines="15"/>
              <w:jc w:val="center"/>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约束性</w:t>
            </w:r>
          </w:p>
        </w:tc>
        <w:tc>
          <w:tcPr>
            <w:tcW w:w="1368" w:type="dxa"/>
            <w:vAlign w:val="center"/>
          </w:tcPr>
          <w:p>
            <w:pPr>
              <w:adjustRightInd w:val="0"/>
              <w:snapToGrid w:val="0"/>
              <w:spacing w:before="46" w:beforeLines="15" w:after="46" w:afterLines="15"/>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95</w:t>
            </w:r>
          </w:p>
        </w:tc>
        <w:tc>
          <w:tcPr>
            <w:tcW w:w="1368" w:type="dxa"/>
            <w:vAlign w:val="center"/>
          </w:tcPr>
          <w:p>
            <w:pPr>
              <w:adjustRightInd w:val="0"/>
              <w:snapToGrid w:val="0"/>
              <w:spacing w:before="46" w:beforeLines="15" w:after="46" w:afterLines="15"/>
              <w:jc w:val="center"/>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持续提高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 w:hRule="atLeast"/>
          <w:jc w:val="center"/>
        </w:trPr>
        <w:tc>
          <w:tcPr>
            <w:tcW w:w="4169" w:type="dxa"/>
            <w:tcBorders>
              <w:bottom w:val="single" w:color="auto" w:sz="4" w:space="0"/>
            </w:tcBorders>
            <w:vAlign w:val="center"/>
          </w:tcPr>
          <w:p>
            <w:pPr>
              <w:pStyle w:val="35"/>
              <w:jc w:val="both"/>
              <w:rPr>
                <w:rFonts w:ascii="Times New Roman" w:hAnsi="Times New Roman" w:eastAsia="仿宋_GB2312" w:cs="Times New Roman"/>
                <w:color w:val="auto"/>
                <w:kern w:val="0"/>
                <w:sz w:val="21"/>
                <w:szCs w:val="21"/>
              </w:rPr>
            </w:pPr>
            <w:r>
              <w:rPr>
                <w:rFonts w:hint="eastAsia" w:ascii="Times New Roman" w:hAnsi="Times New Roman" w:eastAsia="仿宋_GB2312" w:cs="Times New Roman"/>
                <w:color w:val="auto"/>
                <w:sz w:val="21"/>
                <w:szCs w:val="21"/>
              </w:rPr>
              <w:t>个人卫生支出占卫生总费用的比重（</w:t>
            </w:r>
            <w:r>
              <w:rPr>
                <w:rFonts w:ascii="Times New Roman" w:hAnsi="Times New Roman" w:eastAsia="仿宋_GB2312" w:cs="Times New Roman"/>
                <w:color w:val="auto"/>
                <w:sz w:val="21"/>
                <w:szCs w:val="21"/>
              </w:rPr>
              <w:t>%</w:t>
            </w:r>
            <w:r>
              <w:rPr>
                <w:rFonts w:hint="eastAsia" w:ascii="Times New Roman" w:hAnsi="Times New Roman" w:eastAsia="仿宋_GB2312" w:cs="Times New Roman"/>
                <w:color w:val="auto"/>
                <w:sz w:val="21"/>
                <w:szCs w:val="21"/>
              </w:rPr>
              <w:t>）</w:t>
            </w:r>
          </w:p>
        </w:tc>
        <w:tc>
          <w:tcPr>
            <w:tcW w:w="1368" w:type="dxa"/>
            <w:tcBorders>
              <w:bottom w:val="single" w:color="auto" w:sz="4" w:space="0"/>
            </w:tcBorders>
            <w:vAlign w:val="center"/>
          </w:tcPr>
          <w:p>
            <w:pPr>
              <w:adjustRightInd w:val="0"/>
              <w:snapToGrid w:val="0"/>
              <w:spacing w:before="46" w:beforeLines="15" w:after="46" w:afterLines="15"/>
              <w:jc w:val="center"/>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预期性</w:t>
            </w:r>
          </w:p>
        </w:tc>
        <w:tc>
          <w:tcPr>
            <w:tcW w:w="1368" w:type="dxa"/>
            <w:tcBorders>
              <w:bottom w:val="single" w:color="auto" w:sz="4" w:space="0"/>
            </w:tcBorders>
            <w:vAlign w:val="center"/>
          </w:tcPr>
          <w:p>
            <w:pPr>
              <w:adjustRightInd w:val="0"/>
              <w:snapToGrid w:val="0"/>
              <w:spacing w:before="46" w:beforeLines="15" w:after="46" w:afterLines="15"/>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26</w:t>
            </w:r>
            <w:r>
              <w:rPr>
                <w:rFonts w:hint="eastAsia" w:ascii="Times New Roman" w:hAnsi="Times New Roman" w:eastAsia="仿宋_GB2312" w:cs="Times New Roman"/>
                <w:color w:val="auto"/>
                <w:szCs w:val="21"/>
              </w:rPr>
              <w:t>左右</w:t>
            </w:r>
          </w:p>
        </w:tc>
        <w:tc>
          <w:tcPr>
            <w:tcW w:w="1368" w:type="dxa"/>
            <w:tcBorders>
              <w:bottom w:val="single" w:color="auto" w:sz="4" w:space="0"/>
            </w:tcBorders>
            <w:vAlign w:val="center"/>
          </w:tcPr>
          <w:p>
            <w:pPr>
              <w:adjustRightInd w:val="0"/>
              <w:snapToGrid w:val="0"/>
              <w:spacing w:before="46" w:beforeLines="15" w:after="46" w:afterLines="15"/>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25</w:t>
            </w:r>
            <w:r>
              <w:rPr>
                <w:rFonts w:hint="eastAsia" w:ascii="Times New Roman" w:hAnsi="Times New Roman" w:eastAsia="仿宋_GB2312" w:cs="Times New Roman"/>
                <w:color w:val="auto"/>
                <w:szCs w:val="21"/>
              </w:rPr>
              <w:t>以下</w:t>
            </w:r>
          </w:p>
        </w:tc>
      </w:tr>
    </w:tbl>
    <w:p>
      <w:pPr>
        <w:widowControl/>
        <w:jc w:val="left"/>
        <w:rPr>
          <w:color w:val="auto"/>
        </w:rPr>
      </w:pPr>
      <w:bookmarkStart w:id="29" w:name="_Toc38207199"/>
      <w:bookmarkStart w:id="30" w:name="_Toc39046080"/>
      <w:bookmarkStart w:id="31" w:name="_Toc38207346"/>
      <w:bookmarkStart w:id="32" w:name="_Toc38207200"/>
      <w:bookmarkStart w:id="33" w:name="_Toc38207248"/>
      <w:bookmarkStart w:id="34" w:name="_Toc38207298"/>
      <w:bookmarkStart w:id="35" w:name="_Toc38207347"/>
      <w:bookmarkStart w:id="36" w:name="_Toc39045944"/>
      <w:bookmarkStart w:id="37" w:name="_Toc38207297"/>
      <w:bookmarkStart w:id="38" w:name="_Toc38207249"/>
    </w:p>
    <w:p>
      <w:pPr>
        <w:pStyle w:val="2"/>
        <w:numPr>
          <w:ilvl w:val="0"/>
          <w:numId w:val="0"/>
        </w:numPr>
        <w:spacing w:after="156" w:afterLines="50"/>
        <w:rPr>
          <w:rFonts w:ascii="Times New Roman" w:hAnsi="Times New Roman"/>
          <w:color w:val="auto"/>
          <w:sz w:val="40"/>
          <w:szCs w:val="28"/>
        </w:rPr>
      </w:pPr>
      <w:bookmarkStart w:id="39" w:name="_Toc93511772"/>
      <w:r>
        <w:rPr>
          <w:rFonts w:hint="eastAsia" w:ascii="Times New Roman" w:hAnsi="Times New Roman"/>
          <w:color w:val="auto"/>
          <w:sz w:val="40"/>
          <w:szCs w:val="28"/>
        </w:rPr>
        <w:t>第三章</w:t>
      </w:r>
      <w:r>
        <w:rPr>
          <w:rFonts w:ascii="Times New Roman" w:hAnsi="Times New Roman"/>
          <w:color w:val="auto"/>
          <w:sz w:val="40"/>
          <w:szCs w:val="28"/>
        </w:rPr>
        <w:t xml:space="preserve"> </w:t>
      </w:r>
      <w:r>
        <w:rPr>
          <w:rFonts w:hint="eastAsia" w:ascii="Times New Roman" w:hAnsi="Times New Roman"/>
          <w:color w:val="auto"/>
          <w:sz w:val="40"/>
          <w:szCs w:val="28"/>
        </w:rPr>
        <w:t>重点任务与措施</w:t>
      </w:r>
      <w:bookmarkEnd w:id="39"/>
    </w:p>
    <w:p>
      <w:pPr>
        <w:pStyle w:val="3"/>
        <w:spacing w:line="360" w:lineRule="auto"/>
        <w:ind w:firstLine="723" w:firstLineChars="200"/>
        <w:jc w:val="both"/>
        <w:rPr>
          <w:rFonts w:ascii="楷体" w:hAnsi="楷体" w:eastAsia="楷体"/>
          <w:color w:val="auto"/>
          <w:sz w:val="36"/>
          <w:szCs w:val="28"/>
        </w:rPr>
      </w:pPr>
      <w:bookmarkStart w:id="40" w:name="_Toc93511773"/>
      <w:r>
        <w:rPr>
          <w:rFonts w:hint="eastAsia" w:ascii="楷体" w:hAnsi="楷体" w:eastAsia="楷体"/>
          <w:color w:val="auto"/>
          <w:sz w:val="36"/>
          <w:szCs w:val="28"/>
        </w:rPr>
        <w:t>一、</w:t>
      </w:r>
      <w:r>
        <w:rPr>
          <w:rFonts w:ascii="楷体" w:hAnsi="楷体" w:eastAsia="楷体"/>
          <w:color w:val="auto"/>
          <w:sz w:val="36"/>
          <w:szCs w:val="28"/>
        </w:rPr>
        <w:t>持续深化医药卫生体制改革</w:t>
      </w:r>
      <w:bookmarkEnd w:id="40"/>
    </w:p>
    <w:p>
      <w:pPr>
        <w:pStyle w:val="5"/>
        <w:tabs>
          <w:tab w:val="clear" w:pos="720"/>
        </w:tabs>
        <w:spacing w:before="0" w:after="0" w:line="360" w:lineRule="auto"/>
        <w:ind w:left="0" w:firstLine="643" w:firstLineChars="200"/>
        <w:jc w:val="both"/>
        <w:rPr>
          <w:rFonts w:ascii="Times New Roman" w:hAnsi="Times New Roman"/>
          <w:color w:val="auto"/>
          <w:sz w:val="32"/>
          <w:szCs w:val="28"/>
        </w:rPr>
      </w:pPr>
      <w:bookmarkStart w:id="41" w:name="_Toc93511774"/>
      <w:r>
        <w:rPr>
          <w:rFonts w:hint="eastAsia" w:ascii="Times New Roman" w:hAnsi="Times New Roman"/>
          <w:color w:val="auto"/>
          <w:sz w:val="32"/>
          <w:szCs w:val="28"/>
        </w:rPr>
        <w:t>（一）学习借鉴三明医改经验</w:t>
      </w:r>
      <w:bookmarkEnd w:id="41"/>
    </w:p>
    <w:p>
      <w:pPr>
        <w:adjustRightInd w:val="0"/>
        <w:snapToGrid w:val="0"/>
        <w:spacing w:before="46" w:beforeLines="15" w:after="46" w:afterLines="15" w:line="360" w:lineRule="auto"/>
        <w:ind w:firstLine="640" w:firstLineChars="200"/>
        <w:jc w:val="left"/>
        <w:rPr>
          <w:rFonts w:ascii="Times New Roman" w:hAnsi="Times New Roman" w:eastAsia="仿宋_GB2312" w:cs="Times New Roman"/>
          <w:bCs/>
          <w:color w:val="auto"/>
          <w:sz w:val="32"/>
          <w:szCs w:val="28"/>
        </w:rPr>
      </w:pPr>
      <w:r>
        <w:rPr>
          <w:rFonts w:hint="eastAsia" w:ascii="Times New Roman" w:hAnsi="Times New Roman" w:eastAsia="仿宋_GB2312" w:cs="Times New Roman"/>
          <w:bCs/>
          <w:color w:val="auto"/>
          <w:sz w:val="32"/>
          <w:szCs w:val="28"/>
        </w:rPr>
        <w:t>落实政府对卫生健康事业投入政策，加大对公共卫生机构、基层医疗卫生机构的倾斜力度。健全维护公益性、调动积极性、保障可持续的公立医疗机构运行新机制。探索依托医联体建设，改革补偿方式，提供一体化、连续性卫生健康服务，建立与之相应的管理体制和监管机制。推动医疗卫生机构薪酬制度和人事管理制度改革，调动医务人员积极性。</w:t>
      </w:r>
    </w:p>
    <w:p>
      <w:pPr>
        <w:pStyle w:val="5"/>
        <w:tabs>
          <w:tab w:val="clear" w:pos="720"/>
        </w:tabs>
        <w:spacing w:before="0" w:after="0" w:line="360" w:lineRule="auto"/>
        <w:ind w:left="0" w:firstLine="643" w:firstLineChars="200"/>
        <w:jc w:val="both"/>
        <w:rPr>
          <w:rFonts w:ascii="Times New Roman" w:hAnsi="Times New Roman"/>
          <w:color w:val="auto"/>
          <w:sz w:val="32"/>
          <w:szCs w:val="28"/>
        </w:rPr>
      </w:pPr>
      <w:bookmarkStart w:id="42" w:name="_Toc93511775"/>
      <w:r>
        <w:rPr>
          <w:rFonts w:hint="eastAsia" w:ascii="Times New Roman" w:hAnsi="Times New Roman"/>
          <w:color w:val="auto"/>
          <w:sz w:val="32"/>
          <w:szCs w:val="28"/>
        </w:rPr>
        <w:t>（二）深入推进三医联动改革</w:t>
      </w:r>
      <w:bookmarkEnd w:id="42"/>
    </w:p>
    <w:p>
      <w:pPr>
        <w:adjustRightInd w:val="0"/>
        <w:snapToGrid w:val="0"/>
        <w:spacing w:before="46" w:beforeLines="15" w:after="46" w:afterLines="15" w:line="360" w:lineRule="auto"/>
        <w:ind w:firstLine="640" w:firstLineChars="200"/>
        <w:jc w:val="left"/>
        <w:rPr>
          <w:rFonts w:ascii="Times New Roman" w:hAnsi="Times New Roman" w:eastAsia="仿宋_GB2312" w:cs="Times New Roman"/>
          <w:bCs/>
          <w:color w:val="auto"/>
          <w:sz w:val="32"/>
          <w:szCs w:val="28"/>
        </w:rPr>
      </w:pPr>
      <w:r>
        <w:rPr>
          <w:rFonts w:hint="eastAsia" w:ascii="Times New Roman" w:hAnsi="Times New Roman" w:eastAsia="仿宋_GB2312" w:cs="Times New Roman"/>
          <w:bCs/>
          <w:color w:val="auto"/>
          <w:sz w:val="32"/>
          <w:szCs w:val="28"/>
        </w:rPr>
        <w:t>组织完善医疗服务行为规范，指导医疗机构完善临床路径，加强对药品、耗材、检验检查合理使用监管，监测医疗服务费用增长，将医药费用控制情况纳入对公立医院院长的考核评价。按照医疗保险支付方式改革以及医疗服务管理相关要求，推动建立合理的利益驱动机制，引导医疗机构加强内部成本控制、提高服务质量和技术水平，形成有效的三医联动协同机制。</w:t>
      </w:r>
    </w:p>
    <w:p>
      <w:pPr>
        <w:pStyle w:val="5"/>
        <w:tabs>
          <w:tab w:val="clear" w:pos="720"/>
        </w:tabs>
        <w:spacing w:before="0" w:after="0" w:line="360" w:lineRule="auto"/>
        <w:ind w:left="0" w:firstLine="643" w:firstLineChars="200"/>
        <w:jc w:val="both"/>
        <w:rPr>
          <w:rFonts w:ascii="Times New Roman" w:hAnsi="Times New Roman"/>
          <w:color w:val="auto"/>
          <w:sz w:val="32"/>
          <w:szCs w:val="28"/>
        </w:rPr>
      </w:pPr>
      <w:bookmarkStart w:id="43" w:name="_Toc93511776"/>
      <w:r>
        <w:rPr>
          <w:rFonts w:hint="eastAsia" w:ascii="Times New Roman" w:hAnsi="Times New Roman"/>
          <w:color w:val="auto"/>
          <w:sz w:val="32"/>
          <w:szCs w:val="28"/>
        </w:rPr>
        <w:t>（三）加强分级诊疗制度建设</w:t>
      </w:r>
      <w:bookmarkEnd w:id="43"/>
    </w:p>
    <w:p>
      <w:pPr>
        <w:adjustRightInd w:val="0"/>
        <w:snapToGrid w:val="0"/>
        <w:spacing w:before="46" w:beforeLines="15" w:after="46" w:afterLines="15" w:line="360" w:lineRule="auto"/>
        <w:ind w:firstLine="640" w:firstLineChars="200"/>
        <w:jc w:val="left"/>
        <w:rPr>
          <w:rFonts w:ascii="Times New Roman" w:hAnsi="Times New Roman" w:eastAsia="仿宋_GB2312" w:cs="Times New Roman"/>
          <w:bCs/>
          <w:color w:val="auto"/>
          <w:sz w:val="32"/>
          <w:szCs w:val="28"/>
        </w:rPr>
      </w:pPr>
      <w:r>
        <w:rPr>
          <w:rFonts w:hint="eastAsia" w:ascii="Times New Roman" w:hAnsi="Times New Roman" w:eastAsia="仿宋_GB2312" w:cs="Times New Roman"/>
          <w:bCs/>
          <w:color w:val="auto"/>
          <w:sz w:val="32"/>
          <w:szCs w:val="28"/>
        </w:rPr>
        <w:t>建立健全预约转诊平台，推动各级医疗卫生机构与平台对接，切实做好预约转诊的组织、协调和管理工作。加大慢性病社区（村）就诊引导宣传力度，通过长处方、减免门诊诊疗费等方式，提高居民基层医疗服务利用程度。探索三级医院实行按病种转诊制度，推动医院下转诊断明确的慢性病。引导基层医疗卫生机构积极开展家医签约、家庭病床、健康管理等服务。提升基层药师队伍能力，实现社区（村）药师独立开展家庭用药指导、家庭药箱管理等标准化服务。</w:t>
      </w:r>
    </w:p>
    <w:p>
      <w:pPr>
        <w:pStyle w:val="5"/>
        <w:tabs>
          <w:tab w:val="clear" w:pos="720"/>
        </w:tabs>
        <w:spacing w:before="0" w:after="0" w:line="360" w:lineRule="auto"/>
        <w:ind w:left="0" w:firstLine="643" w:firstLineChars="200"/>
        <w:jc w:val="both"/>
        <w:rPr>
          <w:rFonts w:ascii="Times New Roman" w:hAnsi="Times New Roman"/>
          <w:color w:val="auto"/>
          <w:sz w:val="32"/>
          <w:szCs w:val="28"/>
        </w:rPr>
      </w:pPr>
      <w:bookmarkStart w:id="44" w:name="_Toc93511777"/>
      <w:r>
        <w:rPr>
          <w:rFonts w:hint="eastAsia" w:ascii="Times New Roman" w:hAnsi="Times New Roman"/>
          <w:color w:val="auto"/>
          <w:sz w:val="32"/>
          <w:szCs w:val="28"/>
        </w:rPr>
        <w:t>（四）推动公立医院高质量发展</w:t>
      </w:r>
      <w:bookmarkEnd w:id="44"/>
    </w:p>
    <w:p>
      <w:pPr>
        <w:adjustRightInd w:val="0"/>
        <w:snapToGrid w:val="0"/>
        <w:spacing w:before="46" w:beforeLines="15" w:after="46" w:afterLines="15" w:line="360" w:lineRule="auto"/>
        <w:ind w:firstLine="640" w:firstLineChars="200"/>
        <w:jc w:val="left"/>
        <w:rPr>
          <w:rFonts w:ascii="Times New Roman" w:hAnsi="Times New Roman" w:eastAsia="仿宋_GB2312" w:cs="Times New Roman"/>
          <w:bCs/>
          <w:color w:val="auto"/>
          <w:sz w:val="32"/>
          <w:szCs w:val="28"/>
        </w:rPr>
      </w:pPr>
      <w:r>
        <w:rPr>
          <w:rFonts w:hint="eastAsia" w:ascii="Times New Roman" w:hAnsi="Times New Roman" w:eastAsia="仿宋_GB2312" w:cs="Times New Roman"/>
          <w:bCs/>
          <w:color w:val="auto"/>
          <w:sz w:val="32"/>
          <w:szCs w:val="28"/>
        </w:rPr>
        <w:t>全面加强公立医院党的领导，完善公立医院领导人选拔任用培养制度。推动公立医院制定章程，建立健全内部管理运行制度。推进公立医院全面预算管理，探索更加科学合理的财政分类补偿机制。鼓励公立医院开展新技术、新项目，不断提高医疗服务水平，改进服务质量。健全以公益为导向，以质量安全、服务效率、公共卫生、成本控制、患者满意度等为主要内容的绩效考核评价体系，强化绩效考核的指挥棒作用。</w:t>
      </w:r>
    </w:p>
    <w:p>
      <w:pPr>
        <w:pStyle w:val="5"/>
        <w:tabs>
          <w:tab w:val="clear" w:pos="720"/>
        </w:tabs>
        <w:spacing w:before="0" w:after="0" w:line="360" w:lineRule="auto"/>
        <w:ind w:left="0" w:firstLine="643" w:firstLineChars="200"/>
        <w:jc w:val="both"/>
        <w:rPr>
          <w:rFonts w:ascii="Times New Roman" w:hAnsi="Times New Roman"/>
          <w:color w:val="auto"/>
          <w:sz w:val="32"/>
          <w:szCs w:val="28"/>
        </w:rPr>
      </w:pPr>
      <w:bookmarkStart w:id="45" w:name="_Toc93511778"/>
      <w:r>
        <w:rPr>
          <w:rFonts w:hint="eastAsia" w:ascii="Times New Roman" w:hAnsi="Times New Roman"/>
          <w:color w:val="auto"/>
          <w:sz w:val="32"/>
          <w:szCs w:val="28"/>
        </w:rPr>
        <w:t>（五）加强医防融合军民融合</w:t>
      </w:r>
      <w:bookmarkEnd w:id="45"/>
    </w:p>
    <w:p>
      <w:pPr>
        <w:adjustRightInd w:val="0"/>
        <w:snapToGrid w:val="0"/>
        <w:spacing w:before="46" w:beforeLines="15" w:after="46" w:afterLines="15" w:line="360" w:lineRule="auto"/>
        <w:ind w:firstLine="640" w:firstLineChars="200"/>
        <w:jc w:val="left"/>
        <w:rPr>
          <w:rFonts w:eastAsia="仿宋_GB2312"/>
          <w:bCs/>
          <w:color w:val="auto"/>
          <w:sz w:val="32"/>
          <w:szCs w:val="28"/>
        </w:rPr>
      </w:pPr>
      <w:r>
        <w:rPr>
          <w:rFonts w:eastAsia="仿宋_GB2312"/>
          <w:bCs/>
          <w:color w:val="auto"/>
          <w:sz w:val="32"/>
          <w:szCs w:val="28"/>
        </w:rPr>
        <w:t>鼓励医疗机构</w:t>
      </w:r>
      <w:r>
        <w:rPr>
          <w:rFonts w:hint="eastAsia" w:eastAsia="仿宋_GB2312"/>
          <w:bCs/>
          <w:color w:val="auto"/>
          <w:sz w:val="32"/>
          <w:szCs w:val="28"/>
        </w:rPr>
        <w:t>、</w:t>
      </w:r>
      <w:r>
        <w:rPr>
          <w:rFonts w:eastAsia="仿宋_GB2312"/>
          <w:bCs/>
          <w:color w:val="auto"/>
          <w:sz w:val="32"/>
          <w:szCs w:val="28"/>
        </w:rPr>
        <w:t>医务人员开展健康教育</w:t>
      </w:r>
      <w:r>
        <w:rPr>
          <w:rFonts w:hint="eastAsia" w:eastAsia="仿宋_GB2312"/>
          <w:bCs/>
          <w:color w:val="auto"/>
          <w:sz w:val="32"/>
          <w:szCs w:val="28"/>
        </w:rPr>
        <w:t>，</w:t>
      </w:r>
      <w:r>
        <w:rPr>
          <w:rFonts w:eastAsia="仿宋_GB2312"/>
          <w:bCs/>
          <w:color w:val="auto"/>
          <w:sz w:val="32"/>
          <w:szCs w:val="28"/>
        </w:rPr>
        <w:t>推动健康高风险人群</w:t>
      </w:r>
      <w:r>
        <w:rPr>
          <w:rFonts w:hint="eastAsia" w:eastAsia="仿宋_GB2312"/>
          <w:bCs/>
          <w:color w:val="auto"/>
          <w:sz w:val="32"/>
          <w:szCs w:val="28"/>
        </w:rPr>
        <w:t>积极参加</w:t>
      </w:r>
      <w:r>
        <w:rPr>
          <w:rFonts w:eastAsia="仿宋_GB2312"/>
          <w:bCs/>
          <w:color w:val="auto"/>
          <w:sz w:val="32"/>
          <w:szCs w:val="28"/>
        </w:rPr>
        <w:t>健康体检</w:t>
      </w:r>
      <w:r>
        <w:rPr>
          <w:rFonts w:hint="eastAsia" w:eastAsia="仿宋_GB2312"/>
          <w:bCs/>
          <w:color w:val="auto"/>
          <w:sz w:val="32"/>
          <w:szCs w:val="28"/>
        </w:rPr>
        <w:t>，</w:t>
      </w:r>
      <w:r>
        <w:rPr>
          <w:rFonts w:hint="eastAsia" w:ascii="Times New Roman" w:hAnsi="Times New Roman" w:eastAsia="仿宋_GB2312" w:cs="Times New Roman"/>
          <w:color w:val="auto"/>
          <w:sz w:val="32"/>
          <w:szCs w:val="28"/>
        </w:rPr>
        <w:t>倡导适龄妇女接种宫颈癌疫苗等，强化医疗卫生机构履行公共卫生服务职能</w:t>
      </w:r>
      <w:r>
        <w:rPr>
          <w:rFonts w:hint="eastAsia" w:eastAsia="仿宋_GB2312"/>
          <w:bCs/>
          <w:color w:val="auto"/>
          <w:sz w:val="32"/>
          <w:szCs w:val="28"/>
        </w:rPr>
        <w:t>。</w:t>
      </w:r>
      <w:r>
        <w:rPr>
          <w:rFonts w:eastAsia="仿宋_GB2312"/>
          <w:bCs/>
          <w:color w:val="auto"/>
          <w:sz w:val="32"/>
          <w:szCs w:val="28"/>
        </w:rPr>
        <w:t>落实疫情常态化防控措施，预防院内交叉感染。</w:t>
      </w:r>
      <w:r>
        <w:rPr>
          <w:rFonts w:hint="eastAsia" w:eastAsia="仿宋_GB2312"/>
          <w:bCs/>
          <w:color w:val="auto"/>
          <w:sz w:val="32"/>
          <w:szCs w:val="28"/>
        </w:rPr>
        <w:t>监督医疗机构及时上报传染病等公共卫生风险信息。加强与辖区内军队医疗卫生机构开展交流合作，通过共建专科医联体、专科联盟、双向转诊通道等形式，探索军民融合发展的新模式。</w:t>
      </w:r>
    </w:p>
    <w:p>
      <w:pPr>
        <w:pStyle w:val="5"/>
        <w:tabs>
          <w:tab w:val="clear" w:pos="720"/>
        </w:tabs>
        <w:spacing w:before="0" w:after="0" w:line="360" w:lineRule="auto"/>
        <w:ind w:left="0" w:firstLine="643" w:firstLineChars="200"/>
        <w:jc w:val="both"/>
        <w:rPr>
          <w:rFonts w:ascii="Times New Roman" w:hAnsi="Times New Roman"/>
          <w:color w:val="auto"/>
          <w:sz w:val="32"/>
          <w:szCs w:val="28"/>
        </w:rPr>
      </w:pPr>
      <w:bookmarkStart w:id="46" w:name="_Toc93511779"/>
      <w:r>
        <w:rPr>
          <w:rFonts w:hint="eastAsia" w:ascii="Times New Roman" w:hAnsi="Times New Roman"/>
          <w:color w:val="auto"/>
          <w:sz w:val="32"/>
          <w:szCs w:val="28"/>
        </w:rPr>
        <w:t>（六）持续推进服务模式转变</w:t>
      </w:r>
      <w:bookmarkEnd w:id="46"/>
    </w:p>
    <w:p>
      <w:pPr>
        <w:adjustRightInd w:val="0"/>
        <w:snapToGrid w:val="0"/>
        <w:spacing w:before="46" w:beforeLines="15" w:after="46" w:afterLines="15" w:line="360" w:lineRule="auto"/>
        <w:ind w:firstLine="640" w:firstLineChars="200"/>
        <w:jc w:val="left"/>
        <w:rPr>
          <w:rFonts w:ascii="Times New Roman" w:hAnsi="Times New Roman" w:eastAsia="仿宋_GB2312" w:cs="Times New Roman"/>
          <w:bCs/>
          <w:color w:val="auto"/>
          <w:sz w:val="32"/>
          <w:szCs w:val="28"/>
        </w:rPr>
      </w:pPr>
      <w:r>
        <w:rPr>
          <w:rFonts w:hint="eastAsia" w:eastAsia="仿宋_GB2312"/>
          <w:bCs/>
          <w:color w:val="auto"/>
          <w:sz w:val="32"/>
          <w:szCs w:val="28"/>
        </w:rPr>
        <w:t>深入推动互联网医疗、智慧医疗发展，完善配套政策措施，</w:t>
      </w:r>
      <w:r>
        <w:rPr>
          <w:rFonts w:hint="eastAsia" w:ascii="Times New Roman" w:hAnsi="Times New Roman" w:eastAsia="仿宋_GB2312" w:cs="Times New Roman"/>
          <w:bCs/>
          <w:color w:val="auto"/>
          <w:sz w:val="32"/>
          <w:szCs w:val="28"/>
        </w:rPr>
        <w:t>形成线上线下一体化的医疗服务局面。不断优化服务流程，推进预约诊疗、诊间结算等工作，提高服务便捷程度。推广多学科诊疗、日间手术等新服务模式，提高服务效率。指导符合标准的各级各类医疗卫生机构积极参与老年友善医院建设，有效增强人民群众的就医满意度和获得感。</w:t>
      </w:r>
    </w:p>
    <w:p>
      <w:pPr>
        <w:pStyle w:val="3"/>
        <w:spacing w:line="360" w:lineRule="auto"/>
        <w:ind w:firstLine="723" w:firstLineChars="200"/>
        <w:jc w:val="both"/>
        <w:rPr>
          <w:rFonts w:ascii="楷体" w:hAnsi="楷体" w:eastAsia="楷体"/>
          <w:color w:val="auto"/>
          <w:sz w:val="36"/>
          <w:szCs w:val="28"/>
        </w:rPr>
      </w:pPr>
      <w:bookmarkStart w:id="47" w:name="_Toc93511780"/>
      <w:r>
        <w:rPr>
          <w:rFonts w:hint="eastAsia" w:ascii="楷体" w:hAnsi="楷体" w:eastAsia="楷体"/>
          <w:color w:val="auto"/>
          <w:sz w:val="36"/>
          <w:szCs w:val="28"/>
        </w:rPr>
        <w:t>二、</w:t>
      </w:r>
      <w:r>
        <w:rPr>
          <w:rFonts w:ascii="楷体" w:hAnsi="楷体" w:eastAsia="楷体"/>
          <w:color w:val="auto"/>
          <w:sz w:val="36"/>
          <w:szCs w:val="28"/>
        </w:rPr>
        <w:t>构建更加现代的公</w:t>
      </w:r>
      <w:r>
        <w:rPr>
          <w:rFonts w:hint="eastAsia" w:ascii="楷体" w:hAnsi="楷体" w:eastAsia="楷体"/>
          <w:color w:val="auto"/>
          <w:sz w:val="36"/>
          <w:szCs w:val="28"/>
        </w:rPr>
        <w:t>共</w:t>
      </w:r>
      <w:r>
        <w:rPr>
          <w:rFonts w:ascii="楷体" w:hAnsi="楷体" w:eastAsia="楷体"/>
          <w:color w:val="auto"/>
          <w:sz w:val="36"/>
          <w:szCs w:val="28"/>
        </w:rPr>
        <w:t>卫</w:t>
      </w:r>
      <w:r>
        <w:rPr>
          <w:rFonts w:hint="eastAsia" w:ascii="楷体" w:hAnsi="楷体" w:eastAsia="楷体"/>
          <w:color w:val="auto"/>
          <w:sz w:val="36"/>
          <w:szCs w:val="28"/>
        </w:rPr>
        <w:t>生服务</w:t>
      </w:r>
      <w:r>
        <w:rPr>
          <w:rFonts w:ascii="楷体" w:hAnsi="楷体" w:eastAsia="楷体"/>
          <w:color w:val="auto"/>
          <w:sz w:val="36"/>
          <w:szCs w:val="28"/>
        </w:rPr>
        <w:t>体系</w:t>
      </w:r>
      <w:bookmarkEnd w:id="47"/>
    </w:p>
    <w:p>
      <w:pPr>
        <w:pStyle w:val="5"/>
        <w:tabs>
          <w:tab w:val="clear" w:pos="720"/>
        </w:tabs>
        <w:spacing w:before="0" w:after="0" w:line="360" w:lineRule="auto"/>
        <w:ind w:left="0" w:firstLine="643" w:firstLineChars="200"/>
        <w:jc w:val="both"/>
        <w:rPr>
          <w:rFonts w:ascii="Times New Roman" w:hAnsi="Times New Roman"/>
          <w:color w:val="auto"/>
          <w:sz w:val="32"/>
          <w:szCs w:val="28"/>
        </w:rPr>
      </w:pPr>
      <w:bookmarkStart w:id="48" w:name="_Toc93511781"/>
      <w:r>
        <w:rPr>
          <w:rFonts w:hint="eastAsia" w:ascii="Times New Roman" w:hAnsi="Times New Roman"/>
          <w:color w:val="auto"/>
          <w:sz w:val="32"/>
          <w:szCs w:val="28"/>
        </w:rPr>
        <w:t>（一）统筹强化疾病预防控制应对能力</w:t>
      </w:r>
      <w:bookmarkEnd w:id="48"/>
    </w:p>
    <w:p>
      <w:pPr>
        <w:adjustRightInd w:val="0"/>
        <w:snapToGrid w:val="0"/>
        <w:spacing w:before="46" w:beforeLines="15" w:after="46" w:afterLines="15" w:line="360" w:lineRule="auto"/>
        <w:ind w:firstLine="643" w:firstLineChars="200"/>
        <w:jc w:val="left"/>
        <w:rPr>
          <w:rFonts w:ascii="Times New Roman" w:hAnsi="Times New Roman" w:eastAsia="仿宋_GB2312" w:cs="Times New Roman"/>
          <w:color w:val="auto"/>
          <w:sz w:val="32"/>
          <w:szCs w:val="28"/>
        </w:rPr>
      </w:pPr>
      <w:r>
        <w:rPr>
          <w:rFonts w:hint="eastAsia" w:ascii="Times New Roman" w:hAnsi="Times New Roman" w:eastAsia="仿宋_GB2312" w:cs="Times New Roman"/>
          <w:b/>
          <w:color w:val="auto"/>
          <w:sz w:val="32"/>
          <w:szCs w:val="28"/>
        </w:rPr>
        <w:t>加强疾病防控基础设施建设。</w:t>
      </w:r>
      <w:r>
        <w:rPr>
          <w:rFonts w:hint="eastAsia" w:ascii="Times New Roman" w:hAnsi="Times New Roman" w:eastAsia="仿宋_GB2312" w:cs="Times New Roman"/>
          <w:color w:val="auto"/>
          <w:sz w:val="32"/>
          <w:szCs w:val="28"/>
        </w:rPr>
        <w:t>按照生物安全防护二级以上标准，增加区疾控中心检验检测实验室设施设备配置，提高实验室检测能力和技术储备，</w:t>
      </w:r>
      <w:r>
        <w:rPr>
          <w:rFonts w:hint="eastAsia" w:ascii="Times New Roman" w:hAnsi="Times New Roman" w:eastAsia="仿宋_GB2312" w:cs="Times New Roman"/>
          <w:color w:val="auto"/>
          <w:sz w:val="32"/>
          <w:szCs w:val="28"/>
          <w:lang w:val="en-US" w:eastAsia="zh-CN"/>
        </w:rPr>
        <w:t>提高</w:t>
      </w:r>
      <w:r>
        <w:rPr>
          <w:rFonts w:hint="eastAsia" w:ascii="Times New Roman" w:hAnsi="Times New Roman" w:eastAsia="仿宋_GB2312" w:cs="Times New Roman"/>
          <w:color w:val="auto"/>
          <w:sz w:val="32"/>
          <w:szCs w:val="28"/>
        </w:rPr>
        <w:t>日均检测量</w:t>
      </w:r>
      <w:bookmarkStart w:id="82" w:name="_GoBack"/>
      <w:bookmarkEnd w:id="82"/>
      <w:r>
        <w:rPr>
          <w:rFonts w:hint="eastAsia" w:ascii="Times New Roman" w:hAnsi="Times New Roman" w:eastAsia="仿宋_GB2312" w:cs="Times New Roman"/>
          <w:color w:val="auto"/>
          <w:sz w:val="32"/>
          <w:szCs w:val="28"/>
        </w:rPr>
        <w:t>。在全区二级及以上医疗机构建设标准化传染病检验检测实验室，社区卫生服务中心发热筛查哨点实现全覆盖。加强传染病疫情和突发公共卫生事件智慧化多点监测预警系统建设。</w:t>
      </w:r>
    </w:p>
    <w:p>
      <w:pPr>
        <w:adjustRightInd w:val="0"/>
        <w:snapToGrid w:val="0"/>
        <w:spacing w:before="46" w:beforeLines="15" w:after="46" w:afterLines="15" w:line="360" w:lineRule="auto"/>
        <w:ind w:firstLine="643" w:firstLineChars="200"/>
        <w:jc w:val="left"/>
        <w:rPr>
          <w:rFonts w:ascii="Times New Roman" w:hAnsi="Times New Roman" w:eastAsia="仿宋_GB2312" w:cs="Times New Roman"/>
          <w:color w:val="auto"/>
          <w:sz w:val="32"/>
          <w:szCs w:val="28"/>
        </w:rPr>
      </w:pPr>
      <w:r>
        <w:rPr>
          <w:rFonts w:hint="eastAsia" w:ascii="Times New Roman" w:hAnsi="Times New Roman" w:eastAsia="仿宋_GB2312" w:cs="Times New Roman"/>
          <w:b/>
          <w:color w:val="auto"/>
          <w:kern w:val="2"/>
          <w:sz w:val="32"/>
          <w:szCs w:val="28"/>
        </w:rPr>
        <w:t>坚持不懈抓好常态化疫情防控</w:t>
      </w:r>
      <w:r>
        <w:rPr>
          <w:rFonts w:hint="eastAsia" w:ascii="Times New Roman" w:hAnsi="Times New Roman" w:eastAsia="仿宋_GB2312" w:cs="Times New Roman"/>
          <w:b/>
          <w:color w:val="auto"/>
          <w:sz w:val="32"/>
          <w:szCs w:val="28"/>
        </w:rPr>
        <w:t>。</w:t>
      </w:r>
      <w:r>
        <w:rPr>
          <w:rFonts w:hint="eastAsia" w:ascii="Times New Roman" w:hAnsi="Times New Roman" w:eastAsia="仿宋_GB2312" w:cs="Times New Roman"/>
          <w:color w:val="auto"/>
          <w:sz w:val="32"/>
          <w:szCs w:val="28"/>
        </w:rPr>
        <w:t>健全区—街镇—社区（村）—网格四级传染病常态化防控运行网络。强化街镇公共卫生职责，做实社区（村）公共卫生委员会，推动“双专员”和“双进入”机制落地，形成基层公共卫生管理合力。持续抓好</w:t>
      </w:r>
      <w:r>
        <w:rPr>
          <w:rFonts w:hint="eastAsia" w:ascii="Times New Roman" w:hAnsi="Times New Roman" w:eastAsia="仿宋_GB2312" w:cs="Times New Roman"/>
          <w:color w:val="auto"/>
          <w:kern w:val="2"/>
          <w:sz w:val="32"/>
          <w:szCs w:val="28"/>
        </w:rPr>
        <w:t>社区</w:t>
      </w:r>
      <w:r>
        <w:rPr>
          <w:rFonts w:hint="eastAsia" w:ascii="Times New Roman" w:hAnsi="Times New Roman" w:eastAsia="仿宋_GB2312" w:cs="Times New Roman"/>
          <w:color w:val="auto"/>
          <w:sz w:val="32"/>
          <w:szCs w:val="28"/>
        </w:rPr>
        <w:t>（</w:t>
      </w:r>
      <w:r>
        <w:rPr>
          <w:rFonts w:hint="eastAsia" w:ascii="Times New Roman" w:hAnsi="Times New Roman" w:eastAsia="仿宋_GB2312" w:cs="Times New Roman"/>
          <w:color w:val="auto"/>
          <w:kern w:val="2"/>
          <w:sz w:val="32"/>
          <w:szCs w:val="28"/>
        </w:rPr>
        <w:t>村</w:t>
      </w:r>
      <w:r>
        <w:rPr>
          <w:rFonts w:hint="eastAsia" w:ascii="Times New Roman" w:hAnsi="Times New Roman" w:eastAsia="仿宋_GB2312" w:cs="Times New Roman"/>
          <w:color w:val="auto"/>
          <w:sz w:val="32"/>
          <w:szCs w:val="28"/>
        </w:rPr>
        <w:t>）</w:t>
      </w:r>
      <w:r>
        <w:rPr>
          <w:rFonts w:hint="eastAsia" w:ascii="Times New Roman" w:hAnsi="Times New Roman" w:eastAsia="仿宋_GB2312" w:cs="Times New Roman"/>
          <w:color w:val="auto"/>
          <w:kern w:val="2"/>
          <w:sz w:val="32"/>
          <w:szCs w:val="28"/>
        </w:rPr>
        <w:t>、公共场所、特殊场所、人员密集和空间密闭场所等</w:t>
      </w:r>
      <w:r>
        <w:rPr>
          <w:rFonts w:hint="eastAsia" w:ascii="Times New Roman" w:hAnsi="Times New Roman" w:eastAsia="仿宋_GB2312" w:cs="Times New Roman"/>
          <w:color w:val="auto"/>
          <w:sz w:val="32"/>
          <w:szCs w:val="28"/>
        </w:rPr>
        <w:t>重点部位</w:t>
      </w:r>
      <w:r>
        <w:rPr>
          <w:rFonts w:hint="eastAsia" w:ascii="Times New Roman" w:hAnsi="Times New Roman" w:eastAsia="仿宋_GB2312" w:cs="Times New Roman"/>
          <w:color w:val="auto"/>
          <w:kern w:val="2"/>
          <w:sz w:val="32"/>
          <w:szCs w:val="28"/>
        </w:rPr>
        <w:t>常态化防控。</w:t>
      </w:r>
      <w:r>
        <w:rPr>
          <w:rFonts w:hint="eastAsia" w:ascii="Times New Roman" w:hAnsi="Times New Roman" w:eastAsia="仿宋_GB2312" w:cs="Times New Roman"/>
          <w:color w:val="auto"/>
          <w:sz w:val="32"/>
          <w:szCs w:val="28"/>
        </w:rPr>
        <w:t>支持公共场所完善监测哨点，按照监测环节规范标准开展工作，及时上报监测信息。</w:t>
      </w:r>
    </w:p>
    <w:p>
      <w:pPr>
        <w:pStyle w:val="5"/>
        <w:tabs>
          <w:tab w:val="clear" w:pos="720"/>
        </w:tabs>
        <w:spacing w:before="0" w:after="0" w:line="360" w:lineRule="auto"/>
        <w:ind w:left="0" w:firstLine="643" w:firstLineChars="200"/>
        <w:jc w:val="both"/>
        <w:rPr>
          <w:rFonts w:ascii="Times New Roman" w:hAnsi="Times New Roman"/>
          <w:color w:val="auto"/>
          <w:sz w:val="32"/>
          <w:szCs w:val="28"/>
        </w:rPr>
      </w:pPr>
      <w:bookmarkStart w:id="49" w:name="_Toc93511782"/>
      <w:r>
        <w:rPr>
          <w:rFonts w:hint="eastAsia" w:ascii="Times New Roman" w:hAnsi="Times New Roman"/>
          <w:color w:val="auto"/>
          <w:sz w:val="32"/>
          <w:szCs w:val="28"/>
        </w:rPr>
        <w:t>（二）大力提高公共卫生应急处置能力</w:t>
      </w:r>
      <w:bookmarkEnd w:id="49"/>
    </w:p>
    <w:p>
      <w:pPr>
        <w:adjustRightInd w:val="0"/>
        <w:snapToGrid w:val="0"/>
        <w:spacing w:before="46" w:beforeLines="15" w:after="46" w:afterLines="15" w:line="360" w:lineRule="auto"/>
        <w:ind w:firstLine="643" w:firstLineChars="200"/>
        <w:jc w:val="left"/>
        <w:rPr>
          <w:rFonts w:ascii="Times New Roman" w:hAnsi="Times New Roman" w:eastAsia="仿宋_GB2312" w:cs="Times New Roman"/>
          <w:color w:val="auto"/>
          <w:sz w:val="32"/>
          <w:szCs w:val="28"/>
        </w:rPr>
      </w:pPr>
      <w:r>
        <w:rPr>
          <w:rFonts w:hint="eastAsia" w:ascii="Times New Roman" w:hAnsi="Times New Roman" w:eastAsia="仿宋_GB2312" w:cs="Times New Roman"/>
          <w:b/>
          <w:color w:val="auto"/>
          <w:sz w:val="32"/>
          <w:szCs w:val="28"/>
        </w:rPr>
        <w:t>加强卫生应急体系建设。</w:t>
      </w:r>
      <w:r>
        <w:rPr>
          <w:rFonts w:hint="eastAsia" w:ascii="Times New Roman" w:hAnsi="Times New Roman" w:eastAsia="仿宋_GB2312" w:cs="Times New Roman"/>
          <w:color w:val="auto"/>
          <w:kern w:val="2"/>
          <w:sz w:val="32"/>
          <w:szCs w:val="28"/>
        </w:rPr>
        <w:t>统筹完善公共卫生应急指挥、公共卫生事件</w:t>
      </w:r>
      <w:r>
        <w:rPr>
          <w:rFonts w:hint="eastAsia" w:ascii="Times New Roman" w:hAnsi="Times New Roman" w:eastAsia="仿宋_GB2312" w:cs="Times New Roman"/>
          <w:color w:val="auto"/>
          <w:sz w:val="32"/>
          <w:szCs w:val="28"/>
        </w:rPr>
        <w:t>监测预警体系、</w:t>
      </w:r>
      <w:r>
        <w:rPr>
          <w:rFonts w:hint="eastAsia" w:ascii="Times New Roman" w:hAnsi="Times New Roman" w:eastAsia="仿宋_GB2312" w:cs="Times New Roman"/>
          <w:color w:val="auto"/>
          <w:kern w:val="2"/>
          <w:sz w:val="32"/>
          <w:szCs w:val="28"/>
        </w:rPr>
        <w:t>分级分层分类的公共卫生应急救治网络。</w:t>
      </w:r>
      <w:r>
        <w:rPr>
          <w:rFonts w:hint="eastAsia" w:ascii="Times New Roman" w:hAnsi="Times New Roman" w:eastAsia="仿宋_GB2312" w:cs="Times New Roman"/>
          <w:b w:val="0"/>
          <w:color w:val="auto"/>
          <w:sz w:val="32"/>
          <w:szCs w:val="28"/>
        </w:rPr>
        <w:t>依托</w:t>
      </w:r>
      <w:r>
        <w:rPr>
          <w:rFonts w:hint="eastAsia" w:ascii="Times New Roman" w:hAnsi="Times New Roman" w:eastAsia="仿宋_GB2312" w:cs="Times New Roman"/>
          <w:color w:val="auto"/>
          <w:sz w:val="32"/>
          <w:szCs w:val="28"/>
        </w:rPr>
        <w:t>丰台中西医结合医院建设区级突发公共卫生事件战备医院。区属医院负压病房和负压重症监护病房配置总量不低于</w:t>
      </w:r>
      <w:r>
        <w:rPr>
          <w:rFonts w:ascii="Times New Roman" w:hAnsi="Times New Roman" w:eastAsia="仿宋_GB2312" w:cs="Times New Roman"/>
          <w:color w:val="auto"/>
          <w:sz w:val="32"/>
          <w:szCs w:val="28"/>
        </w:rPr>
        <w:t>10</w:t>
      </w:r>
      <w:r>
        <w:rPr>
          <w:rFonts w:hint="eastAsia" w:ascii="Times New Roman" w:hAnsi="Times New Roman" w:eastAsia="仿宋_GB2312" w:cs="Times New Roman"/>
          <w:color w:val="auto"/>
          <w:sz w:val="32"/>
          <w:szCs w:val="28"/>
        </w:rPr>
        <w:t>间。街镇落实主体责任，根据实际需要规划临时救治及隔离场所。完善儿童、结核病患者、艾滋病患者等特殊人群罹患其他传染病后的应急处置、隔离、救治条件。公共卫生应急物资储备库配置满足区域各类机构半年所需卫生应急物资，医疗机构储备相应卫生应急物资。引导单位和家庭常态化储备公共卫生应急物资。</w:t>
      </w:r>
    </w:p>
    <w:p>
      <w:pPr>
        <w:adjustRightInd w:val="0"/>
        <w:snapToGrid w:val="0"/>
        <w:spacing w:before="46" w:beforeLines="15" w:after="46" w:afterLines="15" w:line="360" w:lineRule="auto"/>
        <w:ind w:firstLine="643" w:firstLineChars="200"/>
        <w:jc w:val="left"/>
        <w:rPr>
          <w:rFonts w:ascii="Times New Roman" w:hAnsi="Times New Roman" w:eastAsia="仿宋_GB2312" w:cs="Times New Roman"/>
          <w:color w:val="auto"/>
          <w:sz w:val="32"/>
          <w:szCs w:val="28"/>
        </w:rPr>
      </w:pPr>
      <w:r>
        <w:rPr>
          <w:rFonts w:hint="eastAsia" w:ascii="Times New Roman" w:hAnsi="Times New Roman" w:eastAsia="仿宋_GB2312" w:cs="Times New Roman"/>
          <w:b/>
          <w:color w:val="auto"/>
          <w:sz w:val="32"/>
          <w:szCs w:val="28"/>
        </w:rPr>
        <w:t>提高卫生应急队伍能力。</w:t>
      </w:r>
      <w:r>
        <w:rPr>
          <w:rFonts w:hint="eastAsia" w:ascii="Times New Roman" w:hAnsi="Times New Roman" w:eastAsia="仿宋_GB2312" w:cs="Times New Roman"/>
          <w:color w:val="auto"/>
          <w:sz w:val="32"/>
          <w:szCs w:val="28"/>
        </w:rPr>
        <w:t>建立以疾控中心为指导核心，二三级医疗机构、社区卫生服务中心及街镇人员、志愿者组成的区域应急团队单元，着力打造生物</w:t>
      </w:r>
      <w:r>
        <w:rPr>
          <w:rFonts w:ascii="Times New Roman" w:hAnsi="Times New Roman" w:eastAsia="仿宋_GB2312" w:cs="Times New Roman"/>
          <w:color w:val="auto"/>
          <w:sz w:val="32"/>
          <w:szCs w:val="28"/>
        </w:rPr>
        <w:t>/</w:t>
      </w:r>
      <w:r>
        <w:rPr>
          <w:rFonts w:hint="eastAsia" w:ascii="Times New Roman" w:hAnsi="Times New Roman" w:eastAsia="仿宋_GB2312" w:cs="Times New Roman"/>
          <w:color w:val="auto"/>
          <w:sz w:val="32"/>
          <w:szCs w:val="28"/>
        </w:rPr>
        <w:t>环境样本采集、流行病学调查、实验室检测三支公共卫生应急处置团队。组建</w:t>
      </w:r>
      <w:r>
        <w:rPr>
          <w:rFonts w:hint="eastAsia" w:ascii="Times New Roman" w:hAnsi="Times New Roman" w:eastAsia="仿宋_GB2312" w:cs="Times New Roman"/>
          <w:color w:val="auto"/>
          <w:kern w:val="2"/>
          <w:sz w:val="32"/>
          <w:szCs w:val="28"/>
        </w:rPr>
        <w:t>现代化、专业化公共卫生事件应急专家团队和</w:t>
      </w:r>
      <w:r>
        <w:rPr>
          <w:rFonts w:hint="eastAsia" w:ascii="Times New Roman" w:hAnsi="Times New Roman" w:eastAsia="仿宋_GB2312" w:cs="Times New Roman"/>
          <w:color w:val="auto"/>
          <w:sz w:val="32"/>
          <w:szCs w:val="28"/>
        </w:rPr>
        <w:t>综合医学救援队伍。有计划、有组织地开展技术培训和实战演练，提高快速反应和应急处置能力。</w:t>
      </w:r>
    </w:p>
    <w:p>
      <w:pPr>
        <w:pStyle w:val="5"/>
        <w:tabs>
          <w:tab w:val="clear" w:pos="720"/>
        </w:tabs>
        <w:spacing w:before="0" w:after="0" w:line="360" w:lineRule="auto"/>
        <w:ind w:left="0" w:firstLine="643" w:firstLineChars="200"/>
        <w:jc w:val="both"/>
        <w:rPr>
          <w:rFonts w:ascii="Times New Roman" w:hAnsi="Times New Roman"/>
          <w:color w:val="auto"/>
          <w:sz w:val="32"/>
          <w:szCs w:val="28"/>
        </w:rPr>
      </w:pPr>
      <w:bookmarkStart w:id="50" w:name="_Toc93511783"/>
      <w:r>
        <w:rPr>
          <w:rFonts w:hint="eastAsia" w:ascii="Times New Roman" w:hAnsi="Times New Roman"/>
          <w:color w:val="auto"/>
          <w:sz w:val="32"/>
          <w:szCs w:val="28"/>
        </w:rPr>
        <w:t>（三）持续优化妇幼保健</w:t>
      </w:r>
      <w:r>
        <w:rPr>
          <w:rFonts w:hint="eastAsia" w:ascii="Times New Roman" w:hAnsi="Times New Roman"/>
          <w:color w:val="auto"/>
          <w:szCs w:val="28"/>
        </w:rPr>
        <w:t>体系</w:t>
      </w:r>
      <w:r>
        <w:rPr>
          <w:rFonts w:hint="eastAsia" w:ascii="Times New Roman" w:hAnsi="Times New Roman"/>
          <w:color w:val="auto"/>
          <w:sz w:val="32"/>
          <w:szCs w:val="28"/>
        </w:rPr>
        <w:t>服务能力</w:t>
      </w:r>
      <w:bookmarkEnd w:id="50"/>
    </w:p>
    <w:p>
      <w:pPr>
        <w:adjustRightInd w:val="0"/>
        <w:snapToGrid w:val="0"/>
        <w:spacing w:before="46" w:beforeLines="15" w:after="46" w:afterLines="15" w:line="360" w:lineRule="auto"/>
        <w:ind w:firstLine="643" w:firstLineChars="200"/>
        <w:jc w:val="left"/>
        <w:rPr>
          <w:rFonts w:ascii="Times New Roman" w:hAnsi="Times New Roman" w:eastAsia="仿宋_GB2312" w:cs="Times New Roman"/>
          <w:color w:val="auto"/>
          <w:sz w:val="32"/>
          <w:szCs w:val="28"/>
        </w:rPr>
      </w:pPr>
      <w:r>
        <w:rPr>
          <w:rFonts w:hint="eastAsia" w:ascii="Times New Roman" w:hAnsi="Times New Roman" w:eastAsia="仿宋_GB2312" w:cs="Times New Roman"/>
          <w:b/>
          <w:color w:val="auto"/>
          <w:sz w:val="32"/>
          <w:szCs w:val="28"/>
        </w:rPr>
        <w:t>加强妇幼保健服务体系建设。</w:t>
      </w:r>
      <w:r>
        <w:rPr>
          <w:rFonts w:hint="eastAsia" w:ascii="Times New Roman" w:hAnsi="Times New Roman" w:eastAsia="仿宋_GB2312" w:cs="Times New Roman"/>
          <w:color w:val="auto"/>
          <w:kern w:val="0"/>
          <w:sz w:val="32"/>
          <w:szCs w:val="28"/>
        </w:rPr>
        <w:t>根据经济社会发展水平</w:t>
      </w:r>
      <w:r>
        <w:rPr>
          <w:rFonts w:hint="eastAsia" w:ascii="Times New Roman" w:hAnsi="Times New Roman" w:eastAsia="仿宋_GB2312" w:cs="Times New Roman"/>
          <w:color w:val="auto"/>
          <w:sz w:val="32"/>
          <w:szCs w:val="28"/>
        </w:rPr>
        <w:t>，</w:t>
      </w:r>
      <w:r>
        <w:rPr>
          <w:rFonts w:hint="eastAsia" w:ascii="Times New Roman" w:hAnsi="Times New Roman" w:eastAsia="仿宋_GB2312" w:cs="Times New Roman"/>
          <w:color w:val="auto"/>
          <w:kern w:val="0"/>
          <w:sz w:val="32"/>
          <w:szCs w:val="28"/>
        </w:rPr>
        <w:t>做好丰台区妇幼保健计划生育服务中心二级妇幼保健机构评审，适时启动三级妇幼保健机</w:t>
      </w:r>
      <w:r>
        <w:rPr>
          <w:rFonts w:hint="eastAsia" w:ascii="Times New Roman" w:hAnsi="Times New Roman" w:eastAsia="仿宋_GB2312" w:cs="Times New Roman"/>
          <w:color w:val="auto"/>
          <w:sz w:val="32"/>
          <w:szCs w:val="28"/>
        </w:rPr>
        <w:t>构建设工作。加</w:t>
      </w:r>
      <w:r>
        <w:rPr>
          <w:rFonts w:hint="eastAsia" w:ascii="Times New Roman" w:hAnsi="Times New Roman" w:eastAsia="仿宋_GB2312" w:cs="Times New Roman"/>
          <w:color w:val="auto"/>
          <w:kern w:val="0"/>
          <w:sz w:val="32"/>
          <w:szCs w:val="28"/>
        </w:rPr>
        <w:t>强</w:t>
      </w:r>
      <w:r>
        <w:rPr>
          <w:rFonts w:hint="eastAsia" w:ascii="Times New Roman" w:hAnsi="Times New Roman" w:eastAsia="仿宋_GB2312" w:cs="Times New Roman"/>
          <w:color w:val="auto"/>
          <w:sz w:val="32"/>
          <w:szCs w:val="28"/>
        </w:rPr>
        <w:t>医疗卫生机构产科、新生儿科、儿科与儿童保健科、青少年心理门诊、危重新生儿救治中心等建设。加大爱婴医院、爱婴社区示范基地建设力度。推进专用急救车辆和设施设备配置，提高危重孕产妇和新生儿协同转运能力。</w:t>
      </w:r>
    </w:p>
    <w:p>
      <w:pPr>
        <w:adjustRightInd w:val="0"/>
        <w:snapToGrid w:val="0"/>
        <w:spacing w:before="46" w:beforeLines="15" w:after="46" w:afterLines="15" w:line="360" w:lineRule="auto"/>
        <w:ind w:firstLine="643" w:firstLineChars="200"/>
        <w:jc w:val="left"/>
        <w:rPr>
          <w:rFonts w:ascii="Times New Roman" w:hAnsi="Times New Roman" w:eastAsia="仿宋_GB2312" w:cs="Times New Roman"/>
          <w:color w:val="auto"/>
          <w:sz w:val="32"/>
          <w:szCs w:val="28"/>
        </w:rPr>
      </w:pPr>
      <w:r>
        <w:rPr>
          <w:rFonts w:hint="eastAsia" w:ascii="Times New Roman" w:hAnsi="Times New Roman" w:eastAsia="仿宋_GB2312" w:cs="Times New Roman"/>
          <w:b/>
          <w:color w:val="auto"/>
          <w:sz w:val="32"/>
          <w:szCs w:val="28"/>
        </w:rPr>
        <w:t>落实系统化规范化管理举措。</w:t>
      </w:r>
      <w:r>
        <w:rPr>
          <w:rFonts w:hint="eastAsia" w:ascii="Times New Roman" w:hAnsi="Times New Roman" w:eastAsia="仿宋_GB2312" w:cs="Times New Roman"/>
          <w:color w:val="auto"/>
          <w:sz w:val="32"/>
          <w:szCs w:val="28"/>
        </w:rPr>
        <w:t>健全母婴安全大数据监测系统和预警网络，提供母婴安全</w:t>
      </w:r>
      <w:r>
        <w:rPr>
          <w:rFonts w:ascii="仿宋" w:hAnsi="仿宋" w:eastAsia="仿宋_GB2312" w:cs="Times New Roman"/>
          <w:color w:val="auto"/>
          <w:sz w:val="32"/>
          <w:szCs w:val="28"/>
        </w:rPr>
        <w:t>“</w:t>
      </w:r>
      <w:r>
        <w:rPr>
          <w:rFonts w:hint="eastAsia" w:ascii="仿宋" w:hAnsi="仿宋" w:eastAsia="仿宋_GB2312" w:cs="Times New Roman"/>
          <w:color w:val="auto"/>
          <w:sz w:val="32"/>
          <w:szCs w:val="28"/>
        </w:rPr>
        <w:t>预测</w:t>
      </w:r>
      <w:r>
        <w:rPr>
          <w:rFonts w:ascii="仿宋" w:hAnsi="仿宋" w:eastAsia="仿宋_GB2312" w:cs="Times New Roman"/>
          <w:color w:val="auto"/>
          <w:sz w:val="32"/>
          <w:szCs w:val="28"/>
        </w:rPr>
        <w:t>-</w:t>
      </w:r>
      <w:r>
        <w:rPr>
          <w:rFonts w:hint="eastAsia" w:ascii="仿宋" w:hAnsi="仿宋" w:eastAsia="仿宋_GB2312" w:cs="Times New Roman"/>
          <w:color w:val="auto"/>
          <w:sz w:val="32"/>
          <w:szCs w:val="28"/>
        </w:rPr>
        <w:t>预防</w:t>
      </w:r>
      <w:r>
        <w:rPr>
          <w:rFonts w:ascii="仿宋" w:hAnsi="仿宋" w:eastAsia="仿宋_GB2312" w:cs="Times New Roman"/>
          <w:color w:val="auto"/>
          <w:sz w:val="32"/>
          <w:szCs w:val="28"/>
        </w:rPr>
        <w:t>-</w:t>
      </w:r>
      <w:r>
        <w:rPr>
          <w:rFonts w:hint="eastAsia" w:ascii="仿宋" w:hAnsi="仿宋" w:eastAsia="仿宋_GB2312" w:cs="Times New Roman"/>
          <w:color w:val="auto"/>
          <w:sz w:val="32"/>
          <w:szCs w:val="28"/>
        </w:rPr>
        <w:t>预警</w:t>
      </w:r>
      <w:r>
        <w:rPr>
          <w:rFonts w:ascii="仿宋" w:hAnsi="仿宋" w:eastAsia="仿宋_GB2312" w:cs="Times New Roman"/>
          <w:color w:val="auto"/>
          <w:sz w:val="32"/>
          <w:szCs w:val="28"/>
        </w:rPr>
        <w:t>-</w:t>
      </w:r>
      <w:r>
        <w:rPr>
          <w:rFonts w:hint="eastAsia" w:ascii="仿宋" w:hAnsi="仿宋" w:eastAsia="仿宋_GB2312" w:cs="Times New Roman"/>
          <w:color w:val="auto"/>
          <w:sz w:val="32"/>
          <w:szCs w:val="28"/>
        </w:rPr>
        <w:t>应急</w:t>
      </w:r>
      <w:r>
        <w:rPr>
          <w:rFonts w:ascii="仿宋" w:hAnsi="仿宋" w:eastAsia="仿宋_GB2312" w:cs="Times New Roman"/>
          <w:color w:val="auto"/>
          <w:sz w:val="32"/>
          <w:szCs w:val="28"/>
        </w:rPr>
        <w:t>”全流程</w:t>
      </w:r>
      <w:r>
        <w:rPr>
          <w:rFonts w:hint="eastAsia" w:ascii="Times New Roman" w:hAnsi="Times New Roman" w:eastAsia="仿宋_GB2312" w:cs="Times New Roman"/>
          <w:color w:val="auto"/>
          <w:sz w:val="32"/>
          <w:szCs w:val="28"/>
        </w:rPr>
        <w:t>服务。开展孕产妇高危因素筛查和分级建档，加强高危妊娠管理。提升医疗机构产科快速反应能力，完善孕产妇和新生儿危急重症转诊、转运、救治网络。</w:t>
      </w:r>
      <w:r>
        <w:rPr>
          <w:rFonts w:hint="eastAsia" w:ascii="Times New Roman" w:hAnsi="Times New Roman" w:eastAsia="仿宋_GB2312" w:cs="Times New Roman"/>
          <w:color w:val="auto"/>
          <w:kern w:val="0"/>
          <w:sz w:val="32"/>
          <w:szCs w:val="28"/>
        </w:rPr>
        <w:t>孕产妇死亡率控制在</w:t>
      </w:r>
      <w:r>
        <w:rPr>
          <w:rFonts w:ascii="Times New Roman" w:hAnsi="Times New Roman" w:eastAsia="仿宋_GB2312" w:cs="Times New Roman"/>
          <w:color w:val="auto"/>
          <w:kern w:val="0"/>
          <w:sz w:val="32"/>
          <w:szCs w:val="28"/>
        </w:rPr>
        <w:t>7/10</w:t>
      </w:r>
      <w:r>
        <w:rPr>
          <w:rFonts w:hint="eastAsia" w:ascii="Times New Roman" w:hAnsi="Times New Roman" w:eastAsia="仿宋_GB2312" w:cs="Times New Roman"/>
          <w:color w:val="auto"/>
          <w:kern w:val="0"/>
          <w:sz w:val="32"/>
          <w:szCs w:val="28"/>
        </w:rPr>
        <w:t>万以下</w:t>
      </w:r>
      <w:r>
        <w:rPr>
          <w:rFonts w:hint="eastAsia" w:ascii="Times New Roman" w:hAnsi="Times New Roman" w:eastAsia="仿宋_GB2312" w:cs="Times New Roman"/>
          <w:color w:val="auto"/>
          <w:sz w:val="32"/>
          <w:szCs w:val="28"/>
        </w:rPr>
        <w:t>，</w:t>
      </w:r>
      <w:r>
        <w:rPr>
          <w:rFonts w:hint="eastAsia" w:ascii="Times New Roman" w:hAnsi="Times New Roman" w:eastAsia="仿宋_GB2312" w:cs="Times New Roman"/>
          <w:color w:val="auto"/>
          <w:kern w:val="0"/>
          <w:sz w:val="32"/>
          <w:szCs w:val="28"/>
        </w:rPr>
        <w:t>新生儿、婴儿和</w:t>
      </w:r>
      <w:r>
        <w:rPr>
          <w:rFonts w:ascii="Times New Roman" w:hAnsi="Times New Roman" w:eastAsia="仿宋_GB2312" w:cs="Times New Roman"/>
          <w:color w:val="auto"/>
          <w:kern w:val="0"/>
          <w:sz w:val="32"/>
          <w:szCs w:val="28"/>
        </w:rPr>
        <w:t>5</w:t>
      </w:r>
      <w:r>
        <w:rPr>
          <w:rFonts w:hint="eastAsia" w:ascii="Times New Roman" w:hAnsi="Times New Roman" w:eastAsia="仿宋_GB2312" w:cs="Times New Roman"/>
          <w:color w:val="auto"/>
          <w:kern w:val="0"/>
          <w:sz w:val="32"/>
          <w:szCs w:val="28"/>
        </w:rPr>
        <w:t>岁以下儿童死亡率分别降至</w:t>
      </w:r>
      <w:r>
        <w:rPr>
          <w:rFonts w:ascii="Times New Roman" w:hAnsi="Times New Roman" w:eastAsia="仿宋_GB2312" w:cs="Times New Roman"/>
          <w:color w:val="auto"/>
          <w:kern w:val="0"/>
          <w:sz w:val="32"/>
          <w:szCs w:val="28"/>
        </w:rPr>
        <w:t>2</w:t>
      </w:r>
      <w:r>
        <w:rPr>
          <w:rFonts w:hint="eastAsia" w:ascii="Times New Roman" w:hAnsi="Times New Roman" w:eastAsia="仿宋_GB2312" w:cs="Times New Roman"/>
          <w:color w:val="auto"/>
          <w:kern w:val="0"/>
          <w:sz w:val="32"/>
          <w:szCs w:val="28"/>
        </w:rPr>
        <w:t>‰、</w:t>
      </w:r>
      <w:r>
        <w:rPr>
          <w:rFonts w:ascii="Times New Roman" w:hAnsi="Times New Roman" w:eastAsia="仿宋_GB2312" w:cs="Times New Roman"/>
          <w:color w:val="auto"/>
          <w:kern w:val="0"/>
          <w:sz w:val="32"/>
          <w:szCs w:val="28"/>
        </w:rPr>
        <w:t>3</w:t>
      </w:r>
      <w:r>
        <w:rPr>
          <w:rFonts w:hint="eastAsia" w:ascii="Times New Roman" w:hAnsi="Times New Roman" w:eastAsia="仿宋_GB2312" w:cs="Times New Roman"/>
          <w:color w:val="auto"/>
          <w:kern w:val="0"/>
          <w:sz w:val="32"/>
          <w:szCs w:val="28"/>
        </w:rPr>
        <w:t>‰和</w:t>
      </w:r>
      <w:r>
        <w:rPr>
          <w:rFonts w:ascii="Times New Roman" w:hAnsi="Times New Roman" w:eastAsia="仿宋_GB2312" w:cs="Times New Roman"/>
          <w:color w:val="auto"/>
          <w:kern w:val="0"/>
          <w:sz w:val="32"/>
          <w:szCs w:val="28"/>
        </w:rPr>
        <w:t>4</w:t>
      </w:r>
      <w:r>
        <w:rPr>
          <w:rFonts w:hint="eastAsia" w:ascii="Times New Roman" w:hAnsi="Times New Roman" w:eastAsia="仿宋_GB2312" w:cs="Times New Roman"/>
          <w:color w:val="auto"/>
          <w:kern w:val="0"/>
          <w:sz w:val="32"/>
          <w:szCs w:val="28"/>
        </w:rPr>
        <w:t>‰以下。</w:t>
      </w:r>
      <w:r>
        <w:rPr>
          <w:rFonts w:hint="eastAsia" w:ascii="Times New Roman" w:hAnsi="Times New Roman" w:eastAsia="仿宋_GB2312" w:cs="Times New Roman"/>
          <w:color w:val="auto"/>
          <w:sz w:val="32"/>
          <w:szCs w:val="28"/>
        </w:rPr>
        <w:t>建立多部门联动防治出生缺陷的工作机制和服务平</w:t>
      </w:r>
      <w:r>
        <w:rPr>
          <w:rFonts w:hint="eastAsia" w:ascii="仿宋" w:hAnsi="仿宋" w:eastAsia="仿宋_GB2312" w:cs="Times New Roman"/>
          <w:color w:val="auto"/>
          <w:sz w:val="32"/>
          <w:szCs w:val="28"/>
        </w:rPr>
        <w:t>台，</w:t>
      </w:r>
      <w:r>
        <w:rPr>
          <w:rFonts w:ascii="Times New Roman" w:hAnsi="Times New Roman" w:eastAsia="仿宋_GB2312" w:cs="Times New Roman"/>
          <w:color w:val="auto"/>
          <w:sz w:val="32"/>
          <w:szCs w:val="28"/>
        </w:rPr>
        <w:t>0</w:t>
      </w:r>
      <w:r>
        <w:rPr>
          <w:rFonts w:hint="eastAsia" w:ascii="Times New Roman" w:hAnsi="Times New Roman" w:eastAsia="仿宋_GB2312" w:cs="Times New Roman"/>
          <w:color w:val="auto"/>
          <w:sz w:val="32"/>
          <w:szCs w:val="28"/>
        </w:rPr>
        <w:t>—</w:t>
      </w:r>
      <w:r>
        <w:rPr>
          <w:rFonts w:ascii="Times New Roman" w:hAnsi="Times New Roman" w:eastAsia="仿宋_GB2312" w:cs="Times New Roman"/>
          <w:color w:val="auto"/>
          <w:sz w:val="32"/>
          <w:szCs w:val="28"/>
        </w:rPr>
        <w:t>6</w:t>
      </w:r>
      <w:r>
        <w:rPr>
          <w:rFonts w:hint="eastAsia" w:ascii="Times New Roman" w:hAnsi="Times New Roman" w:eastAsia="仿宋_GB2312" w:cs="Times New Roman"/>
          <w:color w:val="auto"/>
          <w:sz w:val="32"/>
          <w:szCs w:val="28"/>
        </w:rPr>
        <w:t>岁儿童视力、听力、智力、肢体、孤独症筛查率达到</w:t>
      </w:r>
      <w:r>
        <w:rPr>
          <w:rFonts w:ascii="Times New Roman" w:hAnsi="Times New Roman" w:eastAsia="仿宋_GB2312" w:cs="Times New Roman"/>
          <w:color w:val="auto"/>
          <w:sz w:val="32"/>
          <w:szCs w:val="28"/>
        </w:rPr>
        <w:t>97%</w:t>
      </w:r>
      <w:r>
        <w:rPr>
          <w:rFonts w:hint="eastAsia" w:ascii="Times New Roman" w:hAnsi="Times New Roman" w:eastAsia="仿宋_GB2312" w:cs="Times New Roman"/>
          <w:color w:val="auto"/>
          <w:sz w:val="32"/>
          <w:szCs w:val="28"/>
        </w:rPr>
        <w:t>以上，不断</w:t>
      </w:r>
      <w:r>
        <w:rPr>
          <w:rFonts w:ascii="Times New Roman" w:hAnsi="Times New Roman" w:eastAsia="仿宋_GB2312" w:cs="Times New Roman"/>
          <w:color w:val="auto"/>
          <w:sz w:val="32"/>
          <w:szCs w:val="28"/>
        </w:rPr>
        <w:t>提高出生缺陷防治水平</w:t>
      </w:r>
      <w:r>
        <w:rPr>
          <w:rFonts w:hint="eastAsia" w:ascii="Times New Roman" w:hAnsi="Times New Roman" w:eastAsia="仿宋_GB2312" w:cs="Times New Roman"/>
          <w:color w:val="auto"/>
          <w:sz w:val="32"/>
          <w:szCs w:val="28"/>
        </w:rPr>
        <w:t>。</w:t>
      </w:r>
    </w:p>
    <w:p>
      <w:pPr>
        <w:pStyle w:val="5"/>
        <w:tabs>
          <w:tab w:val="clear" w:pos="720"/>
        </w:tabs>
        <w:spacing w:before="0" w:after="0" w:line="360" w:lineRule="auto"/>
        <w:ind w:left="0" w:firstLine="643" w:firstLineChars="200"/>
        <w:jc w:val="both"/>
        <w:rPr>
          <w:rFonts w:ascii="Times New Roman" w:hAnsi="Times New Roman"/>
          <w:color w:val="auto"/>
          <w:sz w:val="32"/>
          <w:szCs w:val="28"/>
        </w:rPr>
      </w:pPr>
      <w:bookmarkStart w:id="51" w:name="_Toc93511784"/>
      <w:r>
        <w:rPr>
          <w:rFonts w:hint="eastAsia" w:ascii="Times New Roman" w:hAnsi="Times New Roman"/>
          <w:color w:val="auto"/>
          <w:sz w:val="32"/>
          <w:szCs w:val="28"/>
        </w:rPr>
        <w:t>（四）不断</w:t>
      </w:r>
      <w:r>
        <w:rPr>
          <w:rFonts w:hint="eastAsia" w:ascii="Times New Roman" w:hAnsi="Times New Roman" w:eastAsia="宋体" w:cs="Times New Roman"/>
          <w:color w:val="auto"/>
          <w:sz w:val="32"/>
          <w:szCs w:val="28"/>
        </w:rPr>
        <w:t>推动</w:t>
      </w:r>
      <w:r>
        <w:rPr>
          <w:rFonts w:hint="eastAsia" w:ascii="Times New Roman" w:hAnsi="Times New Roman"/>
          <w:color w:val="auto"/>
          <w:sz w:val="32"/>
          <w:szCs w:val="28"/>
        </w:rPr>
        <w:t>精神卫生</w:t>
      </w:r>
      <w:r>
        <w:rPr>
          <w:rFonts w:hint="eastAsia" w:ascii="Times New Roman" w:hAnsi="Times New Roman" w:eastAsia="宋体" w:cs="Times New Roman"/>
          <w:color w:val="auto"/>
          <w:sz w:val="32"/>
          <w:szCs w:val="28"/>
        </w:rPr>
        <w:t>服务体系建设</w:t>
      </w:r>
      <w:bookmarkEnd w:id="51"/>
    </w:p>
    <w:p>
      <w:pPr>
        <w:adjustRightInd w:val="0"/>
        <w:snapToGrid w:val="0"/>
        <w:spacing w:before="46" w:beforeLines="15" w:after="46" w:afterLines="15" w:line="360" w:lineRule="auto"/>
        <w:ind w:firstLine="643" w:firstLineChars="200"/>
        <w:jc w:val="left"/>
        <w:rPr>
          <w:rFonts w:ascii="Times New Roman" w:hAnsi="Times New Roman" w:eastAsia="仿宋_GB2312" w:cs="Times New Roman"/>
          <w:color w:val="auto"/>
          <w:sz w:val="32"/>
          <w:szCs w:val="28"/>
        </w:rPr>
      </w:pPr>
      <w:r>
        <w:rPr>
          <w:rFonts w:hint="eastAsia" w:ascii="Times New Roman" w:hAnsi="Times New Roman" w:eastAsia="仿宋_GB2312" w:cs="Times New Roman"/>
          <w:b/>
          <w:color w:val="auto"/>
          <w:sz w:val="32"/>
          <w:szCs w:val="28"/>
        </w:rPr>
        <w:t>启动精神病防治院建设工作。</w:t>
      </w:r>
      <w:r>
        <w:rPr>
          <w:rFonts w:hint="eastAsia" w:ascii="Times New Roman" w:hAnsi="Times New Roman" w:eastAsia="仿宋_GB2312" w:cs="Times New Roman"/>
          <w:color w:val="auto"/>
          <w:sz w:val="32"/>
          <w:szCs w:val="28"/>
        </w:rPr>
        <w:t>推进丰台区精神病防治院新址建设工程，总体床位规模达到</w:t>
      </w:r>
      <w:r>
        <w:rPr>
          <w:rFonts w:ascii="Times New Roman" w:hAnsi="Times New Roman" w:eastAsia="仿宋_GB2312" w:cs="Times New Roman"/>
          <w:color w:val="auto"/>
          <w:sz w:val="32"/>
          <w:szCs w:val="28"/>
        </w:rPr>
        <w:t>500</w:t>
      </w:r>
      <w:r>
        <w:rPr>
          <w:rFonts w:hint="eastAsia" w:ascii="Times New Roman" w:hAnsi="Times New Roman" w:eastAsia="仿宋_GB2312" w:cs="Times New Roman"/>
          <w:color w:val="auto"/>
          <w:sz w:val="32"/>
          <w:szCs w:val="28"/>
        </w:rPr>
        <w:t>张左右。新院址建设期间，租赁业务用房，解决周转事宜，满足辖区精神障碍患者医疗服务需求。加速学科建设和人才培养，积极引进高层次学科带头人，做好学科和人才建设储备。</w:t>
      </w:r>
    </w:p>
    <w:p>
      <w:pPr>
        <w:adjustRightInd w:val="0"/>
        <w:snapToGrid w:val="0"/>
        <w:spacing w:before="46" w:beforeLines="15" w:after="46" w:afterLines="15" w:line="360" w:lineRule="auto"/>
        <w:ind w:firstLine="643" w:firstLineChars="200"/>
        <w:jc w:val="left"/>
        <w:rPr>
          <w:rFonts w:ascii="Times New Roman" w:hAnsi="Times New Roman" w:eastAsia="仿宋_GB2312" w:cs="Times New Roman"/>
          <w:color w:val="auto"/>
          <w:sz w:val="32"/>
          <w:szCs w:val="28"/>
        </w:rPr>
      </w:pPr>
      <w:r>
        <w:rPr>
          <w:rFonts w:hint="eastAsia" w:ascii="Times New Roman" w:hAnsi="Times New Roman" w:eastAsia="仿宋_GB2312" w:cs="Times New Roman"/>
          <w:b/>
          <w:color w:val="auto"/>
          <w:sz w:val="32"/>
          <w:szCs w:val="28"/>
        </w:rPr>
        <w:t>加强重点人群精神卫生管理。</w:t>
      </w:r>
      <w:r>
        <w:rPr>
          <w:rFonts w:hint="eastAsia" w:ascii="Times New Roman" w:hAnsi="Times New Roman" w:eastAsia="仿宋_GB2312" w:cs="Times New Roman"/>
          <w:color w:val="auto"/>
          <w:sz w:val="32"/>
          <w:szCs w:val="28"/>
        </w:rPr>
        <w:t>开展居民心理卫生健康教育，提升社会公众对精神卫生健康关注程度和知晓程度。开展青少年、孕产妇、老年人等重点人群心理关爱项目和居民心理健康体检项目，早发现、早诊断和早治疗抑郁症、焦虑症等常见精神障碍和心理问题。提高</w:t>
      </w:r>
      <w:r>
        <w:rPr>
          <w:rFonts w:hint="eastAsia" w:ascii="Times New Roman" w:hAnsi="Times New Roman" w:eastAsia="仿宋_GB2312" w:cs="Times New Roman"/>
          <w:color w:val="auto"/>
          <w:sz w:val="32"/>
          <w:szCs w:val="28"/>
          <w:lang w:val="en-US" w:eastAsia="zh-CN"/>
        </w:rPr>
        <w:t>严重</w:t>
      </w:r>
      <w:r>
        <w:rPr>
          <w:rFonts w:hint="eastAsia" w:ascii="Times New Roman" w:hAnsi="Times New Roman" w:eastAsia="仿宋_GB2312" w:cs="Times New Roman"/>
          <w:color w:val="auto"/>
          <w:sz w:val="32"/>
          <w:szCs w:val="28"/>
        </w:rPr>
        <w:t>精神障碍患者的规范化管理率和规范化服药率，到</w:t>
      </w:r>
      <w:r>
        <w:rPr>
          <w:rFonts w:ascii="Times New Roman" w:hAnsi="Times New Roman" w:eastAsia="仿宋_GB2312" w:cs="Times New Roman"/>
          <w:color w:val="auto"/>
          <w:sz w:val="32"/>
          <w:szCs w:val="28"/>
        </w:rPr>
        <w:t>2025</w:t>
      </w:r>
      <w:r>
        <w:rPr>
          <w:rFonts w:hint="eastAsia" w:ascii="Times New Roman" w:hAnsi="Times New Roman" w:eastAsia="仿宋_GB2312" w:cs="Times New Roman"/>
          <w:color w:val="auto"/>
          <w:sz w:val="32"/>
          <w:szCs w:val="28"/>
        </w:rPr>
        <w:t>年前，基本实现重症精神障碍患者</w:t>
      </w:r>
      <w:r>
        <w:rPr>
          <w:rFonts w:ascii="仿宋" w:hAnsi="仿宋" w:eastAsia="仿宋_GB2312" w:cs="Times New Roman"/>
          <w:color w:val="auto"/>
          <w:sz w:val="32"/>
          <w:szCs w:val="28"/>
        </w:rPr>
        <w:t>“应治尽治、应管尽管、应收尽收”</w:t>
      </w:r>
      <w:r>
        <w:rPr>
          <w:rFonts w:hint="eastAsia" w:ascii="Times New Roman" w:hAnsi="Times New Roman" w:eastAsia="仿宋_GB2312" w:cs="Times New Roman"/>
          <w:color w:val="auto"/>
          <w:sz w:val="32"/>
          <w:szCs w:val="28"/>
        </w:rPr>
        <w:t>。</w:t>
      </w:r>
      <w:r>
        <w:rPr>
          <w:rFonts w:ascii="Times New Roman" w:hAnsi="Times New Roman" w:eastAsia="仿宋_GB2312" w:cs="Times New Roman"/>
          <w:color w:val="auto"/>
          <w:sz w:val="32"/>
          <w:szCs w:val="28"/>
        </w:rPr>
        <w:t xml:space="preserve"> </w:t>
      </w:r>
    </w:p>
    <w:p>
      <w:pPr>
        <w:adjustRightInd w:val="0"/>
        <w:snapToGrid w:val="0"/>
        <w:spacing w:before="46" w:beforeLines="15" w:after="46" w:afterLines="15" w:line="360" w:lineRule="auto"/>
        <w:ind w:firstLine="643" w:firstLineChars="200"/>
        <w:jc w:val="left"/>
        <w:rPr>
          <w:rFonts w:ascii="Times New Roman" w:hAnsi="Times New Roman" w:eastAsia="仿宋_GB2312" w:cs="Times New Roman"/>
          <w:color w:val="auto"/>
          <w:sz w:val="32"/>
          <w:szCs w:val="28"/>
        </w:rPr>
      </w:pPr>
      <w:r>
        <w:rPr>
          <w:rFonts w:hint="eastAsia" w:ascii="Times New Roman" w:hAnsi="Times New Roman" w:eastAsia="仿宋_GB2312" w:cs="Times New Roman"/>
          <w:b/>
          <w:color w:val="auto"/>
          <w:sz w:val="32"/>
          <w:szCs w:val="28"/>
        </w:rPr>
        <w:t>完善专科医院社区协作模式。</w:t>
      </w:r>
      <w:r>
        <w:rPr>
          <w:rFonts w:hint="eastAsia" w:ascii="Times New Roman" w:hAnsi="Times New Roman" w:eastAsia="仿宋_GB2312" w:cs="Times New Roman"/>
          <w:color w:val="auto"/>
          <w:sz w:val="32"/>
          <w:szCs w:val="28"/>
        </w:rPr>
        <w:t>开展严重精神障碍患者社区康复和社会心理服务体系建设试点，充分利用互联网、大数据平台，开展远程会诊，提升基层诊治能力，保证精神疾病治疗和康复服务的延续性。结合新行政区划，进一步优化精神障碍患者网格化管理，完善社区分工，加强人员配置，提高社区规范化管理水平。建立心理咨询热线，不断提高精神卫生服务可及性。</w:t>
      </w:r>
    </w:p>
    <w:p>
      <w:pPr>
        <w:pStyle w:val="5"/>
        <w:tabs>
          <w:tab w:val="clear" w:pos="720"/>
        </w:tabs>
        <w:spacing w:before="0" w:after="0" w:line="360" w:lineRule="auto"/>
        <w:ind w:left="0" w:firstLine="643" w:firstLineChars="200"/>
        <w:jc w:val="both"/>
        <w:rPr>
          <w:rFonts w:ascii="Times New Roman" w:hAnsi="Times New Roman"/>
          <w:color w:val="auto"/>
          <w:sz w:val="32"/>
          <w:szCs w:val="28"/>
        </w:rPr>
      </w:pPr>
      <w:bookmarkStart w:id="52" w:name="_Toc93511785"/>
      <w:r>
        <w:rPr>
          <w:rFonts w:hint="eastAsia" w:ascii="Times New Roman" w:hAnsi="Times New Roman"/>
          <w:color w:val="auto"/>
          <w:sz w:val="32"/>
          <w:szCs w:val="28"/>
        </w:rPr>
        <w:t>（五）全面提高计划生育服务水平</w:t>
      </w:r>
      <w:bookmarkEnd w:id="52"/>
    </w:p>
    <w:p>
      <w:pPr>
        <w:adjustRightInd w:val="0"/>
        <w:snapToGrid w:val="0"/>
        <w:spacing w:before="46" w:beforeLines="15" w:after="46" w:afterLines="15" w:line="360" w:lineRule="auto"/>
        <w:ind w:firstLine="643" w:firstLineChars="200"/>
        <w:jc w:val="left"/>
        <w:rPr>
          <w:rFonts w:ascii="Times New Roman" w:hAnsi="Times New Roman" w:eastAsia="仿宋_GB2312" w:cs="Times New Roman"/>
          <w:color w:val="auto"/>
          <w:kern w:val="2"/>
          <w:sz w:val="32"/>
          <w:szCs w:val="28"/>
        </w:rPr>
      </w:pPr>
      <w:r>
        <w:rPr>
          <w:rFonts w:hint="eastAsia" w:ascii="Times New Roman" w:hAnsi="Times New Roman" w:eastAsia="仿宋_GB2312" w:cs="Times New Roman"/>
          <w:b/>
          <w:color w:val="auto"/>
          <w:sz w:val="32"/>
          <w:szCs w:val="28"/>
        </w:rPr>
        <w:t>做好人口监测和家庭发展工作。</w:t>
      </w:r>
      <w:r>
        <w:rPr>
          <w:rFonts w:hint="eastAsia" w:ascii="Times New Roman" w:hAnsi="Times New Roman" w:eastAsia="仿宋_GB2312" w:cs="Times New Roman"/>
          <w:color w:val="auto"/>
          <w:sz w:val="32"/>
          <w:szCs w:val="28"/>
        </w:rPr>
        <w:t>加强人口出生监测，建立区、街镇、社区（村）三级出生监测网络，以信息化手段提高监测水平，完善全员人口信息系统，实现出生人口信息的及时、准确、共享。</w:t>
      </w:r>
    </w:p>
    <w:p>
      <w:pPr>
        <w:adjustRightInd w:val="0"/>
        <w:snapToGrid w:val="0"/>
        <w:spacing w:before="46" w:beforeLines="15" w:after="46" w:afterLines="15" w:line="360" w:lineRule="auto"/>
        <w:ind w:firstLine="643" w:firstLineChars="200"/>
        <w:jc w:val="left"/>
        <w:rPr>
          <w:rFonts w:ascii="Times New Roman" w:hAnsi="Times New Roman" w:eastAsia="仿宋_GB2312" w:cs="Times New Roman"/>
          <w:color w:val="auto"/>
          <w:kern w:val="2"/>
          <w:sz w:val="32"/>
          <w:szCs w:val="28"/>
        </w:rPr>
      </w:pPr>
      <w:r>
        <w:rPr>
          <w:rFonts w:hint="eastAsia" w:ascii="Times New Roman" w:hAnsi="Times New Roman" w:eastAsia="仿宋_GB2312" w:cs="Times New Roman"/>
          <w:b/>
          <w:color w:val="auto"/>
          <w:kern w:val="2"/>
          <w:sz w:val="32"/>
          <w:szCs w:val="28"/>
        </w:rPr>
        <w:t>落实生育登记制度，做好生育咨询指导。</w:t>
      </w:r>
      <w:r>
        <w:rPr>
          <w:rFonts w:hint="eastAsia" w:ascii="Times New Roman" w:hAnsi="Times New Roman" w:eastAsia="仿宋_GB2312" w:cs="Times New Roman"/>
          <w:color w:val="auto"/>
          <w:kern w:val="2"/>
          <w:sz w:val="32"/>
          <w:szCs w:val="28"/>
        </w:rPr>
        <w:t>推动三孩生育</w:t>
      </w:r>
      <w:r>
        <w:rPr>
          <w:rFonts w:hint="eastAsia" w:ascii="Times New Roman" w:hAnsi="Times New Roman" w:eastAsia="仿宋_GB2312" w:cs="Times New Roman"/>
          <w:color w:val="auto"/>
          <w:sz w:val="32"/>
          <w:szCs w:val="28"/>
        </w:rPr>
        <w:t>政策与卫生健康政策联动，以“一老一小”为重点，建立健全覆盖全生命周期的人口健康服务体系。积极配合相关部门推进出生医学证明、儿童预防接种、户口登记、</w:t>
      </w:r>
      <w:r>
        <w:rPr>
          <w:rFonts w:hint="eastAsia" w:ascii="Times New Roman" w:hAnsi="Times New Roman" w:eastAsia="仿宋_GB2312" w:cs="Times New Roman"/>
          <w:color w:val="auto"/>
          <w:kern w:val="2"/>
          <w:sz w:val="32"/>
          <w:szCs w:val="28"/>
        </w:rPr>
        <w:t>医保参保、社保卡申领等“出生一件事”联办。做好托育机构备案和管理工作，推动婴幼儿照护服务发展。</w:t>
      </w:r>
    </w:p>
    <w:p>
      <w:pPr>
        <w:adjustRightInd w:val="0"/>
        <w:snapToGrid w:val="0"/>
        <w:spacing w:before="46" w:beforeLines="15" w:after="46" w:afterLines="15" w:line="360" w:lineRule="auto"/>
        <w:ind w:firstLine="640" w:firstLineChars="200"/>
        <w:jc w:val="left"/>
        <w:rPr>
          <w:rFonts w:ascii="Times New Roman" w:hAnsi="Times New Roman" w:eastAsia="仿宋_GB2312" w:cs="Times New Roman"/>
          <w:color w:val="auto"/>
          <w:kern w:val="2"/>
          <w:sz w:val="32"/>
          <w:szCs w:val="28"/>
        </w:rPr>
      </w:pPr>
      <w:r>
        <w:rPr>
          <w:rFonts w:hint="eastAsia" w:ascii="Times New Roman" w:hAnsi="Times New Roman" w:eastAsia="仿宋_GB2312" w:cs="Times New Roman"/>
          <w:color w:val="auto"/>
          <w:kern w:val="2"/>
          <w:sz w:val="32"/>
          <w:szCs w:val="28"/>
        </w:rPr>
        <w:t>继续实行免费婚前和孕前优生检查、避孕药具惠民项目、计划生育家庭保险制度、计划生育特殊家庭帮扶保障制度、部分农村计划生育家庭奖励扶助制度，落实计划生育特殊家庭联系人制度、家庭医生签约服务、优先便利医疗服务“三个全覆盖”，建设计划生育特殊家庭“暖心家园”等。</w:t>
      </w:r>
    </w:p>
    <w:p>
      <w:pPr>
        <w:pStyle w:val="3"/>
        <w:spacing w:line="360" w:lineRule="auto"/>
        <w:ind w:firstLine="723" w:firstLineChars="200"/>
        <w:jc w:val="both"/>
        <w:rPr>
          <w:rFonts w:ascii="楷体" w:hAnsi="楷体" w:eastAsia="楷体"/>
          <w:color w:val="auto"/>
          <w:sz w:val="36"/>
          <w:szCs w:val="28"/>
        </w:rPr>
      </w:pPr>
      <w:bookmarkStart w:id="53" w:name="_Toc93511786"/>
      <w:r>
        <w:rPr>
          <w:rFonts w:hint="eastAsia" w:ascii="楷体" w:hAnsi="楷体" w:eastAsia="楷体"/>
          <w:color w:val="auto"/>
          <w:sz w:val="36"/>
          <w:szCs w:val="28"/>
        </w:rPr>
        <w:t>三、建设</w:t>
      </w:r>
      <w:r>
        <w:rPr>
          <w:rFonts w:ascii="楷体" w:hAnsi="楷体" w:eastAsia="楷体"/>
          <w:color w:val="auto"/>
          <w:sz w:val="36"/>
          <w:szCs w:val="28"/>
        </w:rPr>
        <w:t>高质量整合型医疗卫生服务体系</w:t>
      </w:r>
      <w:bookmarkEnd w:id="53"/>
    </w:p>
    <w:p>
      <w:pPr>
        <w:pStyle w:val="5"/>
        <w:tabs>
          <w:tab w:val="clear" w:pos="720"/>
        </w:tabs>
        <w:spacing w:before="0" w:after="0" w:line="360" w:lineRule="auto"/>
        <w:ind w:left="0" w:firstLine="643" w:firstLineChars="200"/>
        <w:jc w:val="both"/>
        <w:rPr>
          <w:rFonts w:ascii="Times New Roman" w:hAnsi="Times New Roman"/>
          <w:color w:val="auto"/>
          <w:sz w:val="32"/>
          <w:szCs w:val="28"/>
        </w:rPr>
      </w:pPr>
      <w:bookmarkStart w:id="54" w:name="_Toc93511787"/>
      <w:r>
        <w:rPr>
          <w:rFonts w:hint="eastAsia" w:ascii="Times New Roman" w:hAnsi="Times New Roman"/>
          <w:color w:val="auto"/>
          <w:sz w:val="32"/>
          <w:szCs w:val="28"/>
        </w:rPr>
        <w:t>（一）不断提高院前急救能力</w:t>
      </w:r>
      <w:bookmarkEnd w:id="54"/>
    </w:p>
    <w:p>
      <w:pPr>
        <w:adjustRightInd w:val="0"/>
        <w:snapToGrid w:val="0"/>
        <w:spacing w:before="46" w:beforeLines="15" w:after="46" w:afterLines="15" w:line="360" w:lineRule="auto"/>
        <w:ind w:firstLine="643" w:firstLineChars="200"/>
        <w:jc w:val="left"/>
        <w:rPr>
          <w:rFonts w:ascii="Times New Roman" w:hAnsi="Times New Roman" w:eastAsia="仿宋_GB2312" w:cs="Times New Roman"/>
          <w:color w:val="auto"/>
          <w:sz w:val="32"/>
          <w:szCs w:val="28"/>
        </w:rPr>
      </w:pPr>
      <w:r>
        <w:rPr>
          <w:rFonts w:hint="eastAsia" w:ascii="Times New Roman" w:hAnsi="Times New Roman" w:eastAsia="仿宋_GB2312" w:cs="Times New Roman"/>
          <w:b/>
          <w:color w:val="auto"/>
          <w:sz w:val="32"/>
          <w:szCs w:val="28"/>
        </w:rPr>
        <w:t>合理规划布局急救站点。</w:t>
      </w:r>
      <w:r>
        <w:rPr>
          <w:rFonts w:hint="eastAsia" w:ascii="Times New Roman" w:hAnsi="Times New Roman" w:eastAsia="仿宋_GB2312" w:cs="Times New Roman"/>
          <w:color w:val="auto"/>
          <w:sz w:val="32"/>
          <w:szCs w:val="28"/>
        </w:rPr>
        <w:t>进一步增加急救站点数量，</w:t>
      </w:r>
      <w:r>
        <w:rPr>
          <w:rFonts w:ascii="Times New Roman" w:hAnsi="Times New Roman" w:eastAsia="仿宋_GB2312" w:cs="Times New Roman"/>
          <w:color w:val="auto"/>
          <w:sz w:val="32"/>
          <w:szCs w:val="28"/>
        </w:rPr>
        <w:t>到2022年完成</w:t>
      </w:r>
      <w:r>
        <w:rPr>
          <w:rFonts w:hint="eastAsia" w:ascii="Times New Roman" w:hAnsi="Times New Roman" w:eastAsia="仿宋_GB2312" w:cs="Times New Roman"/>
          <w:color w:val="auto"/>
          <w:sz w:val="32"/>
          <w:szCs w:val="28"/>
        </w:rPr>
        <w:t>29</w:t>
      </w:r>
      <w:r>
        <w:rPr>
          <w:rFonts w:ascii="Times New Roman" w:hAnsi="Times New Roman" w:eastAsia="仿宋_GB2312" w:cs="Times New Roman"/>
          <w:color w:val="auto"/>
          <w:sz w:val="32"/>
          <w:szCs w:val="28"/>
        </w:rPr>
        <w:t>个急救站点的配置</w:t>
      </w:r>
      <w:r>
        <w:rPr>
          <w:rFonts w:hint="eastAsia" w:ascii="Times New Roman" w:hAnsi="Times New Roman" w:eastAsia="仿宋_GB2312" w:cs="Times New Roman"/>
          <w:color w:val="auto"/>
          <w:sz w:val="32"/>
          <w:szCs w:val="28"/>
        </w:rPr>
        <w:t>。正常运行的院前救护车维持在</w:t>
      </w:r>
      <w:r>
        <w:rPr>
          <w:rFonts w:ascii="Times New Roman" w:hAnsi="Times New Roman" w:eastAsia="仿宋_GB2312" w:cs="Times New Roman"/>
          <w:color w:val="auto"/>
          <w:sz w:val="32"/>
          <w:szCs w:val="28"/>
        </w:rPr>
        <w:t>70</w:t>
      </w:r>
      <w:r>
        <w:rPr>
          <w:rFonts w:hint="eastAsia" w:ascii="Times New Roman" w:hAnsi="Times New Roman" w:eastAsia="仿宋_GB2312" w:cs="Times New Roman"/>
          <w:color w:val="auto"/>
          <w:sz w:val="32"/>
          <w:szCs w:val="28"/>
        </w:rPr>
        <w:t>辆左右，并按要求配置负压救护车。急救呼叫满足率达到</w:t>
      </w:r>
      <w:r>
        <w:rPr>
          <w:rFonts w:ascii="Times New Roman" w:hAnsi="Times New Roman" w:eastAsia="仿宋_GB2312" w:cs="Times New Roman"/>
          <w:color w:val="auto"/>
          <w:sz w:val="32"/>
          <w:szCs w:val="28"/>
        </w:rPr>
        <w:t>95%</w:t>
      </w:r>
      <w:r>
        <w:rPr>
          <w:rFonts w:hint="eastAsia" w:ascii="Times New Roman" w:hAnsi="Times New Roman" w:eastAsia="仿宋_GB2312" w:cs="Times New Roman"/>
          <w:color w:val="auto"/>
          <w:sz w:val="32"/>
          <w:szCs w:val="28"/>
        </w:rPr>
        <w:t>以上，呼叫反应时间控制在</w:t>
      </w:r>
      <w:r>
        <w:rPr>
          <w:rFonts w:ascii="Times New Roman" w:hAnsi="Times New Roman" w:eastAsia="仿宋_GB2312" w:cs="Times New Roman"/>
          <w:color w:val="auto"/>
          <w:sz w:val="32"/>
          <w:szCs w:val="28"/>
        </w:rPr>
        <w:t>12</w:t>
      </w:r>
      <w:r>
        <w:rPr>
          <w:rFonts w:hint="eastAsia" w:ascii="Times New Roman" w:hAnsi="Times New Roman" w:eastAsia="仿宋_GB2312" w:cs="Times New Roman"/>
          <w:color w:val="auto"/>
          <w:sz w:val="32"/>
          <w:szCs w:val="28"/>
        </w:rPr>
        <w:t>分钟以内，急救服务满意率保持在</w:t>
      </w:r>
      <w:r>
        <w:rPr>
          <w:rFonts w:ascii="Times New Roman" w:hAnsi="Times New Roman" w:eastAsia="仿宋_GB2312" w:cs="Times New Roman"/>
          <w:color w:val="auto"/>
          <w:sz w:val="32"/>
          <w:szCs w:val="28"/>
        </w:rPr>
        <w:t>98%</w:t>
      </w:r>
      <w:r>
        <w:rPr>
          <w:rFonts w:hint="eastAsia" w:ascii="Times New Roman" w:hAnsi="Times New Roman" w:eastAsia="仿宋_GB2312" w:cs="Times New Roman"/>
          <w:color w:val="auto"/>
          <w:sz w:val="32"/>
          <w:szCs w:val="28"/>
        </w:rPr>
        <w:t>以上。</w:t>
      </w:r>
    </w:p>
    <w:p>
      <w:pPr>
        <w:adjustRightInd w:val="0"/>
        <w:snapToGrid w:val="0"/>
        <w:spacing w:before="46" w:beforeLines="15" w:after="46" w:afterLines="15" w:line="360" w:lineRule="auto"/>
        <w:ind w:firstLine="643" w:firstLineChars="200"/>
        <w:jc w:val="left"/>
        <w:rPr>
          <w:rFonts w:ascii="Times New Roman" w:hAnsi="Times New Roman" w:eastAsia="仿宋_GB2312" w:cs="Times New Roman"/>
          <w:color w:val="auto"/>
          <w:sz w:val="32"/>
          <w:szCs w:val="28"/>
        </w:rPr>
      </w:pPr>
      <w:r>
        <w:rPr>
          <w:rFonts w:hint="eastAsia" w:ascii="Times New Roman" w:hAnsi="Times New Roman" w:eastAsia="仿宋_GB2312" w:cs="Times New Roman"/>
          <w:b/>
          <w:color w:val="auto"/>
          <w:sz w:val="32"/>
          <w:szCs w:val="28"/>
        </w:rPr>
        <w:t>建设北京急救中心丰台急救中心站。</w:t>
      </w:r>
      <w:r>
        <w:rPr>
          <w:rFonts w:hint="eastAsia" w:ascii="Times New Roman" w:hAnsi="Times New Roman" w:eastAsia="仿宋_GB2312" w:cs="Times New Roman"/>
          <w:color w:val="auto"/>
          <w:sz w:val="32"/>
          <w:szCs w:val="28"/>
        </w:rPr>
        <w:t>根据北京市院前医疗急救体系建设实施方案相关要求，建设丰台急救中心站，建筑面积不小于</w:t>
      </w:r>
      <w:r>
        <w:rPr>
          <w:rFonts w:ascii="Times New Roman" w:hAnsi="Times New Roman" w:eastAsia="仿宋_GB2312" w:cs="Times New Roman"/>
          <w:color w:val="auto"/>
          <w:sz w:val="32"/>
          <w:szCs w:val="28"/>
        </w:rPr>
        <w:t>800</w:t>
      </w:r>
      <w:r>
        <w:rPr>
          <w:rFonts w:hint="eastAsia" w:ascii="Times New Roman" w:hAnsi="Times New Roman" w:eastAsia="仿宋_GB2312" w:cs="Times New Roman"/>
          <w:color w:val="auto"/>
          <w:sz w:val="32"/>
          <w:szCs w:val="28"/>
        </w:rPr>
        <w:t>平方米。根据功能定位和职责分工，明确人员配置、政府投入机制、运行机制等，推动“十四五”时期完成相关建设并投入运行。</w:t>
      </w:r>
    </w:p>
    <w:p>
      <w:pPr>
        <w:adjustRightInd w:val="0"/>
        <w:snapToGrid w:val="0"/>
        <w:spacing w:before="46" w:beforeLines="15" w:after="46" w:afterLines="15" w:line="360" w:lineRule="auto"/>
        <w:ind w:firstLine="643" w:firstLineChars="200"/>
        <w:jc w:val="left"/>
        <w:rPr>
          <w:rFonts w:ascii="Times New Roman" w:hAnsi="Times New Roman" w:eastAsia="仿宋_GB2312" w:cs="Times New Roman"/>
          <w:color w:val="auto"/>
          <w:sz w:val="32"/>
          <w:szCs w:val="28"/>
          <w:highlight w:val="yellow"/>
        </w:rPr>
      </w:pPr>
      <w:r>
        <w:rPr>
          <w:rFonts w:hint="eastAsia" w:ascii="Times New Roman" w:hAnsi="Times New Roman" w:eastAsia="仿宋_GB2312" w:cs="Times New Roman"/>
          <w:b/>
          <w:color w:val="auto"/>
          <w:sz w:val="32"/>
          <w:szCs w:val="28"/>
        </w:rPr>
        <w:t>提高多层面急救能力。</w:t>
      </w:r>
      <w:r>
        <w:rPr>
          <w:rFonts w:hint="eastAsia" w:ascii="Times New Roman" w:hAnsi="Times New Roman" w:eastAsia="仿宋_GB2312" w:cs="Times New Roman"/>
          <w:color w:val="auto"/>
          <w:sz w:val="32"/>
          <w:szCs w:val="28"/>
        </w:rPr>
        <w:t>加强院前急救人员能力建设，针对急危重症、重大自然灾害、重大交通事故等，开展培训和演练，提高院前急救质量。依托丰台急救中心站、中国航天科工集团七三一医院红十字会教育基地等设立急救培训中心，宣传社会急救技能培训和急救知识，普及心肺复苏、海姆立克急救等技术，提高公众急救能力和水平。</w:t>
      </w:r>
    </w:p>
    <w:p>
      <w:pPr>
        <w:pStyle w:val="5"/>
        <w:tabs>
          <w:tab w:val="clear" w:pos="720"/>
        </w:tabs>
        <w:spacing w:before="0" w:after="0" w:line="360" w:lineRule="auto"/>
        <w:ind w:left="0" w:firstLine="643" w:firstLineChars="200"/>
        <w:jc w:val="both"/>
        <w:rPr>
          <w:rFonts w:ascii="Times New Roman" w:hAnsi="Times New Roman"/>
          <w:color w:val="auto"/>
          <w:sz w:val="32"/>
          <w:szCs w:val="28"/>
        </w:rPr>
      </w:pPr>
      <w:bookmarkStart w:id="55" w:name="_Toc93511788"/>
      <w:r>
        <w:rPr>
          <w:rFonts w:hint="eastAsia" w:ascii="Times New Roman" w:hAnsi="Times New Roman"/>
          <w:color w:val="auto"/>
          <w:sz w:val="32"/>
          <w:szCs w:val="28"/>
        </w:rPr>
        <w:t>（二）持续优化区域医疗资源布局</w:t>
      </w:r>
      <w:bookmarkEnd w:id="55"/>
    </w:p>
    <w:p>
      <w:pPr>
        <w:adjustRightInd w:val="0"/>
        <w:snapToGrid w:val="0"/>
        <w:spacing w:before="46" w:beforeLines="15" w:after="46" w:afterLines="15" w:line="360" w:lineRule="auto"/>
        <w:ind w:firstLine="640" w:firstLineChars="200"/>
        <w:jc w:val="left"/>
        <w:rPr>
          <w:rFonts w:ascii="Times New Roman" w:hAnsi="Times New Roman" w:eastAsia="仿宋_GB2312" w:cs="Times New Roman"/>
          <w:color w:val="auto"/>
          <w:sz w:val="32"/>
          <w:szCs w:val="28"/>
        </w:rPr>
      </w:pPr>
      <w:r>
        <w:rPr>
          <w:rFonts w:hint="eastAsia" w:ascii="Times New Roman" w:hAnsi="Times New Roman" w:eastAsia="仿宋_GB2312" w:cs="Times New Roman"/>
          <w:b w:val="0"/>
          <w:color w:val="auto"/>
          <w:sz w:val="32"/>
          <w:szCs w:val="28"/>
        </w:rPr>
        <w:t>依托丰台医院</w:t>
      </w:r>
      <w:r>
        <w:rPr>
          <w:rFonts w:hint="eastAsia" w:ascii="Times New Roman" w:hAnsi="Times New Roman" w:eastAsia="仿宋_GB2312" w:cs="Times New Roman"/>
          <w:color w:val="auto"/>
          <w:sz w:val="32"/>
          <w:szCs w:val="28"/>
        </w:rPr>
        <w:t>建设区域医疗中心。大力推进丰台医院提质改建项目，加大医疗设施设备配置力度。持续加强三级综合医院内涵建设，不断提高心内科、普外科、骨科、妇产科、肿瘤科、儿科等综合服务能力。加强危重症孕产妇抢救中心、危重新生儿救治中心等建设，提升区域危急重症抢救能力。</w:t>
      </w:r>
    </w:p>
    <w:p>
      <w:pPr>
        <w:adjustRightInd w:val="0"/>
        <w:snapToGrid w:val="0"/>
        <w:spacing w:before="46" w:beforeLines="15" w:after="46" w:afterLines="15" w:line="360" w:lineRule="auto"/>
        <w:ind w:firstLine="640" w:firstLineChars="200"/>
        <w:jc w:val="left"/>
        <w:rPr>
          <w:rFonts w:ascii="Times New Roman" w:hAnsi="Times New Roman" w:eastAsia="仿宋_GB2312" w:cs="Times New Roman"/>
          <w:color w:val="auto"/>
          <w:sz w:val="32"/>
          <w:szCs w:val="28"/>
        </w:rPr>
      </w:pPr>
      <w:r>
        <w:rPr>
          <w:rFonts w:hint="eastAsia" w:ascii="Times New Roman" w:hAnsi="Times New Roman" w:eastAsia="仿宋_GB2312" w:cs="Times New Roman"/>
          <w:b w:val="0"/>
          <w:color w:val="auto"/>
          <w:sz w:val="32"/>
          <w:szCs w:val="28"/>
        </w:rPr>
        <w:t>依托丰台中西医结合医院</w:t>
      </w:r>
      <w:r>
        <w:rPr>
          <w:rFonts w:hint="eastAsia" w:ascii="Times New Roman" w:hAnsi="Times New Roman" w:eastAsia="仿宋_GB2312" w:cs="Times New Roman"/>
          <w:color w:val="auto"/>
          <w:sz w:val="32"/>
          <w:szCs w:val="28"/>
        </w:rPr>
        <w:t>建设区域突发公共卫生事件战备医院和结核病定点医院。全面启动二期工程建设工作，坚持平战结合，新增床位按照传染病医院标准建设，“平时”用于日常综合诊疗；“战时”转化为重大疫情救治基地，打造丰台区公共卫生应急救治中心。加强感染性疾病科建设，设置相对独立的传染病病区（负压病房）。进一步深化三级甲等中西医结合医院内涵建设，打造脑病科等中西医结合诊疗中心。强化丰台区老年健康和医养结合服务指导中心职能，不断完善老年健康服务体系。</w:t>
      </w:r>
    </w:p>
    <w:p>
      <w:pPr>
        <w:adjustRightInd w:val="0"/>
        <w:snapToGrid w:val="0"/>
        <w:spacing w:before="46" w:beforeLines="15" w:after="46" w:afterLines="15" w:line="360" w:lineRule="auto"/>
        <w:ind w:firstLine="640" w:firstLineChars="200"/>
        <w:jc w:val="left"/>
        <w:rPr>
          <w:rFonts w:ascii="仿宋_GB2312" w:eastAsia="仿宋_GB2312"/>
          <w:color w:val="auto"/>
          <w:sz w:val="36"/>
          <w:szCs w:val="32"/>
        </w:rPr>
      </w:pPr>
      <w:r>
        <w:rPr>
          <w:rFonts w:hint="eastAsia" w:ascii="Times New Roman" w:hAnsi="Times New Roman" w:eastAsia="仿宋_GB2312" w:cs="Times New Roman"/>
          <w:b w:val="0"/>
          <w:color w:val="auto"/>
          <w:sz w:val="32"/>
          <w:szCs w:val="28"/>
        </w:rPr>
        <w:t>依托丰台区铁营医院</w:t>
      </w:r>
      <w:r>
        <w:rPr>
          <w:rFonts w:hint="eastAsia" w:ascii="Times New Roman" w:hAnsi="Times New Roman" w:eastAsia="仿宋_GB2312" w:cs="Times New Roman"/>
          <w:color w:val="auto"/>
          <w:sz w:val="32"/>
          <w:szCs w:val="28"/>
        </w:rPr>
        <w:t>建设区域康复医疗中心。启动</w:t>
      </w:r>
      <w:r>
        <w:rPr>
          <w:rFonts w:ascii="Times New Roman" w:hAnsi="Times New Roman" w:eastAsia="仿宋_GB2312" w:cs="Times New Roman"/>
          <w:color w:val="auto"/>
          <w:sz w:val="32"/>
          <w:szCs w:val="28"/>
        </w:rPr>
        <w:t>630</w:t>
      </w:r>
      <w:r>
        <w:rPr>
          <w:rFonts w:hint="eastAsia" w:ascii="Times New Roman" w:hAnsi="Times New Roman" w:eastAsia="仿宋_GB2312" w:cs="Times New Roman"/>
          <w:color w:val="auto"/>
          <w:sz w:val="32"/>
          <w:szCs w:val="28"/>
        </w:rPr>
        <w:t>地块改造及软硬件建设，完成铁营医院“一院两址”建设规划。联合北京博爱医院全面构建专科医联体，不断深化丰台区康复医疗中心内涵建设，为创建三级医院奠定坚实基础。</w:t>
      </w:r>
    </w:p>
    <w:p>
      <w:pPr>
        <w:adjustRightInd w:val="0"/>
        <w:snapToGrid w:val="0"/>
        <w:spacing w:before="46" w:beforeLines="15" w:after="46" w:afterLines="15" w:line="360" w:lineRule="auto"/>
        <w:ind w:firstLine="640" w:firstLineChars="200"/>
        <w:jc w:val="left"/>
        <w:rPr>
          <w:rFonts w:ascii="Times New Roman" w:hAnsi="Times New Roman" w:eastAsia="仿宋_GB2312" w:cs="Times New Roman"/>
          <w:color w:val="auto"/>
          <w:sz w:val="32"/>
          <w:szCs w:val="28"/>
        </w:rPr>
      </w:pPr>
      <w:r>
        <w:rPr>
          <w:rFonts w:hint="eastAsia" w:ascii="Times New Roman" w:hAnsi="Times New Roman" w:eastAsia="仿宋_GB2312" w:cs="Times New Roman"/>
          <w:b w:val="0"/>
          <w:color w:val="auto"/>
          <w:sz w:val="32"/>
          <w:szCs w:val="28"/>
        </w:rPr>
        <w:t>依托丰台区中医医院</w:t>
      </w:r>
      <w:r>
        <w:rPr>
          <w:rFonts w:hint="eastAsia" w:ascii="Times New Roman" w:hAnsi="Times New Roman" w:eastAsia="仿宋_GB2312" w:cs="Times New Roman"/>
          <w:color w:val="auto"/>
          <w:sz w:val="32"/>
          <w:szCs w:val="28"/>
        </w:rPr>
        <w:t>建设区域中医医疗中心、中医药文化交流中心、中医药制剂中心。紧扣南中轴“发展、文化、生态”的战略定位，发挥特殊区位优势，建设中医药特色突出、中医文化浓郁、健康产业发达的地标式中医医院，不断提高中医药服务能力，逐步推进三级中医医院建设。提高中医药人员占比，通过招聘、人才引进、“西学中”等方式，增加全院中医类执业人员比例，到</w:t>
      </w:r>
      <w:r>
        <w:rPr>
          <w:rFonts w:ascii="Times New Roman" w:hAnsi="Times New Roman" w:eastAsia="仿宋_GB2312" w:cs="Times New Roman"/>
          <w:color w:val="auto"/>
          <w:sz w:val="32"/>
          <w:szCs w:val="28"/>
        </w:rPr>
        <w:t>2025</w:t>
      </w:r>
      <w:r>
        <w:rPr>
          <w:rFonts w:hint="eastAsia" w:ascii="Times New Roman" w:hAnsi="Times New Roman" w:eastAsia="仿宋_GB2312" w:cs="Times New Roman"/>
          <w:color w:val="auto"/>
          <w:sz w:val="32"/>
          <w:szCs w:val="28"/>
        </w:rPr>
        <w:t>年，中医类别医师比例达到</w:t>
      </w:r>
      <w:r>
        <w:rPr>
          <w:rFonts w:ascii="Times New Roman" w:hAnsi="Times New Roman" w:eastAsia="仿宋_GB2312" w:cs="Times New Roman"/>
          <w:color w:val="auto"/>
          <w:sz w:val="32"/>
          <w:szCs w:val="28"/>
        </w:rPr>
        <w:t>60%</w:t>
      </w:r>
      <w:r>
        <w:rPr>
          <w:rFonts w:hint="eastAsia" w:ascii="Times New Roman" w:hAnsi="Times New Roman" w:eastAsia="仿宋_GB2312" w:cs="Times New Roman"/>
          <w:color w:val="auto"/>
          <w:sz w:val="32"/>
          <w:szCs w:val="28"/>
        </w:rPr>
        <w:t>以上。</w:t>
      </w:r>
    </w:p>
    <w:p>
      <w:pPr>
        <w:pStyle w:val="5"/>
        <w:tabs>
          <w:tab w:val="clear" w:pos="720"/>
        </w:tabs>
        <w:spacing w:before="0" w:after="0" w:line="360" w:lineRule="auto"/>
        <w:ind w:left="0" w:firstLine="643" w:firstLineChars="200"/>
        <w:jc w:val="both"/>
        <w:rPr>
          <w:rFonts w:ascii="Times New Roman" w:hAnsi="Times New Roman"/>
          <w:color w:val="auto"/>
          <w:sz w:val="32"/>
          <w:szCs w:val="28"/>
        </w:rPr>
      </w:pPr>
      <w:bookmarkStart w:id="56" w:name="_Toc93511789"/>
      <w:r>
        <w:rPr>
          <w:rFonts w:hint="eastAsia" w:ascii="Times New Roman" w:hAnsi="Times New Roman"/>
          <w:color w:val="auto"/>
          <w:sz w:val="32"/>
          <w:szCs w:val="28"/>
        </w:rPr>
        <w:t>（三）促进区域优质资源协同发展</w:t>
      </w:r>
      <w:bookmarkEnd w:id="56"/>
    </w:p>
    <w:p>
      <w:pPr>
        <w:adjustRightInd w:val="0"/>
        <w:snapToGrid w:val="0"/>
        <w:spacing w:before="46" w:beforeLines="15" w:after="46" w:afterLines="15" w:line="360" w:lineRule="auto"/>
        <w:ind w:firstLine="643" w:firstLineChars="200"/>
        <w:jc w:val="left"/>
        <w:rPr>
          <w:rFonts w:ascii="Times New Roman" w:hAnsi="Times New Roman" w:eastAsia="仿宋_GB2312" w:cs="Times New Roman"/>
          <w:color w:val="auto"/>
          <w:sz w:val="32"/>
          <w:szCs w:val="28"/>
        </w:rPr>
      </w:pPr>
      <w:r>
        <w:rPr>
          <w:rFonts w:hint="eastAsia" w:ascii="Times New Roman" w:hAnsi="Times New Roman" w:eastAsia="仿宋_GB2312" w:cs="Times New Roman"/>
          <w:b/>
          <w:color w:val="auto"/>
          <w:sz w:val="32"/>
          <w:szCs w:val="28"/>
        </w:rPr>
        <w:t>推进辖区医院提质升级。</w:t>
      </w:r>
      <w:r>
        <w:rPr>
          <w:rFonts w:hint="eastAsia" w:ascii="Times New Roman" w:hAnsi="Times New Roman" w:eastAsia="仿宋_GB2312" w:cs="Times New Roman"/>
          <w:color w:val="auto"/>
          <w:sz w:val="32"/>
          <w:szCs w:val="28"/>
        </w:rPr>
        <w:t>为驻区军队、中央、市属等优质医疗资源发展创造良好的条件。推进北京口腔医院新院区建成投用。鼓励北京航天总医院、中国航天科工集团七三一医院、北京电力医院向三级甲等综合医院发展。积极配合天坛医院建设国际一流创新型医院，鼓励其与区属医疗卫生机构联合开展科研创新和研究成果转化。推动博爱医院、天坛医院等机构在语言、标识、网站以及预约等服务环节规范化建设，满足外籍人士医疗服务需求，提高对丽泽商务区的医疗服务辐射能力，助力国际交往中心建设。</w:t>
      </w:r>
    </w:p>
    <w:p>
      <w:pPr>
        <w:adjustRightInd w:val="0"/>
        <w:snapToGrid w:val="0"/>
        <w:spacing w:before="46" w:beforeLines="15" w:after="46" w:afterLines="15" w:line="360" w:lineRule="auto"/>
        <w:ind w:firstLine="643" w:firstLineChars="200"/>
        <w:jc w:val="left"/>
        <w:rPr>
          <w:rFonts w:ascii="Times New Roman" w:hAnsi="Times New Roman" w:eastAsia="仿宋_GB2312" w:cs="Times New Roman"/>
          <w:color w:val="auto"/>
          <w:sz w:val="32"/>
          <w:szCs w:val="28"/>
        </w:rPr>
      </w:pPr>
      <w:r>
        <w:rPr>
          <w:rFonts w:hint="eastAsia" w:ascii="Times New Roman" w:hAnsi="Times New Roman" w:eastAsia="仿宋_GB2312" w:cs="Times New Roman"/>
          <w:b/>
          <w:color w:val="auto"/>
          <w:sz w:val="32"/>
          <w:szCs w:val="28"/>
        </w:rPr>
        <w:t>加强专科医联体建设。</w:t>
      </w:r>
      <w:r>
        <w:rPr>
          <w:rFonts w:hint="eastAsia" w:ascii="Times New Roman" w:hAnsi="Times New Roman" w:eastAsia="仿宋_GB2312" w:cs="Times New Roman"/>
          <w:color w:val="auto"/>
          <w:sz w:val="32"/>
          <w:szCs w:val="28"/>
        </w:rPr>
        <w:t>发挥驻区中央、市属等优质医疗资源优势，建立完善中医医联体、康复医联体、神经科医联体，不断提高区属医疗卫生机构专科服务能力。推动东方医院与丰台区中医医院建立中医医联体。推动北京博爱医院与丰台区铁营医院建立康复专科医联体，搭建康复信息化平台，建设康复远程医疗系统。深化丰台医院、丰台中西医结合医院与北京天坛医院、北京朝阳医院等合作，建设专科专病诊疗中心。</w:t>
      </w:r>
    </w:p>
    <w:p>
      <w:pPr>
        <w:adjustRightInd w:val="0"/>
        <w:snapToGrid w:val="0"/>
        <w:spacing w:before="46" w:beforeLines="15" w:after="46" w:afterLines="15" w:line="360" w:lineRule="auto"/>
        <w:ind w:firstLine="643" w:firstLineChars="200"/>
        <w:jc w:val="left"/>
        <w:rPr>
          <w:rFonts w:ascii="Times New Roman" w:hAnsi="Times New Roman" w:eastAsia="仿宋_GB2312" w:cs="Times New Roman"/>
          <w:color w:val="auto"/>
          <w:sz w:val="32"/>
          <w:szCs w:val="28"/>
        </w:rPr>
      </w:pPr>
      <w:r>
        <w:rPr>
          <w:rFonts w:hint="eastAsia" w:ascii="Times New Roman" w:hAnsi="Times New Roman" w:eastAsia="仿宋_GB2312" w:cs="Times New Roman"/>
          <w:b/>
          <w:color w:val="auto"/>
          <w:sz w:val="32"/>
          <w:szCs w:val="28"/>
        </w:rPr>
        <w:t>推动辖区优质医疗资源扩大服务供给。</w:t>
      </w:r>
      <w:r>
        <w:rPr>
          <w:rFonts w:hint="eastAsia" w:ascii="Times New Roman" w:hAnsi="Times New Roman" w:eastAsia="仿宋_GB2312" w:cs="Times New Roman"/>
          <w:color w:val="auto"/>
          <w:sz w:val="32"/>
          <w:szCs w:val="28"/>
        </w:rPr>
        <w:t>推进辖区内中央、市属等医疗机构建设胸痛中心、脑卒中中心、创伤中心、孕产妇急救中心和新生儿（儿童）急救中心，提高辖区急救服务能力。鼓励天坛医院、中国航天科工集团七三一医院等医疗机构建设肿瘤科、心脑血管疾病科、儿科、老年病科、微创诊疗科等，不断提高综合服务能力。</w:t>
      </w:r>
    </w:p>
    <w:p>
      <w:pPr>
        <w:pStyle w:val="5"/>
        <w:tabs>
          <w:tab w:val="clear" w:pos="720"/>
        </w:tabs>
        <w:spacing w:before="0" w:after="0" w:line="360" w:lineRule="auto"/>
        <w:ind w:left="0" w:firstLine="643" w:firstLineChars="200"/>
        <w:jc w:val="both"/>
        <w:rPr>
          <w:rFonts w:ascii="Times New Roman" w:hAnsi="Times New Roman"/>
          <w:color w:val="auto"/>
          <w:sz w:val="32"/>
          <w:szCs w:val="28"/>
        </w:rPr>
      </w:pPr>
      <w:bookmarkStart w:id="57" w:name="_Toc93511790"/>
      <w:r>
        <w:rPr>
          <w:rFonts w:hint="eastAsia" w:ascii="Times New Roman" w:hAnsi="Times New Roman"/>
          <w:color w:val="auto"/>
          <w:sz w:val="32"/>
          <w:szCs w:val="28"/>
        </w:rPr>
        <w:t>（四）推动</w:t>
      </w:r>
      <w:r>
        <w:rPr>
          <w:rFonts w:hint="eastAsia" w:ascii="Times New Roman" w:hAnsi="Times New Roman"/>
          <w:color w:val="auto"/>
          <w:szCs w:val="28"/>
        </w:rPr>
        <w:t>社会办医向高质量发展</w:t>
      </w:r>
      <w:bookmarkEnd w:id="57"/>
    </w:p>
    <w:p>
      <w:pPr>
        <w:adjustRightInd w:val="0"/>
        <w:snapToGrid w:val="0"/>
        <w:spacing w:before="46" w:beforeLines="15" w:after="46" w:afterLines="15" w:line="360" w:lineRule="auto"/>
        <w:ind w:firstLine="643" w:firstLineChars="200"/>
        <w:jc w:val="left"/>
        <w:rPr>
          <w:rFonts w:ascii="Times New Roman" w:hAnsi="Times New Roman" w:eastAsia="仿宋_GB2312" w:cs="Times New Roman"/>
          <w:bCs/>
          <w:color w:val="auto"/>
          <w:sz w:val="32"/>
          <w:szCs w:val="28"/>
        </w:rPr>
      </w:pPr>
      <w:r>
        <w:rPr>
          <w:rFonts w:hint="eastAsia" w:ascii="Times New Roman" w:hAnsi="Times New Roman" w:eastAsia="仿宋_GB2312" w:cs="Times New Roman"/>
          <w:b/>
          <w:color w:val="auto"/>
          <w:sz w:val="32"/>
          <w:szCs w:val="28"/>
        </w:rPr>
        <w:t>鼓励</w:t>
      </w:r>
      <w:r>
        <w:rPr>
          <w:rFonts w:ascii="Times New Roman" w:hAnsi="Times New Roman" w:eastAsia="仿宋_GB2312" w:cs="Times New Roman"/>
          <w:b/>
          <w:color w:val="auto"/>
          <w:sz w:val="32"/>
          <w:szCs w:val="28"/>
        </w:rPr>
        <w:t>社会办医</w:t>
      </w:r>
      <w:r>
        <w:rPr>
          <w:rFonts w:hint="eastAsia" w:ascii="Times New Roman" w:hAnsi="Times New Roman" w:eastAsia="仿宋_GB2312" w:cs="Times New Roman"/>
          <w:b/>
          <w:color w:val="auto"/>
          <w:sz w:val="32"/>
          <w:szCs w:val="28"/>
        </w:rPr>
        <w:t>高水平</w:t>
      </w:r>
      <w:r>
        <w:rPr>
          <w:rFonts w:ascii="Times New Roman" w:hAnsi="Times New Roman" w:eastAsia="仿宋_GB2312" w:cs="Times New Roman"/>
          <w:b/>
          <w:color w:val="auto"/>
          <w:sz w:val="32"/>
          <w:szCs w:val="28"/>
        </w:rPr>
        <w:t>发展</w:t>
      </w:r>
      <w:r>
        <w:rPr>
          <w:rFonts w:hint="eastAsia" w:ascii="Times New Roman" w:hAnsi="Times New Roman" w:eastAsia="仿宋_GB2312" w:cs="Times New Roman"/>
          <w:b/>
          <w:color w:val="auto"/>
          <w:sz w:val="32"/>
          <w:szCs w:val="28"/>
        </w:rPr>
        <w:t>。</w:t>
      </w:r>
      <w:r>
        <w:rPr>
          <w:rFonts w:hint="eastAsia" w:ascii="Times New Roman" w:hAnsi="Times New Roman" w:eastAsia="仿宋_GB2312" w:cs="Times New Roman"/>
          <w:bCs/>
          <w:color w:val="auto"/>
          <w:sz w:val="32"/>
          <w:szCs w:val="28"/>
        </w:rPr>
        <w:t>积极引进高端优质医疗资源落户丰台，提供国际化、现代化、高品质的医疗健康服务。结合本区医疗资源布局与结构，鼓励社会力量在医疗资源薄弱的地区举办连锁化的医疗机构。引导社会力量举办康复医疗中心、护理中心等医疗机构和连锁化、集团化经营的医学检验实验室、病理诊断中心、医学影像中心、血液透析中心等独立设置的医疗机构。</w:t>
      </w:r>
    </w:p>
    <w:p>
      <w:pPr>
        <w:adjustRightInd w:val="0"/>
        <w:snapToGrid w:val="0"/>
        <w:spacing w:before="46" w:beforeLines="15" w:after="46" w:afterLines="15" w:line="360" w:lineRule="auto"/>
        <w:ind w:firstLine="643" w:firstLineChars="200"/>
        <w:jc w:val="left"/>
        <w:rPr>
          <w:rFonts w:ascii="Times New Roman" w:hAnsi="Times New Roman" w:eastAsia="仿宋_GB2312" w:cs="Times New Roman"/>
          <w:bCs/>
          <w:color w:val="auto"/>
          <w:sz w:val="32"/>
          <w:szCs w:val="28"/>
        </w:rPr>
      </w:pPr>
      <w:r>
        <w:rPr>
          <w:rFonts w:hint="eastAsia" w:ascii="Times New Roman" w:hAnsi="Times New Roman" w:eastAsia="仿宋_GB2312" w:cs="Times New Roman"/>
          <w:b/>
          <w:bCs/>
          <w:color w:val="auto"/>
          <w:sz w:val="32"/>
          <w:szCs w:val="28"/>
        </w:rPr>
        <w:t>促进社会办医规范化发展</w:t>
      </w:r>
      <w:r>
        <w:rPr>
          <w:rFonts w:hint="eastAsia" w:ascii="Times New Roman" w:hAnsi="Times New Roman" w:eastAsia="仿宋_GB2312" w:cs="Times New Roman"/>
          <w:bCs/>
          <w:color w:val="auto"/>
          <w:sz w:val="32"/>
          <w:szCs w:val="28"/>
        </w:rPr>
        <w:t>。加强对社会办医疗卫生机构监督检查力度，充分利用信息化手段，提高监督管理的广度和深度。鼓励社会办医疗机构不断加强医疗服务设施配置，规范医疗服务管理，</w:t>
      </w:r>
      <w:r>
        <w:rPr>
          <w:rFonts w:ascii="Times New Roman" w:hAnsi="Times New Roman" w:eastAsia="仿宋_GB2312" w:cs="Times New Roman"/>
          <w:bCs/>
          <w:color w:val="auto"/>
          <w:sz w:val="32"/>
          <w:szCs w:val="28"/>
        </w:rPr>
        <w:t>优化医疗服务能力</w:t>
      </w:r>
      <w:r>
        <w:rPr>
          <w:rFonts w:hint="eastAsia" w:ascii="Times New Roman" w:hAnsi="Times New Roman" w:eastAsia="仿宋_GB2312" w:cs="Times New Roman"/>
          <w:bCs/>
          <w:color w:val="auto"/>
          <w:sz w:val="32"/>
          <w:szCs w:val="28"/>
        </w:rPr>
        <w:t>，提高医疗服务质量。鼓励社会办医疗机构积极应用新技术、提供新服务，满足不同层次医疗服务需求。</w:t>
      </w:r>
    </w:p>
    <w:p>
      <w:pPr>
        <w:adjustRightInd w:val="0"/>
        <w:snapToGrid w:val="0"/>
        <w:spacing w:before="46" w:beforeLines="15" w:after="46" w:afterLines="15" w:line="360" w:lineRule="auto"/>
        <w:ind w:firstLine="643" w:firstLineChars="200"/>
        <w:jc w:val="left"/>
        <w:rPr>
          <w:rFonts w:ascii="Times New Roman" w:hAnsi="Times New Roman" w:eastAsia="仿宋_GB2312" w:cs="Times New Roman"/>
          <w:bCs/>
          <w:color w:val="auto"/>
          <w:sz w:val="32"/>
          <w:szCs w:val="28"/>
        </w:rPr>
      </w:pPr>
      <w:r>
        <w:rPr>
          <w:rFonts w:hint="eastAsia" w:ascii="Times New Roman" w:hAnsi="Times New Roman" w:eastAsia="仿宋_GB2312" w:cs="Times New Roman"/>
          <w:b/>
          <w:bCs/>
          <w:color w:val="auto"/>
          <w:sz w:val="32"/>
          <w:szCs w:val="28"/>
        </w:rPr>
        <w:t>建设社会办医友好型环境</w:t>
      </w:r>
      <w:r>
        <w:rPr>
          <w:rFonts w:hint="eastAsia" w:ascii="Times New Roman" w:hAnsi="Times New Roman" w:eastAsia="仿宋_GB2312" w:cs="Times New Roman"/>
          <w:bCs/>
          <w:color w:val="auto"/>
          <w:sz w:val="32"/>
          <w:szCs w:val="28"/>
        </w:rPr>
        <w:t>。做好社会办社区卫生服务机构承担公共卫生服务、康复护理服务等政府相关经费保障工作。社会办医疗机构专业技术人员与公立医疗机构专业技术人员同等参与职称评审。探索完善社会办医疗机构开展传染病防控、公共卫生应急检测、紧急医疗救治等相关工作的补偿机制。积极鼓励社会办医疗卫生机构参与区域医联体建设，完善分工协作、双向转诊机制。</w:t>
      </w:r>
    </w:p>
    <w:p>
      <w:pPr>
        <w:pStyle w:val="5"/>
        <w:tabs>
          <w:tab w:val="clear" w:pos="720"/>
        </w:tabs>
        <w:spacing w:before="0" w:after="0" w:line="360" w:lineRule="auto"/>
        <w:ind w:left="0" w:firstLine="643" w:firstLineChars="200"/>
        <w:jc w:val="both"/>
        <w:rPr>
          <w:rFonts w:ascii="Times New Roman" w:hAnsi="Times New Roman"/>
          <w:color w:val="auto"/>
          <w:sz w:val="32"/>
          <w:szCs w:val="28"/>
        </w:rPr>
      </w:pPr>
      <w:bookmarkStart w:id="58" w:name="_Toc93511791"/>
      <w:r>
        <w:rPr>
          <w:rFonts w:hint="eastAsia" w:ascii="Times New Roman" w:hAnsi="Times New Roman"/>
          <w:color w:val="auto"/>
          <w:sz w:val="32"/>
          <w:szCs w:val="28"/>
        </w:rPr>
        <w:t>（五）优化社区卫生</w:t>
      </w:r>
      <w:r>
        <w:rPr>
          <w:rFonts w:hint="eastAsia" w:ascii="Times New Roman" w:hAnsi="Times New Roman"/>
          <w:color w:val="auto"/>
          <w:szCs w:val="28"/>
        </w:rPr>
        <w:t>综合</w:t>
      </w:r>
      <w:r>
        <w:rPr>
          <w:rFonts w:hint="eastAsia" w:ascii="Times New Roman" w:hAnsi="Times New Roman"/>
          <w:color w:val="auto"/>
          <w:sz w:val="32"/>
          <w:szCs w:val="28"/>
        </w:rPr>
        <w:t>服务能力</w:t>
      </w:r>
      <w:bookmarkEnd w:id="58"/>
    </w:p>
    <w:p>
      <w:pPr>
        <w:adjustRightInd w:val="0"/>
        <w:snapToGrid w:val="0"/>
        <w:spacing w:before="46" w:beforeLines="15" w:after="46" w:afterLines="15" w:line="360" w:lineRule="auto"/>
        <w:ind w:firstLine="643" w:firstLineChars="200"/>
        <w:jc w:val="left"/>
        <w:rPr>
          <w:rFonts w:ascii="Times New Roman" w:hAnsi="Times New Roman" w:eastAsia="仿宋_GB2312" w:cs="Times New Roman"/>
          <w:bCs/>
          <w:color w:val="auto"/>
          <w:sz w:val="32"/>
          <w:szCs w:val="28"/>
        </w:rPr>
      </w:pPr>
      <w:r>
        <w:rPr>
          <w:rFonts w:hint="eastAsia" w:ascii="Times New Roman" w:hAnsi="Times New Roman" w:eastAsia="仿宋_GB2312" w:cs="Times New Roman"/>
          <w:b/>
          <w:bCs/>
          <w:color w:val="auto"/>
          <w:sz w:val="32"/>
          <w:szCs w:val="28"/>
        </w:rPr>
        <w:t>不断完善社区卫生服务机构建设。</w:t>
      </w:r>
      <w:r>
        <w:rPr>
          <w:rFonts w:ascii="Times New Roman" w:hAnsi="Times New Roman" w:eastAsia="仿宋_GB2312" w:cs="Times New Roman"/>
          <w:bCs/>
          <w:color w:val="auto"/>
          <w:sz w:val="32"/>
          <w:szCs w:val="28"/>
        </w:rPr>
        <w:t>通过调整原有社区卫生服务中心服务范围</w:t>
      </w:r>
      <w:r>
        <w:rPr>
          <w:rFonts w:hint="eastAsia" w:ascii="Times New Roman" w:hAnsi="Times New Roman" w:eastAsia="仿宋_GB2312" w:cs="Times New Roman"/>
          <w:bCs/>
          <w:color w:val="auto"/>
          <w:sz w:val="32"/>
          <w:szCs w:val="28"/>
        </w:rPr>
        <w:t>、</w:t>
      </w:r>
      <w:r>
        <w:rPr>
          <w:rFonts w:ascii="Times New Roman" w:hAnsi="Times New Roman" w:eastAsia="仿宋_GB2312" w:cs="Times New Roman"/>
          <w:bCs/>
          <w:color w:val="auto"/>
          <w:sz w:val="32"/>
          <w:szCs w:val="28"/>
        </w:rPr>
        <w:t>新建社区卫生服务中心等形式</w:t>
      </w:r>
      <w:r>
        <w:rPr>
          <w:rFonts w:hint="eastAsia" w:ascii="Times New Roman" w:hAnsi="Times New Roman" w:eastAsia="仿宋_GB2312" w:cs="Times New Roman"/>
          <w:bCs/>
          <w:color w:val="auto"/>
          <w:sz w:val="32"/>
          <w:szCs w:val="28"/>
        </w:rPr>
        <w:t>，逐步推进南苑街道、丰台街道等社区卫生服务中心全覆盖。启动石榴庄街道社区卫生服务中心创建社区医院工作。推动社区卫生服务中心康复科、儿科、眼科、耳鼻喉科等建设。</w:t>
      </w:r>
    </w:p>
    <w:p>
      <w:pPr>
        <w:adjustRightInd w:val="0"/>
        <w:snapToGrid w:val="0"/>
        <w:spacing w:before="46" w:beforeLines="15" w:after="46" w:afterLines="15" w:line="360" w:lineRule="auto"/>
        <w:ind w:firstLine="643" w:firstLineChars="200"/>
        <w:jc w:val="left"/>
        <w:rPr>
          <w:rFonts w:ascii="Times New Roman" w:hAnsi="Times New Roman" w:eastAsia="仿宋_GB2312" w:cs="Times New Roman"/>
          <w:bCs/>
          <w:color w:val="auto"/>
          <w:sz w:val="32"/>
          <w:szCs w:val="28"/>
        </w:rPr>
      </w:pPr>
      <w:r>
        <w:rPr>
          <w:rFonts w:hint="eastAsia" w:ascii="Times New Roman" w:hAnsi="Times New Roman" w:eastAsia="仿宋_GB2312" w:cs="Times New Roman"/>
          <w:b/>
          <w:bCs/>
          <w:color w:val="auto"/>
          <w:sz w:val="32"/>
          <w:szCs w:val="28"/>
        </w:rPr>
        <w:t>继续丰富智慧家医品牌内涵。</w:t>
      </w:r>
      <w:r>
        <w:rPr>
          <w:rFonts w:hint="eastAsia" w:ascii="Times New Roman" w:hAnsi="Times New Roman" w:eastAsia="仿宋_GB2312" w:cs="Times New Roman"/>
          <w:bCs/>
          <w:color w:val="auto"/>
          <w:sz w:val="32"/>
          <w:szCs w:val="28"/>
        </w:rPr>
        <w:t>持续推进天坛医院丰台区社区智慧家医工作室项目。完善</w:t>
      </w:r>
      <w:r>
        <w:rPr>
          <w:rFonts w:ascii="Times New Roman" w:hAnsi="Times New Roman" w:eastAsia="仿宋_GB2312" w:cs="Times New Roman"/>
          <w:bCs/>
          <w:color w:val="auto"/>
          <w:sz w:val="32"/>
          <w:szCs w:val="28"/>
        </w:rPr>
        <w:t>医防融合</w:t>
      </w:r>
      <w:r>
        <w:rPr>
          <w:rFonts w:hint="eastAsia" w:ascii="Times New Roman" w:hAnsi="Times New Roman" w:eastAsia="仿宋_GB2312" w:cs="Times New Roman"/>
          <w:bCs/>
          <w:color w:val="auto"/>
          <w:sz w:val="32"/>
          <w:szCs w:val="28"/>
        </w:rPr>
        <w:t>新型</w:t>
      </w:r>
      <w:r>
        <w:rPr>
          <w:rFonts w:ascii="Times New Roman" w:hAnsi="Times New Roman" w:eastAsia="仿宋_GB2312" w:cs="Times New Roman"/>
          <w:bCs/>
          <w:color w:val="auto"/>
          <w:sz w:val="32"/>
          <w:szCs w:val="28"/>
        </w:rPr>
        <w:t>健康管理模式</w:t>
      </w:r>
      <w:r>
        <w:rPr>
          <w:rFonts w:hint="eastAsia" w:ascii="Times New Roman" w:hAnsi="Times New Roman" w:eastAsia="仿宋_GB2312" w:cs="Times New Roman"/>
          <w:bCs/>
          <w:color w:val="auto"/>
          <w:sz w:val="32"/>
          <w:szCs w:val="28"/>
        </w:rPr>
        <w:t>，推动社区</w:t>
      </w:r>
      <w:r>
        <w:rPr>
          <w:rFonts w:ascii="Times New Roman" w:hAnsi="Times New Roman" w:eastAsia="仿宋_GB2312" w:cs="Times New Roman"/>
          <w:bCs/>
          <w:color w:val="auto"/>
          <w:sz w:val="32"/>
          <w:szCs w:val="28"/>
        </w:rPr>
        <w:t>卫生服务</w:t>
      </w:r>
      <w:r>
        <w:rPr>
          <w:rFonts w:hint="eastAsia" w:ascii="Times New Roman" w:hAnsi="Times New Roman" w:eastAsia="仿宋_GB2312" w:cs="Times New Roman"/>
          <w:bCs/>
          <w:color w:val="auto"/>
          <w:sz w:val="32"/>
          <w:szCs w:val="28"/>
        </w:rPr>
        <w:t>“以治病为中心”向“以人民健康为中心”转变，充分利用“智慧家医”平台，不断拓展服务内容，通过网格化责任制管理，做实做细居民“健康守门人”。申报开展“互联网诊疗”服务，</w:t>
      </w:r>
      <w:r>
        <w:rPr>
          <w:rFonts w:ascii="Times New Roman" w:hAnsi="Times New Roman" w:eastAsia="仿宋_GB2312" w:cs="Times New Roman"/>
          <w:bCs/>
          <w:color w:val="auto"/>
          <w:sz w:val="32"/>
          <w:szCs w:val="28"/>
        </w:rPr>
        <w:t>探索</w:t>
      </w:r>
      <w:r>
        <w:rPr>
          <w:rFonts w:hint="eastAsia" w:ascii="Times New Roman" w:hAnsi="Times New Roman" w:eastAsia="仿宋_GB2312" w:cs="Times New Roman"/>
          <w:bCs/>
          <w:color w:val="auto"/>
          <w:sz w:val="32"/>
          <w:szCs w:val="28"/>
        </w:rPr>
        <w:t>将互联网、物联网、人工智能等手段应用于护理、康复等健康服务，为居民提供全方位、全生命周期、高质量、高效率的签约服务</w:t>
      </w:r>
      <w:r>
        <w:rPr>
          <w:rFonts w:ascii="Times New Roman" w:hAnsi="Times New Roman" w:eastAsia="仿宋_GB2312" w:cs="Times New Roman"/>
          <w:bCs/>
          <w:color w:val="auto"/>
          <w:sz w:val="32"/>
          <w:szCs w:val="28"/>
        </w:rPr>
        <w:t>。</w:t>
      </w:r>
      <w:r>
        <w:rPr>
          <w:rFonts w:hint="eastAsia" w:ascii="Times New Roman" w:hAnsi="Times New Roman" w:eastAsia="仿宋_GB2312" w:cs="Times New Roman"/>
          <w:bCs/>
          <w:color w:val="auto"/>
          <w:sz w:val="32"/>
          <w:szCs w:val="28"/>
        </w:rPr>
        <w:t>探索家庭医生签约服务激励与评价方法，推行慢性病协同管理，提高签约覆盖率和服务水平，全人群签约覆盖率达到</w:t>
      </w:r>
      <w:r>
        <w:rPr>
          <w:rFonts w:ascii="Times New Roman" w:hAnsi="Times New Roman" w:eastAsia="仿宋_GB2312" w:cs="Times New Roman"/>
          <w:bCs/>
          <w:color w:val="auto"/>
          <w:sz w:val="32"/>
          <w:szCs w:val="28"/>
        </w:rPr>
        <w:t>45%</w:t>
      </w:r>
      <w:r>
        <w:rPr>
          <w:rFonts w:hint="eastAsia" w:ascii="Times New Roman" w:hAnsi="Times New Roman" w:eastAsia="仿宋_GB2312" w:cs="Times New Roman"/>
          <w:bCs/>
          <w:color w:val="auto"/>
          <w:sz w:val="32"/>
          <w:szCs w:val="28"/>
        </w:rPr>
        <w:t>以上。</w:t>
      </w:r>
    </w:p>
    <w:p>
      <w:pPr>
        <w:adjustRightInd w:val="0"/>
        <w:snapToGrid w:val="0"/>
        <w:spacing w:before="46" w:beforeLines="15" w:after="46" w:afterLines="15" w:line="360" w:lineRule="auto"/>
        <w:ind w:firstLine="643" w:firstLineChars="200"/>
        <w:jc w:val="left"/>
        <w:rPr>
          <w:rFonts w:ascii="Times New Roman" w:hAnsi="Times New Roman" w:eastAsia="仿宋_GB2312" w:cs="Times New Roman"/>
          <w:bCs/>
          <w:color w:val="auto"/>
          <w:sz w:val="32"/>
          <w:szCs w:val="28"/>
        </w:rPr>
      </w:pPr>
      <w:r>
        <w:rPr>
          <w:rFonts w:hint="eastAsia" w:ascii="Times New Roman" w:hAnsi="Times New Roman" w:eastAsia="仿宋_GB2312" w:cs="Times New Roman"/>
          <w:b/>
          <w:bCs/>
          <w:color w:val="auto"/>
          <w:sz w:val="32"/>
          <w:szCs w:val="28"/>
        </w:rPr>
        <w:t>加强社区卫生服务特色项目建设。</w:t>
      </w:r>
      <w:r>
        <w:rPr>
          <w:rFonts w:hint="eastAsia" w:ascii="Times New Roman" w:hAnsi="Times New Roman" w:eastAsia="仿宋_GB2312" w:cs="Times New Roman"/>
          <w:bCs/>
          <w:color w:val="auto"/>
          <w:sz w:val="32"/>
          <w:szCs w:val="28"/>
        </w:rPr>
        <w:t>推动</w:t>
      </w:r>
      <w:r>
        <w:rPr>
          <w:rFonts w:hint="eastAsia" w:ascii="Times New Roman" w:hAnsi="Times New Roman" w:eastAsia="仿宋_GB2312" w:cs="Times New Roman"/>
          <w:b w:val="0"/>
          <w:bCs/>
          <w:color w:val="auto"/>
          <w:sz w:val="32"/>
          <w:szCs w:val="28"/>
        </w:rPr>
        <w:t>社区卫生</w:t>
      </w:r>
      <w:r>
        <w:rPr>
          <w:rFonts w:ascii="Times New Roman" w:hAnsi="Times New Roman" w:eastAsia="仿宋_GB2312" w:cs="Times New Roman"/>
          <w:bCs/>
          <w:color w:val="auto"/>
          <w:sz w:val="32"/>
          <w:szCs w:val="28"/>
        </w:rPr>
        <w:t>服务</w:t>
      </w:r>
      <w:r>
        <w:rPr>
          <w:rFonts w:hint="eastAsia" w:ascii="Times New Roman" w:hAnsi="Times New Roman" w:eastAsia="仿宋_GB2312" w:cs="Times New Roman"/>
          <w:b w:val="0"/>
          <w:bCs/>
          <w:color w:val="auto"/>
          <w:sz w:val="32"/>
          <w:szCs w:val="28"/>
        </w:rPr>
        <w:t>高质量发展，打造一批有特色品牌</w:t>
      </w:r>
      <w:r>
        <w:rPr>
          <w:rFonts w:hint="eastAsia" w:ascii="Times New Roman" w:hAnsi="Times New Roman" w:eastAsia="仿宋_GB2312" w:cs="Times New Roman"/>
          <w:bCs/>
          <w:color w:val="auto"/>
          <w:sz w:val="32"/>
          <w:szCs w:val="28"/>
        </w:rPr>
        <w:t>、</w:t>
      </w:r>
      <w:r>
        <w:rPr>
          <w:rFonts w:hint="eastAsia" w:ascii="Times New Roman" w:hAnsi="Times New Roman" w:eastAsia="仿宋_GB2312" w:cs="Times New Roman"/>
          <w:b w:val="0"/>
          <w:bCs/>
          <w:color w:val="auto"/>
          <w:sz w:val="32"/>
          <w:szCs w:val="28"/>
        </w:rPr>
        <w:t>市级领先</w:t>
      </w:r>
      <w:r>
        <w:rPr>
          <w:rFonts w:hint="eastAsia" w:ascii="Times New Roman" w:hAnsi="Times New Roman" w:eastAsia="仿宋_GB2312" w:cs="Times New Roman"/>
          <w:bCs/>
          <w:color w:val="auto"/>
          <w:sz w:val="32"/>
          <w:szCs w:val="28"/>
        </w:rPr>
        <w:t>的</w:t>
      </w:r>
      <w:r>
        <w:rPr>
          <w:rFonts w:hint="eastAsia" w:ascii="Times New Roman" w:hAnsi="Times New Roman" w:eastAsia="仿宋_GB2312" w:cs="Times New Roman"/>
          <w:b w:val="0"/>
          <w:bCs/>
          <w:color w:val="auto"/>
          <w:sz w:val="32"/>
          <w:szCs w:val="28"/>
        </w:rPr>
        <w:t>优质社区卫生服务中心，探索创新中医药服务、特色护理门诊服务、智慧慢病监测</w:t>
      </w:r>
      <w:r>
        <w:rPr>
          <w:rFonts w:hint="eastAsia" w:ascii="Times New Roman" w:hAnsi="Times New Roman" w:eastAsia="仿宋_GB2312" w:cs="Times New Roman"/>
          <w:bCs/>
          <w:color w:val="auto"/>
          <w:sz w:val="32"/>
          <w:szCs w:val="28"/>
        </w:rPr>
        <w:t>、居家医养结合</w:t>
      </w:r>
      <w:r>
        <w:rPr>
          <w:rFonts w:hint="eastAsia" w:ascii="Times New Roman" w:hAnsi="Times New Roman" w:eastAsia="仿宋_GB2312" w:cs="Times New Roman"/>
          <w:b w:val="0"/>
          <w:bCs/>
          <w:color w:val="auto"/>
          <w:sz w:val="32"/>
          <w:szCs w:val="28"/>
        </w:rPr>
        <w:t>等新模式。</w:t>
      </w:r>
      <w:r>
        <w:rPr>
          <w:rFonts w:hint="eastAsia" w:ascii="Times New Roman" w:hAnsi="Times New Roman" w:eastAsia="仿宋_GB2312" w:cs="Times New Roman"/>
          <w:bCs/>
          <w:color w:val="auto"/>
          <w:sz w:val="32"/>
          <w:szCs w:val="28"/>
        </w:rPr>
        <w:t>依托专科医联体，不断提高社区康复、心理卫生、精神卫生</w:t>
      </w:r>
      <w:r>
        <w:rPr>
          <w:rFonts w:ascii="Times New Roman" w:hAnsi="Times New Roman" w:eastAsia="仿宋_GB2312" w:cs="Times New Roman"/>
          <w:bCs/>
          <w:color w:val="auto"/>
          <w:sz w:val="32"/>
          <w:szCs w:val="28"/>
        </w:rPr>
        <w:t>等</w:t>
      </w:r>
      <w:r>
        <w:rPr>
          <w:rFonts w:hint="eastAsia" w:ascii="Times New Roman" w:hAnsi="Times New Roman" w:eastAsia="仿宋_GB2312" w:cs="Times New Roman"/>
          <w:bCs/>
          <w:color w:val="auto"/>
          <w:sz w:val="32"/>
          <w:szCs w:val="28"/>
        </w:rPr>
        <w:t>服务。</w:t>
      </w:r>
      <w:r>
        <w:rPr>
          <w:rFonts w:hint="eastAsia" w:ascii="仿宋_GB2312" w:hAnsi="仿宋_GB2312" w:eastAsia="仿宋_GB2312" w:cs="仿宋_GB2312"/>
          <w:color w:val="auto"/>
          <w:sz w:val="32"/>
          <w:szCs w:val="32"/>
        </w:rPr>
        <w:t>整合区域资源，以社区卫生服务机构为主体，</w:t>
      </w:r>
      <w:r>
        <w:rPr>
          <w:rFonts w:hint="eastAsia" w:ascii="Times New Roman" w:hAnsi="Times New Roman" w:eastAsia="仿宋_GB2312" w:cs="Times New Roman"/>
          <w:bCs/>
          <w:color w:val="auto"/>
          <w:sz w:val="32"/>
          <w:szCs w:val="28"/>
        </w:rPr>
        <w:t>增加居家医疗卫生服务供给，重点对居家行动不便，患有慢性病，处于出院恢复期、疾病康复期或终末期等高龄或失能老年人，提供诊疗服务、医疗护理、康复治疗、药学服务、安宁疗护等</w:t>
      </w:r>
      <w:r>
        <w:rPr>
          <w:rFonts w:hint="eastAsia" w:ascii="仿宋_GB2312" w:hAnsi="仿宋_GB2312" w:eastAsia="仿宋_GB2312" w:cs="仿宋_GB2312"/>
          <w:color w:val="auto"/>
          <w:sz w:val="32"/>
          <w:szCs w:val="32"/>
        </w:rPr>
        <w:t>居家医养服务。</w:t>
      </w:r>
    </w:p>
    <w:p>
      <w:pPr>
        <w:adjustRightInd w:val="0"/>
        <w:snapToGrid w:val="0"/>
        <w:spacing w:before="46" w:beforeLines="15" w:after="46" w:afterLines="15" w:line="360" w:lineRule="auto"/>
        <w:ind w:firstLine="643" w:firstLineChars="200"/>
        <w:jc w:val="left"/>
        <w:rPr>
          <w:rFonts w:ascii="Times New Roman" w:hAnsi="Times New Roman" w:eastAsia="仿宋_GB2312" w:cs="Times New Roman"/>
          <w:bCs/>
          <w:color w:val="auto"/>
          <w:sz w:val="32"/>
          <w:szCs w:val="28"/>
        </w:rPr>
      </w:pPr>
      <w:r>
        <w:rPr>
          <w:rFonts w:hint="eastAsia" w:ascii="Times New Roman" w:hAnsi="Times New Roman" w:eastAsia="仿宋_GB2312" w:cs="Times New Roman"/>
          <w:b/>
          <w:bCs/>
          <w:color w:val="auto"/>
          <w:sz w:val="32"/>
          <w:szCs w:val="28"/>
        </w:rPr>
        <w:t>探索建立以健康为中心整合型服务模式。</w:t>
      </w:r>
      <w:r>
        <w:rPr>
          <w:rFonts w:hint="eastAsia" w:ascii="Times New Roman" w:hAnsi="Times New Roman" w:eastAsia="仿宋_GB2312" w:cs="Times New Roman"/>
          <w:bCs/>
          <w:color w:val="auto"/>
          <w:sz w:val="32"/>
          <w:szCs w:val="28"/>
        </w:rPr>
        <w:t>完善社区卫生服务机构与社区养老机构、教育机构、体育服务等机构协作机制，推进网格化管理。构建以健康为主线、以医疗机构为核心、上下联动、部门协同的卫生健康服务格局。推动社区卫生服务机构与二三级医院建立转诊绿色通道，推进慢性病首诊在社区。积极开展健康教育，广泛开展健康宣传，不断提高居民健康自我管理意识，改善自身健康行为。</w:t>
      </w:r>
    </w:p>
    <w:p>
      <w:pPr>
        <w:adjustRightInd w:val="0"/>
        <w:snapToGrid w:val="0"/>
        <w:spacing w:line="360" w:lineRule="auto"/>
        <w:ind w:firstLine="643"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提升医养结合服务水平</w:t>
      </w:r>
      <w:r>
        <w:rPr>
          <w:rFonts w:hint="eastAsia" w:ascii="仿宋_GB2312" w:hAnsi="仿宋_GB2312" w:eastAsia="仿宋_GB2312" w:cs="仿宋_GB2312"/>
          <w:color w:val="auto"/>
          <w:sz w:val="32"/>
          <w:szCs w:val="32"/>
        </w:rPr>
        <w:t>。</w:t>
      </w:r>
      <w:r>
        <w:rPr>
          <w:rFonts w:hint="eastAsia" w:ascii="Times New Roman" w:hAnsi="Times New Roman" w:eastAsia="仿宋_GB2312" w:cs="Times New Roman"/>
          <w:bCs/>
          <w:color w:val="auto"/>
          <w:sz w:val="32"/>
          <w:szCs w:val="28"/>
        </w:rPr>
        <w:t>积极应对人口老龄化，</w:t>
      </w:r>
      <w:r>
        <w:rPr>
          <w:rFonts w:hint="eastAsia" w:ascii="仿宋_GB2312" w:hAnsi="仿宋_GB2312" w:eastAsia="仿宋_GB2312" w:cs="仿宋_GB2312"/>
          <w:color w:val="auto"/>
          <w:sz w:val="32"/>
          <w:szCs w:val="32"/>
        </w:rPr>
        <w:t>鼓励和支持医疗卫生机构与养老服务机构以多种形式开展合作，为入住养老机构的老年人提供日常巡诊、药事服务、健康管理、安全注射、卫生防病和急救转院等服务。鼓励、推动养老机构内设医务室，实行备案制，简化审批登记程序，对符合条件的机构按规定纳入基本医疗保险定点范围。全面开展医养结合机构医疗卫生服务质量检查，监督覆盖率达到100%。养老机构与协议合作医疗机构普遍开通双向转诊绿色通道。</w:t>
      </w:r>
    </w:p>
    <w:p>
      <w:pPr>
        <w:pStyle w:val="3"/>
        <w:spacing w:line="360" w:lineRule="auto"/>
        <w:ind w:firstLine="723" w:firstLineChars="200"/>
        <w:jc w:val="both"/>
        <w:rPr>
          <w:rFonts w:ascii="楷体" w:hAnsi="楷体" w:eastAsia="楷体"/>
          <w:color w:val="auto"/>
          <w:sz w:val="36"/>
          <w:szCs w:val="28"/>
        </w:rPr>
      </w:pPr>
      <w:bookmarkStart w:id="59" w:name="_Toc93511792"/>
      <w:r>
        <w:rPr>
          <w:rFonts w:hint="eastAsia" w:ascii="楷体" w:hAnsi="楷体" w:eastAsia="楷体"/>
          <w:color w:val="auto"/>
          <w:sz w:val="36"/>
          <w:szCs w:val="28"/>
        </w:rPr>
        <w:t>四、系统推进</w:t>
      </w:r>
      <w:r>
        <w:rPr>
          <w:rFonts w:ascii="楷体" w:hAnsi="楷体" w:eastAsia="楷体"/>
          <w:color w:val="auto"/>
          <w:sz w:val="36"/>
          <w:szCs w:val="28"/>
        </w:rPr>
        <w:t>中医药工作</w:t>
      </w:r>
      <w:bookmarkEnd w:id="59"/>
    </w:p>
    <w:p>
      <w:pPr>
        <w:pStyle w:val="5"/>
        <w:tabs>
          <w:tab w:val="clear" w:pos="720"/>
        </w:tabs>
        <w:spacing w:before="0" w:after="0" w:line="360" w:lineRule="auto"/>
        <w:ind w:left="0" w:firstLine="643" w:firstLineChars="200"/>
        <w:jc w:val="both"/>
        <w:rPr>
          <w:rFonts w:ascii="Times New Roman" w:hAnsi="Times New Roman"/>
          <w:color w:val="auto"/>
          <w:sz w:val="32"/>
          <w:szCs w:val="28"/>
        </w:rPr>
      </w:pPr>
      <w:bookmarkStart w:id="60" w:name="_Toc93511793"/>
      <w:r>
        <w:rPr>
          <w:rFonts w:hint="eastAsia" w:ascii="Times New Roman" w:hAnsi="Times New Roman"/>
          <w:color w:val="auto"/>
          <w:sz w:val="32"/>
          <w:szCs w:val="28"/>
        </w:rPr>
        <w:t>（一）文化宣传，营造</w:t>
      </w:r>
      <w:r>
        <w:rPr>
          <w:rFonts w:hint="eastAsia" w:ascii="Times New Roman" w:hAnsi="Times New Roman"/>
          <w:color w:val="auto"/>
          <w:szCs w:val="28"/>
        </w:rPr>
        <w:t>良好</w:t>
      </w:r>
      <w:r>
        <w:rPr>
          <w:rFonts w:hint="eastAsia" w:ascii="Times New Roman" w:hAnsi="Times New Roman"/>
          <w:color w:val="auto"/>
          <w:sz w:val="32"/>
          <w:szCs w:val="28"/>
        </w:rPr>
        <w:t>环境</w:t>
      </w:r>
      <w:bookmarkEnd w:id="60"/>
    </w:p>
    <w:p>
      <w:pPr>
        <w:adjustRightInd w:val="0"/>
        <w:snapToGrid w:val="0"/>
        <w:spacing w:before="46" w:beforeLines="15" w:after="46" w:afterLines="15" w:line="360" w:lineRule="auto"/>
        <w:ind w:firstLine="640" w:firstLineChars="200"/>
        <w:jc w:val="left"/>
        <w:rPr>
          <w:rFonts w:ascii="Times New Roman" w:hAnsi="Times New Roman" w:eastAsia="仿宋_GB2312" w:cs="Times New Roman"/>
          <w:color w:val="auto"/>
          <w:sz w:val="32"/>
          <w:szCs w:val="28"/>
        </w:rPr>
      </w:pPr>
      <w:r>
        <w:rPr>
          <w:rFonts w:hint="eastAsia" w:ascii="Times New Roman" w:hAnsi="Times New Roman" w:eastAsia="仿宋_GB2312" w:cs="Times New Roman"/>
          <w:color w:val="auto"/>
          <w:sz w:val="32"/>
          <w:szCs w:val="28"/>
        </w:rPr>
        <w:t>举办中医药科普讲座、主题展览，建设中医药健康文化体验馆，营造良好的中医药发展氛围。打造北京市首家社区卫生服务中心中医药博物馆，引入现代化设备，探索传统中医药文化与现代科技相结合的推广模式。中医药文化建设纳入中医医疗机构发展目标和评价指标体系，增强中医药文化底蕴。加大对区域中医药典型工作者塑造宣传。</w:t>
      </w:r>
    </w:p>
    <w:p>
      <w:pPr>
        <w:pStyle w:val="5"/>
        <w:tabs>
          <w:tab w:val="clear" w:pos="720"/>
        </w:tabs>
        <w:spacing w:before="0" w:after="0" w:line="360" w:lineRule="auto"/>
        <w:ind w:left="0" w:firstLine="643" w:firstLineChars="200"/>
        <w:jc w:val="both"/>
        <w:rPr>
          <w:rFonts w:ascii="Times New Roman" w:hAnsi="Times New Roman"/>
          <w:color w:val="auto"/>
          <w:sz w:val="32"/>
          <w:szCs w:val="28"/>
        </w:rPr>
      </w:pPr>
      <w:bookmarkStart w:id="61" w:name="_Toc93511794"/>
      <w:r>
        <w:rPr>
          <w:rFonts w:hint="eastAsia" w:ascii="Times New Roman" w:hAnsi="Times New Roman"/>
          <w:color w:val="auto"/>
          <w:sz w:val="32"/>
          <w:szCs w:val="28"/>
        </w:rPr>
        <w:t>（二）发挥优势，</w:t>
      </w:r>
      <w:r>
        <w:rPr>
          <w:rFonts w:hint="eastAsia" w:ascii="Times New Roman" w:hAnsi="Times New Roman"/>
          <w:color w:val="auto"/>
          <w:szCs w:val="28"/>
        </w:rPr>
        <w:t>扩大推广应用</w:t>
      </w:r>
      <w:bookmarkEnd w:id="61"/>
    </w:p>
    <w:p>
      <w:pPr>
        <w:adjustRightInd w:val="0"/>
        <w:snapToGrid w:val="0"/>
        <w:spacing w:before="46" w:beforeLines="15" w:after="46" w:afterLines="15" w:line="360" w:lineRule="auto"/>
        <w:ind w:firstLine="640" w:firstLineChars="200"/>
        <w:jc w:val="left"/>
        <w:rPr>
          <w:rFonts w:ascii="Times New Roman" w:hAnsi="Times New Roman" w:eastAsia="仿宋_GB2312" w:cs="Times New Roman"/>
          <w:color w:val="auto"/>
          <w:sz w:val="32"/>
          <w:szCs w:val="28"/>
        </w:rPr>
      </w:pPr>
      <w:r>
        <w:rPr>
          <w:rFonts w:hint="eastAsia" w:ascii="Times New Roman" w:hAnsi="Times New Roman" w:eastAsia="仿宋_GB2312" w:cs="Times New Roman"/>
          <w:color w:val="auto"/>
          <w:sz w:val="32"/>
          <w:szCs w:val="28"/>
        </w:rPr>
        <w:t>建设医、康、养相结合的特色服务模式，倡导首诊在社区，首诊在中医。推动适宜的中医药治未病项目纳入家庭医生签约服务包，在重点人群和慢性病患者中推广</w:t>
      </w:r>
      <w:r>
        <w:rPr>
          <w:rFonts w:ascii="Times New Roman" w:hAnsi="Times New Roman" w:eastAsia="仿宋_GB2312" w:cs="Times New Roman"/>
          <w:color w:val="auto"/>
          <w:sz w:val="32"/>
          <w:szCs w:val="28"/>
        </w:rPr>
        <w:t>20</w:t>
      </w:r>
      <w:r>
        <w:rPr>
          <w:rFonts w:hint="eastAsia" w:ascii="Times New Roman" w:hAnsi="Times New Roman" w:eastAsia="仿宋_GB2312" w:cs="Times New Roman"/>
          <w:color w:val="auto"/>
          <w:sz w:val="32"/>
          <w:szCs w:val="28"/>
        </w:rPr>
        <w:t>个中医药治未病干预方案。拓展中医特色康复服务内容，积极开发和推广中医康复适宜技术。提升区域中医专科（专病）疾病救治能力和技术水平，强化中医药在公共卫生、疾病防控、妇幼保健中的作用。</w:t>
      </w:r>
    </w:p>
    <w:p>
      <w:pPr>
        <w:pStyle w:val="5"/>
        <w:tabs>
          <w:tab w:val="clear" w:pos="720"/>
        </w:tabs>
        <w:spacing w:before="0" w:after="0" w:line="360" w:lineRule="auto"/>
        <w:ind w:left="0" w:firstLine="643" w:firstLineChars="200"/>
        <w:jc w:val="both"/>
        <w:rPr>
          <w:rFonts w:ascii="Times New Roman" w:hAnsi="Times New Roman"/>
          <w:color w:val="auto"/>
          <w:sz w:val="32"/>
          <w:szCs w:val="28"/>
        </w:rPr>
      </w:pPr>
      <w:bookmarkStart w:id="62" w:name="_Toc93511795"/>
      <w:r>
        <w:rPr>
          <w:rFonts w:hint="eastAsia" w:ascii="Times New Roman" w:hAnsi="Times New Roman"/>
          <w:color w:val="auto"/>
          <w:sz w:val="32"/>
          <w:szCs w:val="28"/>
        </w:rPr>
        <w:t>（三）优化布局，完善服务体系</w:t>
      </w:r>
      <w:bookmarkEnd w:id="62"/>
    </w:p>
    <w:p>
      <w:pPr>
        <w:adjustRightInd w:val="0"/>
        <w:snapToGrid w:val="0"/>
        <w:spacing w:before="46" w:beforeLines="15" w:after="46" w:afterLines="15" w:line="360" w:lineRule="auto"/>
        <w:ind w:firstLine="640" w:firstLineChars="200"/>
        <w:jc w:val="left"/>
        <w:rPr>
          <w:rFonts w:ascii="Times New Roman" w:hAnsi="Times New Roman" w:eastAsia="仿宋_GB2312" w:cs="Times New Roman"/>
          <w:color w:val="auto"/>
          <w:sz w:val="32"/>
          <w:szCs w:val="28"/>
        </w:rPr>
      </w:pPr>
      <w:r>
        <w:rPr>
          <w:rFonts w:hint="eastAsia" w:ascii="Times New Roman" w:hAnsi="Times New Roman" w:eastAsia="仿宋_GB2312" w:cs="Times New Roman"/>
          <w:color w:val="auto"/>
          <w:sz w:val="32"/>
          <w:szCs w:val="28"/>
        </w:rPr>
        <w:t>以丰台中西医结合医院、丰台区中医医院、东方医院分别为河西、城南、东部地区的中医药发展牵头医院，协同推进区域中医药事业发展。强化各非公立中医类医疗机构及综合医院、社区卫生服务机构中医科建设，组建中医专科（专病）联盟，形成横向到边、纵向到底的中医药服务格局，提升中医药服务能力和技术水平。</w:t>
      </w:r>
    </w:p>
    <w:p>
      <w:pPr>
        <w:pStyle w:val="5"/>
        <w:tabs>
          <w:tab w:val="clear" w:pos="720"/>
        </w:tabs>
        <w:spacing w:before="0" w:after="0" w:line="360" w:lineRule="auto"/>
        <w:ind w:left="0" w:firstLine="643" w:firstLineChars="200"/>
        <w:jc w:val="both"/>
        <w:rPr>
          <w:rFonts w:ascii="Times New Roman" w:hAnsi="Times New Roman"/>
          <w:color w:val="auto"/>
          <w:sz w:val="32"/>
          <w:szCs w:val="28"/>
        </w:rPr>
      </w:pPr>
      <w:bookmarkStart w:id="63" w:name="_Toc93511796"/>
      <w:r>
        <w:rPr>
          <w:rFonts w:hint="eastAsia" w:ascii="Times New Roman" w:hAnsi="Times New Roman"/>
          <w:color w:val="auto"/>
          <w:sz w:val="32"/>
          <w:szCs w:val="28"/>
        </w:rPr>
        <w:t>（四）试点创新，打造发展高地</w:t>
      </w:r>
      <w:bookmarkEnd w:id="63"/>
    </w:p>
    <w:p>
      <w:pPr>
        <w:adjustRightInd w:val="0"/>
        <w:snapToGrid w:val="0"/>
        <w:spacing w:before="46" w:beforeLines="15" w:after="46" w:afterLines="15" w:line="360" w:lineRule="auto"/>
        <w:ind w:firstLine="640" w:firstLineChars="200"/>
        <w:jc w:val="left"/>
        <w:rPr>
          <w:rFonts w:ascii="Times New Roman" w:hAnsi="Times New Roman" w:eastAsia="仿宋_GB2312" w:cs="Times New Roman"/>
          <w:color w:val="auto"/>
          <w:sz w:val="32"/>
          <w:szCs w:val="28"/>
        </w:rPr>
      </w:pPr>
      <w:r>
        <w:rPr>
          <w:rFonts w:hint="eastAsia" w:ascii="Times New Roman" w:hAnsi="Times New Roman" w:eastAsia="仿宋_GB2312" w:cs="Times New Roman"/>
          <w:color w:val="auto"/>
          <w:sz w:val="32"/>
          <w:szCs w:val="28"/>
        </w:rPr>
        <w:t>依托国家中医药综合改革试验区建设，探索“中医药</w:t>
      </w:r>
      <w:r>
        <w:rPr>
          <w:rFonts w:ascii="Times New Roman" w:hAnsi="Times New Roman" w:eastAsia="仿宋_GB2312" w:cs="Times New Roman"/>
          <w:color w:val="auto"/>
          <w:sz w:val="32"/>
          <w:szCs w:val="28"/>
        </w:rPr>
        <w:t>+</w:t>
      </w:r>
      <w:r>
        <w:rPr>
          <w:rFonts w:hint="eastAsia" w:ascii="Times New Roman" w:hAnsi="Times New Roman" w:eastAsia="仿宋_GB2312" w:cs="Times New Roman"/>
          <w:color w:val="auto"/>
          <w:sz w:val="32"/>
          <w:szCs w:val="28"/>
        </w:rPr>
        <w:t>医养结合”模式，策划中医药健康旅游精品路线。打造河西、城南两个中医药健康养生带。推动中医药与养老融合发展。推进中医药移动医疗、智慧医疗发展，利用移动互联网等信息技术提供在线预约诊疗、候诊提醒、诊疗报告查询、药品配送等便捷服务。</w:t>
      </w:r>
    </w:p>
    <w:p>
      <w:pPr>
        <w:pStyle w:val="5"/>
        <w:tabs>
          <w:tab w:val="clear" w:pos="720"/>
        </w:tabs>
        <w:spacing w:before="0" w:after="0" w:line="360" w:lineRule="auto"/>
        <w:ind w:left="0" w:firstLine="643" w:firstLineChars="200"/>
        <w:jc w:val="both"/>
        <w:rPr>
          <w:rFonts w:ascii="Times New Roman" w:hAnsi="Times New Roman"/>
          <w:color w:val="auto"/>
          <w:sz w:val="32"/>
          <w:szCs w:val="28"/>
        </w:rPr>
      </w:pPr>
      <w:bookmarkStart w:id="64" w:name="_Toc93511797"/>
      <w:r>
        <w:rPr>
          <w:rFonts w:hint="eastAsia" w:ascii="Times New Roman" w:hAnsi="Times New Roman"/>
          <w:color w:val="auto"/>
          <w:sz w:val="32"/>
          <w:szCs w:val="28"/>
        </w:rPr>
        <w:t>（五）薪火相传，加强人才建设</w:t>
      </w:r>
      <w:bookmarkEnd w:id="64"/>
    </w:p>
    <w:p>
      <w:pPr>
        <w:adjustRightInd w:val="0"/>
        <w:snapToGrid w:val="0"/>
        <w:spacing w:before="46" w:beforeLines="15" w:after="46" w:afterLines="15" w:line="360" w:lineRule="auto"/>
        <w:ind w:firstLine="640" w:firstLineChars="200"/>
        <w:jc w:val="left"/>
        <w:rPr>
          <w:rFonts w:ascii="Times New Roman" w:hAnsi="Times New Roman" w:eastAsia="仿宋_GB2312" w:cs="Times New Roman"/>
          <w:color w:val="auto"/>
          <w:sz w:val="32"/>
          <w:szCs w:val="28"/>
        </w:rPr>
      </w:pPr>
      <w:r>
        <w:rPr>
          <w:rFonts w:hint="eastAsia" w:ascii="Times New Roman" w:hAnsi="Times New Roman" w:eastAsia="仿宋_GB2312" w:cs="Times New Roman"/>
          <w:color w:val="auto"/>
          <w:sz w:val="32"/>
          <w:szCs w:val="28"/>
        </w:rPr>
        <w:t>重视人才培养，开</w:t>
      </w:r>
      <w:r>
        <w:rPr>
          <w:rFonts w:ascii="仿宋" w:hAnsi="仿宋" w:eastAsia="仿宋_GB2312" w:cs="Times New Roman"/>
          <w:color w:val="auto"/>
          <w:sz w:val="32"/>
          <w:szCs w:val="28"/>
        </w:rPr>
        <w:t>展“西学中”工</w:t>
      </w:r>
      <w:r>
        <w:rPr>
          <w:rFonts w:hint="eastAsia" w:ascii="Times New Roman" w:hAnsi="Times New Roman" w:eastAsia="仿宋_GB2312" w:cs="Times New Roman"/>
          <w:color w:val="auto"/>
          <w:sz w:val="32"/>
          <w:szCs w:val="28"/>
        </w:rPr>
        <w:t>作，五年内完成</w:t>
      </w:r>
      <w:r>
        <w:rPr>
          <w:rFonts w:ascii="Times New Roman" w:hAnsi="Times New Roman" w:eastAsia="仿宋_GB2312" w:cs="Times New Roman"/>
          <w:color w:val="auto"/>
          <w:sz w:val="32"/>
          <w:szCs w:val="28"/>
        </w:rPr>
        <w:t>200</w:t>
      </w:r>
      <w:r>
        <w:rPr>
          <w:rFonts w:hint="eastAsia" w:ascii="Times New Roman" w:hAnsi="Times New Roman" w:eastAsia="仿宋_GB2312" w:cs="Times New Roman"/>
          <w:color w:val="auto"/>
          <w:sz w:val="32"/>
          <w:szCs w:val="28"/>
        </w:rPr>
        <w:t>名</w:t>
      </w:r>
      <w:r>
        <w:rPr>
          <w:rFonts w:ascii="仿宋" w:hAnsi="仿宋" w:eastAsia="仿宋_GB2312" w:cs="Times New Roman"/>
          <w:color w:val="auto"/>
          <w:sz w:val="32"/>
          <w:szCs w:val="28"/>
        </w:rPr>
        <w:t>“西学中”</w:t>
      </w:r>
      <w:r>
        <w:rPr>
          <w:rFonts w:hint="eastAsia" w:ascii="Times New Roman" w:hAnsi="Times New Roman" w:eastAsia="仿宋_GB2312" w:cs="Times New Roman"/>
          <w:color w:val="auto"/>
          <w:sz w:val="32"/>
          <w:szCs w:val="28"/>
        </w:rPr>
        <w:t>医师培训，全面提升全科医师及西医医师的中医知识及技能。</w:t>
      </w:r>
      <w:r>
        <w:rPr>
          <w:rFonts w:hint="eastAsia" w:ascii="Times New Roman" w:hAnsi="Times New Roman" w:eastAsia="仿宋_GB2312"/>
          <w:color w:val="auto"/>
          <w:sz w:val="32"/>
          <w:szCs w:val="28"/>
        </w:rPr>
        <w:t>着力培养一批中医药学科带头人、创新团队带头人。</w:t>
      </w:r>
      <w:r>
        <w:rPr>
          <w:rFonts w:hint="eastAsia" w:ascii="Times New Roman" w:hAnsi="Times New Roman" w:eastAsia="仿宋_GB2312" w:cs="Times New Roman"/>
          <w:color w:val="auto"/>
          <w:sz w:val="32"/>
          <w:szCs w:val="28"/>
        </w:rPr>
        <w:t>落实多元化中医传承工作机制，开</w:t>
      </w:r>
      <w:r>
        <w:rPr>
          <w:rFonts w:ascii="仿宋" w:hAnsi="仿宋" w:eastAsia="仿宋_GB2312" w:cs="Times New Roman"/>
          <w:color w:val="auto"/>
          <w:sz w:val="32"/>
          <w:szCs w:val="28"/>
        </w:rPr>
        <w:t>展“三个一”工程。</w:t>
      </w:r>
      <w:r>
        <w:rPr>
          <w:rFonts w:hint="eastAsia" w:ascii="仿宋" w:hAnsi="仿宋" w:eastAsia="仿宋_GB2312" w:cs="Times New Roman"/>
          <w:color w:val="auto"/>
          <w:sz w:val="32"/>
          <w:szCs w:val="28"/>
        </w:rPr>
        <w:t>依托</w:t>
      </w:r>
      <w:r>
        <w:rPr>
          <w:rFonts w:ascii="仿宋" w:hAnsi="仿宋" w:eastAsia="仿宋_GB2312" w:cs="Times New Roman"/>
          <w:color w:val="auto"/>
          <w:sz w:val="32"/>
          <w:szCs w:val="28"/>
        </w:rPr>
        <w:t>市级“薪火传</w:t>
      </w:r>
      <w:r>
        <w:rPr>
          <w:rFonts w:hint="eastAsia" w:ascii="Times New Roman" w:hAnsi="Times New Roman" w:eastAsia="仿宋_GB2312" w:cs="Times New Roman"/>
          <w:color w:val="auto"/>
          <w:sz w:val="32"/>
          <w:szCs w:val="28"/>
        </w:rPr>
        <w:t>承</w:t>
      </w:r>
      <w:r>
        <w:rPr>
          <w:rFonts w:ascii="Times New Roman" w:hAnsi="Times New Roman" w:eastAsia="仿宋_GB2312" w:cs="Times New Roman"/>
          <w:color w:val="auto"/>
          <w:sz w:val="32"/>
          <w:szCs w:val="28"/>
        </w:rPr>
        <w:t>3+3</w:t>
      </w:r>
      <w:r>
        <w:rPr>
          <w:rFonts w:ascii="仿宋" w:hAnsi="仿宋" w:eastAsia="仿宋_GB2312" w:cs="Times New Roman"/>
          <w:color w:val="auto"/>
          <w:sz w:val="32"/>
          <w:szCs w:val="28"/>
        </w:rPr>
        <w:t>”项目</w:t>
      </w:r>
      <w:r>
        <w:rPr>
          <w:rFonts w:hint="eastAsia" w:ascii="仿宋" w:hAnsi="仿宋" w:eastAsia="仿宋_GB2312" w:cs="Times New Roman"/>
          <w:color w:val="auto"/>
          <w:sz w:val="32"/>
          <w:szCs w:val="28"/>
        </w:rPr>
        <w:t>，</w:t>
      </w:r>
      <w:r>
        <w:rPr>
          <w:rFonts w:hint="eastAsia" w:ascii="Times New Roman" w:hAnsi="Times New Roman" w:eastAsia="仿宋_GB2312" w:cs="Times New Roman"/>
          <w:color w:val="auto"/>
          <w:sz w:val="32"/>
          <w:szCs w:val="28"/>
        </w:rPr>
        <w:t>建设一批名老中医工作室，争取打造一批市级中医临床重点专科项目。</w:t>
      </w:r>
    </w:p>
    <w:p>
      <w:pPr>
        <w:pStyle w:val="3"/>
        <w:spacing w:line="360" w:lineRule="auto"/>
        <w:ind w:firstLine="723" w:firstLineChars="200"/>
        <w:jc w:val="both"/>
        <w:rPr>
          <w:rFonts w:ascii="楷体" w:hAnsi="楷体" w:eastAsia="楷体"/>
          <w:color w:val="auto"/>
          <w:sz w:val="36"/>
          <w:szCs w:val="28"/>
        </w:rPr>
      </w:pPr>
      <w:bookmarkStart w:id="65" w:name="_Toc93511798"/>
      <w:r>
        <w:rPr>
          <w:rFonts w:hint="eastAsia" w:ascii="楷体" w:hAnsi="楷体" w:eastAsia="楷体"/>
          <w:color w:val="auto"/>
          <w:sz w:val="36"/>
          <w:szCs w:val="28"/>
        </w:rPr>
        <w:t>五</w:t>
      </w:r>
      <w:r>
        <w:rPr>
          <w:rFonts w:ascii="楷体" w:hAnsi="楷体" w:eastAsia="楷体"/>
          <w:color w:val="auto"/>
          <w:sz w:val="36"/>
          <w:szCs w:val="28"/>
        </w:rPr>
        <w:t>、推进</w:t>
      </w:r>
      <w:r>
        <w:rPr>
          <w:rFonts w:hint="eastAsia" w:ascii="楷体" w:hAnsi="楷体" w:eastAsia="楷体"/>
          <w:color w:val="auto"/>
          <w:sz w:val="36"/>
          <w:szCs w:val="28"/>
        </w:rPr>
        <w:t>国家级卫生区示范区联创联建</w:t>
      </w:r>
      <w:bookmarkEnd w:id="65"/>
    </w:p>
    <w:p>
      <w:pPr>
        <w:pStyle w:val="5"/>
        <w:tabs>
          <w:tab w:val="clear" w:pos="720"/>
        </w:tabs>
        <w:spacing w:before="0" w:after="0" w:line="360" w:lineRule="auto"/>
        <w:ind w:left="0" w:firstLine="643" w:firstLineChars="200"/>
        <w:jc w:val="both"/>
        <w:rPr>
          <w:rFonts w:ascii="Times New Roman" w:hAnsi="Times New Roman"/>
          <w:color w:val="auto"/>
          <w:sz w:val="32"/>
          <w:szCs w:val="28"/>
        </w:rPr>
      </w:pPr>
      <w:bookmarkStart w:id="66" w:name="_Toc93511799"/>
      <w:r>
        <w:rPr>
          <w:rFonts w:hint="eastAsia" w:ascii="Times New Roman" w:hAnsi="Times New Roman"/>
          <w:color w:val="auto"/>
          <w:sz w:val="32"/>
          <w:szCs w:val="28"/>
        </w:rPr>
        <w:t>（一）全面完成国家卫生区创建</w:t>
      </w:r>
      <w:bookmarkEnd w:id="66"/>
    </w:p>
    <w:p>
      <w:pPr>
        <w:adjustRightInd w:val="0"/>
        <w:snapToGrid w:val="0"/>
        <w:spacing w:before="46" w:beforeLines="15" w:after="46" w:afterLines="15" w:line="360" w:lineRule="auto"/>
        <w:ind w:firstLine="640" w:firstLineChars="200"/>
        <w:jc w:val="left"/>
        <w:rPr>
          <w:rFonts w:ascii="Times New Roman" w:hAnsi="Times New Roman" w:eastAsia="仿宋_GB2312" w:cs="Times New Roman"/>
          <w:color w:val="auto"/>
          <w:sz w:val="32"/>
          <w:szCs w:val="28"/>
        </w:rPr>
      </w:pPr>
      <w:r>
        <w:rPr>
          <w:rFonts w:hint="eastAsia" w:ascii="Times New Roman" w:hAnsi="Times New Roman" w:eastAsia="仿宋_GB2312" w:cs="Times New Roman"/>
          <w:color w:val="auto"/>
          <w:spacing w:val="0"/>
          <w:w w:val="100"/>
          <w:sz w:val="32"/>
          <w:szCs w:val="28"/>
        </w:rPr>
        <w:t>坚持政府主导、跨部门协作、全社会动员，预防为主、群防</w:t>
      </w:r>
      <w:r>
        <w:rPr>
          <w:rFonts w:ascii="Times New Roman" w:hAnsi="Times New Roman" w:eastAsia="仿宋_GB2312" w:cs="Times New Roman"/>
          <w:color w:val="auto"/>
          <w:spacing w:val="0"/>
          <w:w w:val="100"/>
          <w:sz w:val="32"/>
          <w:szCs w:val="28"/>
        </w:rPr>
        <w:t xml:space="preserve"> </w:t>
      </w:r>
      <w:r>
        <w:rPr>
          <w:rFonts w:hint="eastAsia" w:ascii="Times New Roman" w:hAnsi="Times New Roman" w:eastAsia="仿宋_GB2312" w:cs="Times New Roman"/>
          <w:color w:val="auto"/>
          <w:spacing w:val="0"/>
          <w:w w:val="100"/>
          <w:sz w:val="32"/>
          <w:szCs w:val="28"/>
        </w:rPr>
        <w:t>群控，秉持“大健康”理念，创新方式方法，不断完善公共卫生</w:t>
      </w:r>
      <w:r>
        <w:rPr>
          <w:rFonts w:ascii="Times New Roman" w:hAnsi="Times New Roman" w:eastAsia="仿宋_GB2312" w:cs="Times New Roman"/>
          <w:color w:val="auto"/>
          <w:spacing w:val="0"/>
          <w:w w:val="100"/>
          <w:sz w:val="32"/>
          <w:szCs w:val="28"/>
        </w:rPr>
        <w:t xml:space="preserve"> </w:t>
      </w:r>
      <w:r>
        <w:rPr>
          <w:rFonts w:hint="eastAsia" w:ascii="Times New Roman" w:hAnsi="Times New Roman" w:eastAsia="仿宋_GB2312" w:cs="Times New Roman"/>
          <w:color w:val="auto"/>
          <w:spacing w:val="0"/>
          <w:w w:val="100"/>
          <w:sz w:val="32"/>
          <w:szCs w:val="28"/>
        </w:rPr>
        <w:t>设施，持续改善城乡环境面貌，提高病媒生物防制水平，持续推</w:t>
      </w:r>
      <w:r>
        <w:rPr>
          <w:rFonts w:ascii="Times New Roman" w:hAnsi="Times New Roman" w:eastAsia="仿宋_GB2312" w:cs="Times New Roman"/>
          <w:color w:val="auto"/>
          <w:spacing w:val="0"/>
          <w:w w:val="100"/>
          <w:sz w:val="32"/>
          <w:szCs w:val="28"/>
        </w:rPr>
        <w:t xml:space="preserve"> </w:t>
      </w:r>
      <w:r>
        <w:rPr>
          <w:rFonts w:hint="eastAsia" w:ascii="Times New Roman" w:hAnsi="Times New Roman" w:eastAsia="仿宋_GB2312" w:cs="Times New Roman"/>
          <w:color w:val="auto"/>
          <w:spacing w:val="0"/>
          <w:w w:val="100"/>
          <w:sz w:val="32"/>
          <w:szCs w:val="28"/>
        </w:rPr>
        <w:t>进控烟工作，广泛普及文明健康、绿色环保的生活方式，实现国</w:t>
      </w:r>
      <w:r>
        <w:rPr>
          <w:rFonts w:ascii="Times New Roman" w:hAnsi="Times New Roman" w:eastAsia="仿宋_GB2312" w:cs="Times New Roman"/>
          <w:color w:val="auto"/>
          <w:spacing w:val="0"/>
          <w:w w:val="100"/>
          <w:sz w:val="32"/>
          <w:szCs w:val="28"/>
        </w:rPr>
        <w:t xml:space="preserve"> </w:t>
      </w:r>
      <w:r>
        <w:rPr>
          <w:rFonts w:hint="eastAsia" w:ascii="Times New Roman" w:hAnsi="Times New Roman" w:eastAsia="仿宋_GB2312" w:cs="Times New Roman"/>
          <w:color w:val="auto"/>
          <w:spacing w:val="0"/>
          <w:w w:val="100"/>
          <w:sz w:val="32"/>
          <w:szCs w:val="28"/>
        </w:rPr>
        <w:t>家卫生区、卫生乡镇、卫生街道创建全覆盖</w:t>
      </w:r>
      <w:r>
        <w:rPr>
          <w:rFonts w:hint="eastAsia" w:ascii="Times New Roman" w:hAnsi="Times New Roman" w:eastAsia="仿宋_GB2312" w:cs="Times New Roman"/>
          <w:color w:val="auto"/>
          <w:sz w:val="32"/>
          <w:szCs w:val="28"/>
        </w:rPr>
        <w:t>。</w:t>
      </w:r>
      <w:r>
        <w:rPr>
          <w:rFonts w:hint="eastAsia" w:ascii="Times New Roman" w:hAnsi="Times New Roman" w:eastAsia="仿宋_GB2312" w:cs="Times New Roman"/>
          <w:color w:val="auto"/>
          <w:spacing w:val="0"/>
          <w:w w:val="100"/>
          <w:sz w:val="32"/>
          <w:szCs w:val="28"/>
        </w:rPr>
        <w:t>深入推进健康丰台</w:t>
      </w:r>
      <w:r>
        <w:rPr>
          <w:rFonts w:ascii="Times New Roman" w:hAnsi="Times New Roman" w:eastAsia="仿宋_GB2312" w:cs="Times New Roman"/>
          <w:color w:val="auto"/>
          <w:spacing w:val="0"/>
          <w:w w:val="100"/>
          <w:sz w:val="32"/>
          <w:szCs w:val="28"/>
        </w:rPr>
        <w:t xml:space="preserve"> </w:t>
      </w:r>
      <w:r>
        <w:rPr>
          <w:rFonts w:hint="eastAsia" w:ascii="Times New Roman" w:hAnsi="Times New Roman" w:eastAsia="仿宋_GB2312" w:cs="Times New Roman"/>
          <w:color w:val="auto"/>
          <w:spacing w:val="0"/>
          <w:sz w:val="32"/>
          <w:szCs w:val="28"/>
        </w:rPr>
        <w:t>建设，建立健全爱国卫生工作长效机制，形成爱国卫生人人齐参与、社会齐发力，健康生活人人都重视、社会都关心的共建共享</w:t>
      </w:r>
      <w:r>
        <w:rPr>
          <w:rFonts w:ascii="Times New Roman" w:hAnsi="Times New Roman" w:eastAsia="仿宋_GB2312" w:cs="Times New Roman"/>
          <w:color w:val="auto"/>
          <w:spacing w:val="0"/>
          <w:w w:val="100"/>
          <w:sz w:val="32"/>
          <w:szCs w:val="28"/>
        </w:rPr>
        <w:t xml:space="preserve"> </w:t>
      </w:r>
      <w:r>
        <w:rPr>
          <w:rFonts w:hint="eastAsia" w:ascii="Times New Roman" w:hAnsi="Times New Roman" w:eastAsia="仿宋_GB2312" w:cs="Times New Roman"/>
          <w:color w:val="auto"/>
          <w:spacing w:val="0"/>
          <w:sz w:val="32"/>
          <w:szCs w:val="28"/>
        </w:rPr>
        <w:t>局面。</w:t>
      </w:r>
    </w:p>
    <w:p>
      <w:pPr>
        <w:pStyle w:val="5"/>
        <w:tabs>
          <w:tab w:val="clear" w:pos="720"/>
        </w:tabs>
        <w:spacing w:before="0" w:after="0" w:line="360" w:lineRule="auto"/>
        <w:ind w:left="0" w:firstLine="643" w:firstLineChars="200"/>
        <w:jc w:val="both"/>
        <w:rPr>
          <w:rFonts w:ascii="Times New Roman" w:hAnsi="Times New Roman"/>
          <w:color w:val="auto"/>
          <w:sz w:val="32"/>
          <w:szCs w:val="28"/>
        </w:rPr>
      </w:pPr>
      <w:bookmarkStart w:id="67" w:name="_Toc93511800"/>
      <w:r>
        <w:rPr>
          <w:rFonts w:hint="eastAsia" w:ascii="Times New Roman" w:hAnsi="Times New Roman"/>
          <w:color w:val="auto"/>
          <w:sz w:val="32"/>
          <w:szCs w:val="28"/>
        </w:rPr>
        <w:t>（二）不断巩固示范区建设成果</w:t>
      </w:r>
      <w:bookmarkEnd w:id="67"/>
    </w:p>
    <w:p>
      <w:pPr>
        <w:adjustRightInd w:val="0"/>
        <w:snapToGrid w:val="0"/>
        <w:spacing w:before="46" w:beforeLines="15" w:after="46" w:afterLines="15" w:line="360" w:lineRule="auto"/>
        <w:ind w:firstLine="640" w:firstLineChars="200"/>
        <w:jc w:val="left"/>
        <w:rPr>
          <w:rFonts w:ascii="Times New Roman" w:hAnsi="Times New Roman" w:eastAsia="仿宋_GB2312" w:cs="Times New Roman"/>
          <w:bCs/>
          <w:color w:val="auto"/>
          <w:sz w:val="32"/>
          <w:szCs w:val="28"/>
        </w:rPr>
      </w:pPr>
      <w:r>
        <w:rPr>
          <w:rFonts w:hint="eastAsia" w:ascii="Times New Roman" w:hAnsi="Times New Roman" w:eastAsia="仿宋_GB2312" w:cs="Times New Roman"/>
          <w:bCs/>
          <w:color w:val="auto"/>
          <w:sz w:val="32"/>
          <w:szCs w:val="28"/>
        </w:rPr>
        <w:t>全面落</w:t>
      </w:r>
      <w:r>
        <w:rPr>
          <w:rFonts w:hint="eastAsia" w:ascii="Times New Roman" w:hAnsi="Times New Roman" w:eastAsia="仿宋_GB2312" w:cs="Times New Roman"/>
          <w:color w:val="auto"/>
          <w:sz w:val="32"/>
          <w:szCs w:val="28"/>
        </w:rPr>
        <w:t>实健康北京行动实施方案。</w:t>
      </w:r>
      <w:r>
        <w:rPr>
          <w:rFonts w:hint="eastAsia" w:ascii="Times New Roman" w:hAnsi="Times New Roman" w:eastAsia="仿宋_GB2312" w:cs="Times New Roman"/>
          <w:bCs/>
          <w:color w:val="auto"/>
          <w:spacing w:val="0"/>
          <w:sz w:val="32"/>
          <w:szCs w:val="28"/>
        </w:rPr>
        <w:t>继续巩固国家慢性病综合防控示范区、全国艾滋病综合防治示范区建设成果。继续实施肿瘤、心脑血管疾病早期筛查项目，扩大受益人群和覆盖范围，推进慢性呼吸系统疾病筛查工作，提升慢性呼吸系统疾病健康管理能力。</w:t>
      </w:r>
      <w:r>
        <w:rPr>
          <w:rFonts w:hint="eastAsia" w:ascii="Times New Roman" w:hAnsi="Times New Roman" w:eastAsia="仿宋_GB2312" w:cs="Times New Roman"/>
          <w:color w:val="auto"/>
          <w:kern w:val="0"/>
          <w:sz w:val="32"/>
          <w:szCs w:val="28"/>
        </w:rPr>
        <w:t>健全阻断</w:t>
      </w:r>
      <w:r>
        <w:rPr>
          <w:rFonts w:hint="eastAsia" w:ascii="Times New Roman" w:hAnsi="Times New Roman" w:eastAsia="仿宋_GB2312" w:cs="Times New Roman"/>
          <w:color w:val="auto"/>
          <w:sz w:val="32"/>
          <w:szCs w:val="28"/>
        </w:rPr>
        <w:t>艾滋病、梅毒和乙肝母婴传播工作机制和服务模式等。</w:t>
      </w:r>
    </w:p>
    <w:p>
      <w:pPr>
        <w:pStyle w:val="5"/>
        <w:tabs>
          <w:tab w:val="clear" w:pos="720"/>
        </w:tabs>
        <w:spacing w:before="0" w:after="0" w:line="360" w:lineRule="auto"/>
        <w:ind w:left="0" w:firstLine="643" w:firstLineChars="200"/>
        <w:jc w:val="both"/>
        <w:rPr>
          <w:rFonts w:ascii="Times New Roman" w:hAnsi="Times New Roman"/>
          <w:color w:val="auto"/>
          <w:sz w:val="32"/>
          <w:szCs w:val="28"/>
        </w:rPr>
      </w:pPr>
      <w:bookmarkStart w:id="68" w:name="_Toc93511801"/>
      <w:r>
        <w:rPr>
          <w:rFonts w:hint="eastAsia" w:ascii="Times New Roman" w:hAnsi="Times New Roman"/>
          <w:color w:val="auto"/>
          <w:sz w:val="32"/>
          <w:szCs w:val="28"/>
        </w:rPr>
        <w:t>（三）</w:t>
      </w:r>
      <w:r>
        <w:rPr>
          <w:rFonts w:hint="eastAsia" w:ascii="Times New Roman" w:hAnsi="Times New Roman"/>
          <w:color w:val="auto"/>
          <w:szCs w:val="28"/>
        </w:rPr>
        <w:t>完成</w:t>
      </w:r>
      <w:r>
        <w:rPr>
          <w:rFonts w:hint="eastAsia" w:ascii="Times New Roman" w:hAnsi="Times New Roman"/>
          <w:color w:val="auto"/>
          <w:sz w:val="32"/>
          <w:szCs w:val="28"/>
        </w:rPr>
        <w:t>全国健康促进区</w:t>
      </w:r>
      <w:r>
        <w:rPr>
          <w:rFonts w:hint="eastAsia" w:ascii="Times New Roman" w:hAnsi="Times New Roman"/>
          <w:color w:val="auto"/>
          <w:szCs w:val="28"/>
        </w:rPr>
        <w:t>建设</w:t>
      </w:r>
      <w:bookmarkEnd w:id="68"/>
    </w:p>
    <w:p>
      <w:pPr>
        <w:adjustRightInd w:val="0"/>
        <w:snapToGrid w:val="0"/>
        <w:spacing w:before="46" w:beforeLines="15" w:after="46" w:afterLines="15" w:line="360" w:lineRule="auto"/>
        <w:ind w:firstLine="640" w:firstLineChars="200"/>
        <w:jc w:val="left"/>
        <w:rPr>
          <w:rFonts w:ascii="Times New Roman" w:hAnsi="Times New Roman" w:eastAsia="仿宋_GB2312" w:cs="Times New Roman"/>
          <w:color w:val="auto"/>
          <w:sz w:val="32"/>
          <w:szCs w:val="28"/>
        </w:rPr>
      </w:pPr>
      <w:r>
        <w:rPr>
          <w:rFonts w:hint="eastAsia" w:ascii="Times New Roman" w:hAnsi="Times New Roman" w:eastAsia="仿宋_GB2312" w:cs="Times New Roman"/>
          <w:bCs/>
          <w:color w:val="auto"/>
          <w:spacing w:val="0"/>
          <w:sz w:val="32"/>
          <w:szCs w:val="28"/>
        </w:rPr>
        <w:t>积极推进丰台区全国健康促进区建设，</w:t>
      </w:r>
      <w:r>
        <w:rPr>
          <w:rFonts w:hint="eastAsia" w:ascii="Times New Roman" w:hAnsi="Times New Roman" w:eastAsia="仿宋_GB2312" w:cs="Times New Roman"/>
          <w:bCs/>
          <w:color w:val="auto"/>
          <w:kern w:val="2"/>
          <w:sz w:val="32"/>
          <w:szCs w:val="28"/>
        </w:rPr>
        <w:t>健全健康促进体系，</w:t>
      </w:r>
      <w:r>
        <w:rPr>
          <w:rFonts w:hint="eastAsia" w:ascii="Times New Roman" w:hAnsi="Times New Roman" w:eastAsia="仿宋_GB2312" w:cs="Times New Roman"/>
          <w:bCs/>
          <w:color w:val="auto"/>
          <w:spacing w:val="0"/>
          <w:sz w:val="32"/>
          <w:szCs w:val="28"/>
        </w:rPr>
        <w:t>建立并完善长效工作模式和管理机制，</w:t>
      </w:r>
      <w:r>
        <w:rPr>
          <w:rFonts w:hint="eastAsia" w:ascii="Times New Roman" w:hAnsi="Times New Roman" w:eastAsia="仿宋_GB2312" w:cs="Times New Roman"/>
          <w:bCs/>
          <w:color w:val="auto"/>
          <w:sz w:val="32"/>
          <w:szCs w:val="28"/>
        </w:rPr>
        <w:t>广泛建设健康社区（村）、健康促进学校、健康促进机关、健康促进企业、健康促进医院和健康主题公园等健康支持性环境。</w:t>
      </w:r>
      <w:r>
        <w:rPr>
          <w:rFonts w:hint="eastAsia" w:ascii="Times New Roman" w:hAnsi="Times New Roman" w:eastAsia="仿宋_GB2312" w:cs="Times New Roman"/>
          <w:bCs/>
          <w:color w:val="auto"/>
          <w:spacing w:val="0"/>
          <w:w w:val="100"/>
          <w:sz w:val="32"/>
          <w:szCs w:val="28"/>
        </w:rPr>
        <w:t>倡导健康文化建设，</w:t>
      </w:r>
      <w:r>
        <w:rPr>
          <w:rFonts w:hint="eastAsia" w:ascii="Times New Roman" w:hAnsi="Times New Roman" w:eastAsia="仿宋_GB2312" w:cs="Times New Roman"/>
          <w:bCs/>
          <w:color w:val="auto"/>
          <w:sz w:val="32"/>
          <w:szCs w:val="28"/>
        </w:rPr>
        <w:t>营造关注健康的社会氛围。深入推进健康教育和健康促进，力争实现健康素养水平超过</w:t>
      </w:r>
      <w:r>
        <w:rPr>
          <w:rFonts w:ascii="Times New Roman" w:hAnsi="Times New Roman" w:eastAsia="仿宋_GB2312" w:cs="Times New Roman"/>
          <w:bCs/>
          <w:color w:val="auto"/>
          <w:sz w:val="32"/>
          <w:szCs w:val="28"/>
        </w:rPr>
        <w:t>40%</w:t>
      </w:r>
      <w:r>
        <w:rPr>
          <w:rFonts w:hint="eastAsia" w:ascii="Times New Roman" w:hAnsi="Times New Roman" w:eastAsia="仿宋_GB2312" w:cs="Times New Roman"/>
          <w:bCs/>
          <w:color w:val="auto"/>
          <w:sz w:val="32"/>
          <w:szCs w:val="28"/>
        </w:rPr>
        <w:t>。突出抓好中小学生健康知识普及、</w:t>
      </w:r>
      <w:r>
        <w:rPr>
          <w:rFonts w:hint="eastAsia" w:ascii="Times New Roman" w:hAnsi="Times New Roman" w:eastAsia="仿宋_GB2312" w:cs="Times New Roman"/>
          <w:color w:val="auto"/>
          <w:sz w:val="32"/>
          <w:szCs w:val="28"/>
        </w:rPr>
        <w:t>健康生活方式培养，儿童心理健康核心知识知晓率达到</w:t>
      </w:r>
      <w:r>
        <w:rPr>
          <w:rFonts w:ascii="Times New Roman" w:hAnsi="Times New Roman" w:eastAsia="仿宋_GB2312" w:cs="Times New Roman"/>
          <w:color w:val="auto"/>
          <w:sz w:val="32"/>
          <w:szCs w:val="28"/>
        </w:rPr>
        <w:t>80%</w:t>
      </w:r>
      <w:r>
        <w:rPr>
          <w:rFonts w:hint="eastAsia" w:ascii="Times New Roman" w:hAnsi="Times New Roman" w:eastAsia="仿宋_GB2312" w:cs="Times New Roman"/>
          <w:color w:val="auto"/>
          <w:sz w:val="32"/>
          <w:szCs w:val="28"/>
        </w:rPr>
        <w:t>以上；小学生、初中生和高中生近视率分别降至</w:t>
      </w:r>
      <w:r>
        <w:rPr>
          <w:rFonts w:ascii="Times New Roman" w:hAnsi="Times New Roman" w:eastAsia="仿宋_GB2312" w:cs="Times New Roman"/>
          <w:color w:val="auto"/>
          <w:sz w:val="32"/>
          <w:szCs w:val="28"/>
        </w:rPr>
        <w:t>38%</w:t>
      </w:r>
      <w:r>
        <w:rPr>
          <w:rFonts w:hint="eastAsia" w:ascii="Times New Roman" w:hAnsi="Times New Roman" w:eastAsia="仿宋_GB2312" w:cs="Times New Roman"/>
          <w:color w:val="auto"/>
          <w:sz w:val="32"/>
          <w:szCs w:val="28"/>
        </w:rPr>
        <w:t>、</w:t>
      </w:r>
      <w:r>
        <w:rPr>
          <w:rFonts w:ascii="Times New Roman" w:hAnsi="Times New Roman" w:eastAsia="仿宋_GB2312" w:cs="Times New Roman"/>
          <w:color w:val="auto"/>
          <w:sz w:val="32"/>
          <w:szCs w:val="28"/>
        </w:rPr>
        <w:t>60%</w:t>
      </w:r>
      <w:r>
        <w:rPr>
          <w:rFonts w:hint="eastAsia" w:ascii="Times New Roman" w:hAnsi="Times New Roman" w:eastAsia="仿宋_GB2312" w:cs="Times New Roman"/>
          <w:color w:val="auto"/>
          <w:sz w:val="32"/>
          <w:szCs w:val="28"/>
        </w:rPr>
        <w:t>和</w:t>
      </w:r>
      <w:r>
        <w:rPr>
          <w:rFonts w:ascii="Times New Roman" w:hAnsi="Times New Roman" w:eastAsia="仿宋_GB2312" w:cs="Times New Roman"/>
          <w:color w:val="auto"/>
          <w:sz w:val="32"/>
          <w:szCs w:val="28"/>
        </w:rPr>
        <w:t>70%</w:t>
      </w:r>
      <w:r>
        <w:rPr>
          <w:rFonts w:hint="eastAsia" w:ascii="Times New Roman" w:hAnsi="Times New Roman" w:eastAsia="仿宋_GB2312" w:cs="Times New Roman"/>
          <w:color w:val="auto"/>
          <w:sz w:val="32"/>
          <w:szCs w:val="28"/>
        </w:rPr>
        <w:t>以下；</w:t>
      </w:r>
      <w:r>
        <w:rPr>
          <w:rFonts w:ascii="Times New Roman" w:hAnsi="Times New Roman" w:eastAsia="仿宋_GB2312" w:cs="Times New Roman"/>
          <w:color w:val="auto"/>
          <w:sz w:val="32"/>
          <w:szCs w:val="28"/>
        </w:rPr>
        <w:t>5</w:t>
      </w:r>
      <w:r>
        <w:rPr>
          <w:rFonts w:hint="eastAsia" w:ascii="Times New Roman" w:hAnsi="Times New Roman" w:eastAsia="仿宋_GB2312" w:cs="Times New Roman"/>
          <w:color w:val="auto"/>
          <w:sz w:val="32"/>
          <w:szCs w:val="28"/>
        </w:rPr>
        <w:t>岁儿童乳牙患龋率控制在</w:t>
      </w:r>
      <w:r>
        <w:rPr>
          <w:rFonts w:ascii="Times New Roman" w:hAnsi="Times New Roman" w:eastAsia="仿宋_GB2312" w:cs="Times New Roman"/>
          <w:color w:val="auto"/>
          <w:sz w:val="32"/>
          <w:szCs w:val="28"/>
        </w:rPr>
        <w:t>60%</w:t>
      </w:r>
      <w:r>
        <w:rPr>
          <w:rFonts w:hint="eastAsia" w:ascii="Times New Roman" w:hAnsi="Times New Roman" w:eastAsia="仿宋_GB2312" w:cs="Times New Roman"/>
          <w:color w:val="auto"/>
          <w:sz w:val="32"/>
          <w:szCs w:val="28"/>
        </w:rPr>
        <w:t>以内。</w:t>
      </w:r>
    </w:p>
    <w:p>
      <w:pPr>
        <w:pStyle w:val="3"/>
        <w:spacing w:line="360" w:lineRule="auto"/>
        <w:ind w:firstLine="723" w:firstLineChars="200"/>
        <w:jc w:val="both"/>
        <w:rPr>
          <w:rFonts w:ascii="楷体" w:hAnsi="楷体" w:eastAsia="楷体"/>
          <w:color w:val="auto"/>
          <w:sz w:val="36"/>
          <w:szCs w:val="28"/>
        </w:rPr>
      </w:pPr>
      <w:bookmarkStart w:id="69" w:name="_Toc93511802"/>
      <w:r>
        <w:rPr>
          <w:rFonts w:hint="eastAsia" w:ascii="楷体" w:hAnsi="楷体" w:eastAsia="楷体"/>
          <w:b/>
          <w:color w:val="auto"/>
          <w:sz w:val="36"/>
          <w:szCs w:val="28"/>
        </w:rPr>
        <w:t>六、</w:t>
      </w:r>
      <w:r>
        <w:rPr>
          <w:rFonts w:ascii="楷体" w:hAnsi="楷体" w:eastAsia="楷体"/>
          <w:b/>
          <w:color w:val="auto"/>
          <w:sz w:val="36"/>
          <w:szCs w:val="28"/>
        </w:rPr>
        <w:t>数字化赋能高质量发展</w:t>
      </w:r>
      <w:bookmarkEnd w:id="69"/>
    </w:p>
    <w:p>
      <w:pPr>
        <w:pStyle w:val="5"/>
        <w:tabs>
          <w:tab w:val="clear" w:pos="720"/>
        </w:tabs>
        <w:spacing w:before="0" w:after="0" w:line="360" w:lineRule="auto"/>
        <w:ind w:left="0" w:firstLine="643" w:firstLineChars="200"/>
        <w:jc w:val="both"/>
        <w:rPr>
          <w:rFonts w:ascii="Times New Roman" w:hAnsi="Times New Roman"/>
          <w:color w:val="auto"/>
          <w:sz w:val="32"/>
          <w:szCs w:val="28"/>
        </w:rPr>
      </w:pPr>
      <w:bookmarkStart w:id="70" w:name="_Toc93511803"/>
      <w:r>
        <w:rPr>
          <w:rFonts w:hint="eastAsia" w:ascii="Times New Roman" w:hAnsi="Times New Roman"/>
          <w:color w:val="auto"/>
          <w:sz w:val="32"/>
          <w:szCs w:val="28"/>
        </w:rPr>
        <w:t>（一）大力推进互联网</w:t>
      </w:r>
      <w:r>
        <w:rPr>
          <w:rFonts w:hint="eastAsia" w:ascii="Times New Roman" w:hAnsi="Times New Roman"/>
          <w:color w:val="auto"/>
          <w:szCs w:val="28"/>
        </w:rPr>
        <w:t>健康</w:t>
      </w:r>
      <w:r>
        <w:rPr>
          <w:rFonts w:hint="eastAsia" w:ascii="Times New Roman" w:hAnsi="Times New Roman"/>
          <w:color w:val="auto"/>
          <w:sz w:val="32"/>
          <w:szCs w:val="28"/>
        </w:rPr>
        <w:t>服务</w:t>
      </w:r>
      <w:bookmarkEnd w:id="70"/>
      <w:r>
        <w:rPr>
          <w:rFonts w:ascii="Times New Roman" w:hAnsi="Times New Roman"/>
          <w:color w:val="auto"/>
          <w:sz w:val="32"/>
          <w:szCs w:val="28"/>
        </w:rPr>
        <w:t xml:space="preserve"> </w:t>
      </w:r>
    </w:p>
    <w:p>
      <w:pPr>
        <w:adjustRightInd w:val="0"/>
        <w:snapToGrid w:val="0"/>
        <w:spacing w:before="46" w:beforeLines="15" w:after="46" w:afterLines="15" w:line="360" w:lineRule="auto"/>
        <w:ind w:firstLine="640" w:firstLineChars="200"/>
        <w:jc w:val="left"/>
        <w:rPr>
          <w:rFonts w:ascii="Times New Roman" w:hAnsi="Times New Roman" w:eastAsia="仿宋_GB2312" w:cs="Times New Roman"/>
          <w:bCs/>
          <w:color w:val="auto"/>
          <w:sz w:val="32"/>
          <w:szCs w:val="28"/>
        </w:rPr>
      </w:pPr>
      <w:r>
        <w:rPr>
          <w:rFonts w:hint="eastAsia" w:ascii="Times New Roman" w:hAnsi="Times New Roman" w:eastAsia="仿宋_GB2312" w:cs="Times New Roman"/>
          <w:bCs/>
          <w:color w:val="auto"/>
          <w:sz w:val="32"/>
          <w:szCs w:val="28"/>
        </w:rPr>
        <w:t>推进社区卫生机构“健康大脑”慢病管理系统建设，协助完成基层卫生互联网诊疗建设工作。推进互联网医院建设，推动医疗机构利用网上预约、便捷支付、网上信息查询等技术，</w:t>
      </w:r>
      <w:r>
        <w:rPr>
          <w:rFonts w:hint="eastAsia" w:ascii="Times New Roman" w:hAnsi="Times New Roman" w:eastAsia="仿宋_GB2312" w:cs="Times New Roman"/>
          <w:color w:val="auto"/>
          <w:sz w:val="32"/>
          <w:szCs w:val="28"/>
        </w:rPr>
        <w:t>再造服务流程，为患者提供线上线下相融合、便捷高效的服务。</w:t>
      </w:r>
      <w:r>
        <w:rPr>
          <w:rFonts w:hint="eastAsia" w:ascii="Times New Roman" w:hAnsi="Times New Roman" w:eastAsia="仿宋_GB2312" w:cs="Times New Roman"/>
          <w:bCs/>
          <w:color w:val="auto"/>
          <w:sz w:val="32"/>
          <w:szCs w:val="28"/>
        </w:rPr>
        <w:t>鼓励医疗卫生机构利用人工智能赋能医疗服务，发挥智能临床诊疗系统、健康管理系统在卫生健康服务中的作用。</w:t>
      </w:r>
      <w:r>
        <w:rPr>
          <w:rFonts w:ascii="Times New Roman" w:hAnsi="Times New Roman" w:eastAsia="仿宋_GB2312" w:cs="Times New Roman"/>
          <w:color w:val="auto"/>
          <w:sz w:val="32"/>
          <w:szCs w:val="28"/>
        </w:rPr>
        <w:t xml:space="preserve"> </w:t>
      </w:r>
    </w:p>
    <w:p>
      <w:pPr>
        <w:pStyle w:val="5"/>
        <w:tabs>
          <w:tab w:val="clear" w:pos="720"/>
        </w:tabs>
        <w:spacing w:before="0" w:after="0" w:line="360" w:lineRule="auto"/>
        <w:ind w:left="0" w:firstLine="643" w:firstLineChars="200"/>
        <w:jc w:val="both"/>
        <w:rPr>
          <w:rFonts w:ascii="Times New Roman" w:hAnsi="Times New Roman"/>
          <w:color w:val="auto"/>
          <w:sz w:val="32"/>
          <w:szCs w:val="28"/>
        </w:rPr>
      </w:pPr>
      <w:bookmarkStart w:id="71" w:name="_Toc93511804"/>
      <w:r>
        <w:rPr>
          <w:rFonts w:hint="eastAsia" w:ascii="Times New Roman" w:hAnsi="Times New Roman"/>
          <w:color w:val="auto"/>
          <w:sz w:val="32"/>
          <w:szCs w:val="28"/>
        </w:rPr>
        <w:t>（二）加强</w:t>
      </w:r>
      <w:r>
        <w:rPr>
          <w:rFonts w:hint="eastAsia" w:ascii="Times New Roman" w:hAnsi="Times New Roman"/>
          <w:color w:val="auto"/>
          <w:szCs w:val="28"/>
        </w:rPr>
        <w:t>健康</w:t>
      </w:r>
      <w:r>
        <w:rPr>
          <w:rFonts w:hint="eastAsia" w:ascii="Times New Roman" w:hAnsi="Times New Roman"/>
          <w:color w:val="auto"/>
          <w:sz w:val="32"/>
          <w:szCs w:val="28"/>
        </w:rPr>
        <w:t>大数据综合应用</w:t>
      </w:r>
      <w:bookmarkEnd w:id="71"/>
    </w:p>
    <w:p>
      <w:pPr>
        <w:adjustRightInd w:val="0"/>
        <w:snapToGrid w:val="0"/>
        <w:spacing w:before="46" w:beforeLines="15" w:after="46" w:afterLines="15" w:line="360" w:lineRule="auto"/>
        <w:ind w:firstLine="640" w:firstLineChars="200"/>
        <w:jc w:val="left"/>
        <w:rPr>
          <w:rFonts w:ascii="Times New Roman" w:hAnsi="Times New Roman" w:eastAsia="仿宋_GB2312" w:cs="Times New Roman"/>
          <w:bCs/>
          <w:color w:val="auto"/>
          <w:sz w:val="32"/>
          <w:szCs w:val="28"/>
        </w:rPr>
      </w:pPr>
      <w:r>
        <w:rPr>
          <w:rFonts w:hint="eastAsia" w:ascii="Times New Roman" w:hAnsi="Times New Roman" w:eastAsia="仿宋_GB2312" w:cs="Times New Roman"/>
          <w:color w:val="auto"/>
          <w:sz w:val="32"/>
          <w:szCs w:val="28"/>
        </w:rPr>
        <w:t>巩固人口健康信息平台一期建设成果，推进二期建设，完善以健康档案为核心的医疗、心电、检验、病理等信息</w:t>
      </w:r>
      <w:r>
        <w:rPr>
          <w:rFonts w:hint="eastAsia" w:ascii="Times New Roman" w:hAnsi="Times New Roman" w:eastAsia="仿宋_GB2312" w:cs="Times New Roman"/>
          <w:bCs/>
          <w:color w:val="auto"/>
          <w:sz w:val="32"/>
          <w:szCs w:val="28"/>
        </w:rPr>
        <w:t>共享</w:t>
      </w:r>
      <w:r>
        <w:rPr>
          <w:rFonts w:hint="eastAsia" w:ascii="Times New Roman" w:hAnsi="Times New Roman" w:eastAsia="仿宋_GB2312" w:cs="Times New Roman"/>
          <w:color w:val="auto"/>
          <w:sz w:val="32"/>
          <w:szCs w:val="28"/>
        </w:rPr>
        <w:t>机制。</w:t>
      </w:r>
      <w:r>
        <w:rPr>
          <w:rFonts w:hint="eastAsia" w:ascii="Times New Roman" w:hAnsi="Times New Roman" w:eastAsia="仿宋_GB2312" w:cs="Times New Roman"/>
          <w:bCs/>
          <w:color w:val="auto"/>
          <w:sz w:val="32"/>
          <w:szCs w:val="28"/>
        </w:rPr>
        <w:t>建立区域医疗服务监督以及决策支持系统，开展日常诊疗行为监管、考核评估、循证决策等，提高卫生健康治理现代化水平。落实网络安全等级保护和关键信息基础设施安全保护等制度，探索完善健康大数据保护规范，有效防范个人信息泄露和侵权，提高健康大数据应用水平，</w:t>
      </w:r>
      <w:r>
        <w:rPr>
          <w:rFonts w:hint="eastAsia" w:ascii="Times New Roman" w:hAnsi="Times New Roman" w:eastAsia="仿宋_GB2312" w:cs="Times New Roman"/>
          <w:color w:val="auto"/>
          <w:sz w:val="32"/>
          <w:szCs w:val="28"/>
        </w:rPr>
        <w:t>培育智慧健康新业态</w:t>
      </w:r>
      <w:r>
        <w:rPr>
          <w:rFonts w:hint="eastAsia" w:ascii="Times New Roman" w:hAnsi="Times New Roman" w:eastAsia="仿宋_GB2312" w:cs="Times New Roman"/>
          <w:bCs/>
          <w:color w:val="auto"/>
          <w:sz w:val="32"/>
          <w:szCs w:val="28"/>
        </w:rPr>
        <w:t>。</w:t>
      </w:r>
    </w:p>
    <w:p>
      <w:pPr>
        <w:pStyle w:val="3"/>
        <w:spacing w:line="360" w:lineRule="auto"/>
        <w:ind w:firstLine="723" w:firstLineChars="200"/>
        <w:jc w:val="both"/>
        <w:rPr>
          <w:rFonts w:ascii="楷体" w:hAnsi="楷体" w:eastAsia="楷体"/>
          <w:color w:val="auto"/>
          <w:sz w:val="36"/>
          <w:szCs w:val="28"/>
        </w:rPr>
      </w:pPr>
      <w:bookmarkStart w:id="72" w:name="_Toc93511805"/>
      <w:r>
        <w:rPr>
          <w:rFonts w:hint="eastAsia" w:ascii="楷体" w:hAnsi="楷体" w:eastAsia="楷体"/>
          <w:color w:val="auto"/>
          <w:sz w:val="36"/>
          <w:szCs w:val="28"/>
        </w:rPr>
        <w:t>七、</w:t>
      </w:r>
      <w:r>
        <w:rPr>
          <w:rFonts w:ascii="楷体" w:hAnsi="楷体" w:eastAsia="楷体"/>
          <w:color w:val="auto"/>
          <w:sz w:val="36"/>
          <w:szCs w:val="28"/>
        </w:rPr>
        <w:t>统筹推进其他工作</w:t>
      </w:r>
      <w:bookmarkEnd w:id="72"/>
    </w:p>
    <w:p>
      <w:pPr>
        <w:pStyle w:val="5"/>
        <w:tabs>
          <w:tab w:val="clear" w:pos="720"/>
        </w:tabs>
        <w:spacing w:before="0" w:after="0" w:line="360" w:lineRule="auto"/>
        <w:ind w:left="0" w:firstLine="643" w:firstLineChars="200"/>
        <w:jc w:val="both"/>
        <w:rPr>
          <w:rFonts w:ascii="Times New Roman" w:hAnsi="Times New Roman"/>
          <w:color w:val="auto"/>
          <w:sz w:val="32"/>
          <w:szCs w:val="28"/>
        </w:rPr>
      </w:pPr>
      <w:bookmarkStart w:id="73" w:name="_Toc93511806"/>
      <w:r>
        <w:rPr>
          <w:rFonts w:hint="eastAsia" w:ascii="Times New Roman" w:hAnsi="Times New Roman"/>
          <w:color w:val="auto"/>
          <w:sz w:val="32"/>
          <w:szCs w:val="28"/>
        </w:rPr>
        <w:t>（一）完善治理组织体系</w:t>
      </w:r>
      <w:bookmarkEnd w:id="73"/>
    </w:p>
    <w:p>
      <w:pPr>
        <w:adjustRightInd w:val="0"/>
        <w:snapToGrid w:val="0"/>
        <w:spacing w:before="46" w:beforeLines="15" w:after="46" w:afterLines="15" w:line="360" w:lineRule="auto"/>
        <w:ind w:firstLine="640" w:firstLineChars="200"/>
        <w:jc w:val="left"/>
        <w:rPr>
          <w:rFonts w:ascii="Times New Roman" w:hAnsi="Times New Roman" w:eastAsia="仿宋_GB2312" w:cs="Times New Roman"/>
          <w:bCs/>
          <w:color w:val="auto"/>
          <w:sz w:val="32"/>
          <w:szCs w:val="28"/>
        </w:rPr>
      </w:pPr>
      <w:r>
        <w:rPr>
          <w:rFonts w:hint="eastAsia" w:ascii="Times New Roman" w:hAnsi="Times New Roman" w:eastAsia="仿宋_GB2312" w:cs="Times New Roman"/>
          <w:bCs/>
          <w:color w:val="auto"/>
          <w:sz w:val="32"/>
          <w:szCs w:val="28"/>
        </w:rPr>
        <w:t>不断强化卫生健康治理工作，组建丰台区医院管理中心，承担公立医院管理和监督职能。加强丰台区社区卫生服务管理中心职能建设，负责全区社区卫生服务机构运行管理。组建丰台区卫生健康服务中心，负责计划生育和卫生健康信息系统管理工作。</w:t>
      </w:r>
      <w:r>
        <w:rPr>
          <w:rFonts w:hint="eastAsia" w:ascii="Times New Roman" w:hAnsi="Times New Roman" w:eastAsia="仿宋_GB2312" w:cs="Times New Roman"/>
          <w:color w:val="auto"/>
          <w:sz w:val="32"/>
          <w:szCs w:val="28"/>
        </w:rPr>
        <w:t>推</w:t>
      </w:r>
      <w:r>
        <w:rPr>
          <w:rFonts w:hint="eastAsia" w:ascii="Times New Roman" w:hAnsi="Times New Roman" w:eastAsia="仿宋_GB2312" w:cs="Times New Roman"/>
          <w:bCs/>
          <w:color w:val="auto"/>
          <w:sz w:val="32"/>
          <w:szCs w:val="28"/>
        </w:rPr>
        <w:t>进</w:t>
      </w:r>
      <w:r>
        <w:rPr>
          <w:rFonts w:hint="eastAsia" w:ascii="Times New Roman" w:hAnsi="Times New Roman" w:eastAsia="仿宋_GB2312" w:cs="Times New Roman"/>
          <w:bCs/>
          <w:color w:val="auto"/>
          <w:sz w:val="32"/>
          <w:szCs w:val="28"/>
          <w:shd w:val="clear" w:color="auto" w:fill="auto"/>
        </w:rPr>
        <w:t>居民委员会、村民委员会</w:t>
      </w:r>
      <w:r>
        <w:rPr>
          <w:rFonts w:hint="eastAsia" w:ascii="Times New Roman" w:hAnsi="Times New Roman" w:eastAsia="仿宋_GB2312" w:cs="Times New Roman"/>
          <w:bCs/>
          <w:color w:val="auto"/>
          <w:sz w:val="32"/>
          <w:szCs w:val="28"/>
        </w:rPr>
        <w:t>设置公共卫生委员</w:t>
      </w:r>
      <w:r>
        <w:rPr>
          <w:rFonts w:hint="eastAsia" w:ascii="Times New Roman" w:hAnsi="Times New Roman" w:eastAsia="仿宋_GB2312" w:cs="Times New Roman"/>
          <w:color w:val="auto"/>
          <w:sz w:val="32"/>
          <w:szCs w:val="28"/>
        </w:rPr>
        <w:t>会，</w:t>
      </w:r>
      <w:r>
        <w:rPr>
          <w:rFonts w:hint="eastAsia" w:ascii="Times New Roman" w:hAnsi="Times New Roman" w:eastAsia="仿宋_GB2312" w:cs="Times New Roman"/>
          <w:bCs/>
          <w:color w:val="auto"/>
          <w:sz w:val="32"/>
          <w:szCs w:val="28"/>
        </w:rPr>
        <w:t>完善相关管理机制和运行机制，发挥委员会在卫生健康治理和健康丰台建设中的重要作用。</w:t>
      </w:r>
      <w:r>
        <w:rPr>
          <w:rFonts w:hint="eastAsia" w:ascii="Times New Roman" w:hAnsi="Times New Roman" w:eastAsia="仿宋_GB2312" w:cs="Times New Roman"/>
          <w:bCs/>
          <w:color w:val="auto"/>
          <w:sz w:val="32"/>
          <w:szCs w:val="28"/>
          <w:highlight w:val="none"/>
        </w:rPr>
        <w:t>推动社区卫生服务中心主任作为街道主任或镇长助理</w:t>
      </w:r>
      <w:r>
        <w:rPr>
          <w:rFonts w:hint="eastAsia" w:ascii="Times New Roman" w:hAnsi="Times New Roman" w:eastAsia="仿宋_GB2312" w:cs="Times New Roman"/>
          <w:bCs/>
          <w:color w:val="auto"/>
          <w:sz w:val="32"/>
          <w:szCs w:val="28"/>
        </w:rPr>
        <w:t>，参与政府宏观管理。</w:t>
      </w:r>
    </w:p>
    <w:p>
      <w:pPr>
        <w:pStyle w:val="5"/>
        <w:tabs>
          <w:tab w:val="clear" w:pos="720"/>
        </w:tabs>
        <w:spacing w:before="0" w:after="0" w:line="360" w:lineRule="auto"/>
        <w:ind w:left="0" w:firstLine="643" w:firstLineChars="200"/>
        <w:jc w:val="both"/>
        <w:rPr>
          <w:rFonts w:ascii="Times New Roman" w:hAnsi="Times New Roman"/>
          <w:color w:val="auto"/>
          <w:sz w:val="32"/>
          <w:szCs w:val="28"/>
        </w:rPr>
      </w:pPr>
      <w:bookmarkStart w:id="74" w:name="_Toc93511807"/>
      <w:r>
        <w:rPr>
          <w:rFonts w:hint="eastAsia" w:ascii="Times New Roman" w:hAnsi="Times New Roman"/>
          <w:color w:val="auto"/>
          <w:sz w:val="32"/>
          <w:szCs w:val="28"/>
        </w:rPr>
        <w:t>（二）加强卫生法制监督</w:t>
      </w:r>
      <w:bookmarkEnd w:id="74"/>
    </w:p>
    <w:p>
      <w:pPr>
        <w:adjustRightInd w:val="0"/>
        <w:snapToGrid w:val="0"/>
        <w:spacing w:before="46" w:beforeLines="15" w:after="46" w:afterLines="15" w:line="360" w:lineRule="auto"/>
        <w:ind w:firstLine="640" w:firstLineChars="200"/>
        <w:jc w:val="left"/>
        <w:rPr>
          <w:rFonts w:ascii="Times New Roman" w:hAnsi="Times New Roman" w:eastAsia="仿宋_GB2312" w:cs="Times New Roman"/>
          <w:color w:val="auto"/>
          <w:sz w:val="32"/>
          <w:szCs w:val="28"/>
        </w:rPr>
      </w:pPr>
      <w:r>
        <w:rPr>
          <w:rFonts w:hint="eastAsia" w:ascii="Times New Roman" w:hAnsi="Times New Roman" w:eastAsia="仿宋_GB2312" w:cs="Times New Roman"/>
          <w:color w:val="auto"/>
          <w:sz w:val="32"/>
          <w:szCs w:val="28"/>
        </w:rPr>
        <w:t>加强卫生健康法制宣传，充分利用各种媒体普及法律法规知识，营造遵纪守法的社会环境和氛围。加大依法行政工作力度，落实放管服改革要求。进一步健全单位自治、行业自律、政府监管、社会监督相结合的多元化综合监管体系；全面执行“双随机、一公开”的规定，加强卫生监督；推进行业自律，改革完善卫生健康行业信用评价体系等；拓宽公众参与卫生监督渠道；形成全社会、全方位协同监督的局面。创新监管机制，继续深入完善“互联网</w:t>
      </w:r>
      <w:r>
        <w:rPr>
          <w:rFonts w:ascii="Times New Roman" w:hAnsi="Times New Roman" w:eastAsia="仿宋_GB2312" w:cs="Times New Roman"/>
          <w:color w:val="auto"/>
          <w:sz w:val="32"/>
          <w:szCs w:val="28"/>
        </w:rPr>
        <w:t>+</w:t>
      </w:r>
      <w:r>
        <w:rPr>
          <w:rFonts w:hint="eastAsia" w:ascii="Times New Roman" w:hAnsi="Times New Roman" w:eastAsia="仿宋_GB2312" w:cs="Times New Roman"/>
          <w:color w:val="auto"/>
          <w:sz w:val="32"/>
          <w:szCs w:val="28"/>
        </w:rPr>
        <w:t>”监管模式，推动卫生监督治理现代化。</w:t>
      </w:r>
    </w:p>
    <w:p>
      <w:pPr>
        <w:pStyle w:val="5"/>
        <w:tabs>
          <w:tab w:val="clear" w:pos="720"/>
        </w:tabs>
        <w:spacing w:before="0" w:after="0" w:line="360" w:lineRule="auto"/>
        <w:ind w:left="0" w:firstLine="643" w:firstLineChars="200"/>
        <w:jc w:val="both"/>
        <w:rPr>
          <w:rFonts w:ascii="Times New Roman" w:hAnsi="Times New Roman"/>
          <w:color w:val="auto"/>
          <w:sz w:val="32"/>
          <w:szCs w:val="28"/>
        </w:rPr>
      </w:pPr>
      <w:bookmarkStart w:id="75" w:name="_Toc93511808"/>
      <w:r>
        <w:rPr>
          <w:rFonts w:hint="eastAsia" w:ascii="Times New Roman" w:hAnsi="Times New Roman"/>
          <w:color w:val="auto"/>
          <w:sz w:val="32"/>
          <w:szCs w:val="28"/>
        </w:rPr>
        <w:t>（三）加强行业风险防控</w:t>
      </w:r>
      <w:bookmarkEnd w:id="75"/>
    </w:p>
    <w:p>
      <w:pPr>
        <w:adjustRightInd w:val="0"/>
        <w:snapToGrid w:val="0"/>
        <w:spacing w:before="46" w:beforeLines="15" w:after="46" w:afterLines="15" w:line="360" w:lineRule="auto"/>
        <w:ind w:firstLine="640" w:firstLineChars="200"/>
        <w:jc w:val="left"/>
        <w:rPr>
          <w:rFonts w:ascii="Times New Roman" w:hAnsi="Times New Roman" w:eastAsia="仿宋_GB2312" w:cs="Times New Roman"/>
          <w:color w:val="auto"/>
          <w:sz w:val="32"/>
          <w:szCs w:val="28"/>
        </w:rPr>
      </w:pPr>
      <w:r>
        <w:rPr>
          <w:rFonts w:hint="eastAsia" w:ascii="Times New Roman" w:hAnsi="Times New Roman" w:eastAsia="仿宋_GB2312" w:cs="Times New Roman"/>
          <w:color w:val="auto"/>
          <w:sz w:val="32"/>
          <w:szCs w:val="28"/>
        </w:rPr>
        <w:t>妥善处理发展与安全的关系，完善落实安全生产责任制，加强安全生产执法，有效遏制生产事故。积极维护良好的就医环境和运行秩序，坚决打击侵害医务人员利益的不法行为。做好行风建设，加强医务人员理想信念、职业道德、医学人文教育，坚决纠正损害群众利益的行为。畅通和规范群众诉求表达、利益协调、权益保障通道，保持行业和谐稳定。</w:t>
      </w:r>
    </w:p>
    <w:p>
      <w:pPr>
        <w:pStyle w:val="5"/>
        <w:tabs>
          <w:tab w:val="clear" w:pos="720"/>
        </w:tabs>
        <w:spacing w:before="0" w:after="0" w:line="360" w:lineRule="auto"/>
        <w:ind w:left="0" w:firstLine="643" w:firstLineChars="200"/>
        <w:jc w:val="both"/>
        <w:rPr>
          <w:rFonts w:ascii="Times New Roman" w:hAnsi="Times New Roman"/>
          <w:color w:val="auto"/>
          <w:sz w:val="32"/>
          <w:szCs w:val="28"/>
        </w:rPr>
      </w:pPr>
      <w:bookmarkStart w:id="76" w:name="_Toc93511809"/>
      <w:r>
        <w:rPr>
          <w:rFonts w:hint="eastAsia" w:ascii="Times New Roman" w:hAnsi="Times New Roman"/>
          <w:color w:val="auto"/>
          <w:sz w:val="32"/>
          <w:szCs w:val="28"/>
        </w:rPr>
        <w:t>（四）加强健康科技创新</w:t>
      </w:r>
      <w:bookmarkEnd w:id="76"/>
    </w:p>
    <w:p>
      <w:pPr>
        <w:adjustRightInd w:val="0"/>
        <w:snapToGrid w:val="0"/>
        <w:spacing w:before="46" w:beforeLines="15" w:after="46" w:afterLines="15" w:line="360" w:lineRule="auto"/>
        <w:ind w:firstLine="640" w:firstLineChars="200"/>
        <w:jc w:val="left"/>
        <w:rPr>
          <w:rFonts w:ascii="Times New Roman" w:hAnsi="Times New Roman" w:eastAsia="仿宋_GB2312" w:cs="Times New Roman"/>
          <w:color w:val="auto"/>
          <w:sz w:val="32"/>
          <w:szCs w:val="28"/>
        </w:rPr>
      </w:pPr>
      <w:r>
        <w:rPr>
          <w:rFonts w:hint="eastAsia" w:ascii="Times New Roman" w:hAnsi="Times New Roman" w:eastAsia="仿宋_GB2312" w:cs="Times New Roman"/>
          <w:color w:val="auto"/>
          <w:sz w:val="32"/>
          <w:szCs w:val="28"/>
        </w:rPr>
        <w:t>持续实施丰台区卫生系统科研项目，推进科技创新。加强临床机构重点专科建设和管理，提高科研项目支持力度。鼓励各机构积极开展技术创新，开发应用新技术项目，增强核心竞争力。鼓励科技成果转化推广，探索科研和应用融合发展新途径。鼓励北京天坛医院、中国航天科工集团七三一医院等医院依托自身优势，推动医学科技创新。开展科教监管、考核评估、循证决策等工作，扩展科教数据可视化应用，推进现代信息化管理进程，持续加强科教管理能力，提高全区科研水平。</w:t>
      </w:r>
    </w:p>
    <w:p>
      <w:pPr>
        <w:pStyle w:val="5"/>
        <w:tabs>
          <w:tab w:val="clear" w:pos="720"/>
        </w:tabs>
        <w:spacing w:before="0" w:after="0" w:line="360" w:lineRule="auto"/>
        <w:ind w:left="0" w:firstLine="643" w:firstLineChars="200"/>
        <w:jc w:val="both"/>
        <w:rPr>
          <w:rFonts w:ascii="Times New Roman" w:hAnsi="Times New Roman"/>
          <w:color w:val="auto"/>
          <w:sz w:val="32"/>
          <w:szCs w:val="28"/>
        </w:rPr>
      </w:pPr>
      <w:bookmarkStart w:id="77" w:name="_Toc93511810"/>
      <w:r>
        <w:rPr>
          <w:rFonts w:hint="eastAsia" w:ascii="Times New Roman" w:hAnsi="Times New Roman"/>
          <w:color w:val="auto"/>
          <w:sz w:val="32"/>
          <w:szCs w:val="28"/>
        </w:rPr>
        <w:t>（五）加强人才培养引进</w:t>
      </w:r>
      <w:bookmarkEnd w:id="77"/>
    </w:p>
    <w:p>
      <w:pPr>
        <w:adjustRightInd w:val="0"/>
        <w:snapToGrid w:val="0"/>
        <w:spacing w:before="46" w:beforeLines="15" w:after="46" w:afterLines="15" w:line="360" w:lineRule="auto"/>
        <w:ind w:firstLine="640" w:firstLineChars="200"/>
        <w:jc w:val="left"/>
        <w:rPr>
          <w:rFonts w:ascii="Times New Roman" w:hAnsi="Times New Roman" w:eastAsia="仿宋_GB2312" w:cs="Times New Roman"/>
          <w:color w:val="auto"/>
          <w:sz w:val="32"/>
          <w:szCs w:val="28"/>
        </w:rPr>
      </w:pPr>
      <w:r>
        <w:rPr>
          <w:rFonts w:hint="eastAsia" w:ascii="Times New Roman" w:hAnsi="Times New Roman" w:eastAsia="仿宋_GB2312" w:cs="Times New Roman"/>
          <w:color w:val="auto"/>
          <w:sz w:val="32"/>
          <w:szCs w:val="28"/>
        </w:rPr>
        <w:t>落实好</w:t>
      </w:r>
      <w:r>
        <w:rPr>
          <w:rFonts w:hint="eastAsia" w:ascii="Times New Roman" w:hAnsi="Times New Roman" w:eastAsia="仿宋_GB2312" w:cs="Times New Roman"/>
          <w:color w:val="auto"/>
          <w:kern w:val="0"/>
          <w:sz w:val="32"/>
          <w:szCs w:val="28"/>
        </w:rPr>
        <w:t>“丰泽计划”</w:t>
      </w:r>
      <w:r>
        <w:rPr>
          <w:rFonts w:hint="eastAsia" w:ascii="Times New Roman" w:hAnsi="Times New Roman" w:eastAsia="仿宋_GB2312" w:cs="Times New Roman"/>
          <w:color w:val="auto"/>
          <w:sz w:val="32"/>
          <w:szCs w:val="28"/>
        </w:rPr>
        <w:t>，引进培育具有国内领先水平的学科带头人和学术骨干，带动全区医疗服务和科研水平提升。加强薄弱环节人才建设力度，“十四五”时期培养引进</w:t>
      </w:r>
      <w:r>
        <w:rPr>
          <w:rFonts w:ascii="Times New Roman" w:hAnsi="Times New Roman" w:eastAsia="仿宋_GB2312" w:cs="Times New Roman"/>
          <w:color w:val="auto"/>
          <w:sz w:val="32"/>
          <w:szCs w:val="28"/>
        </w:rPr>
        <w:t>30</w:t>
      </w:r>
      <w:r>
        <w:rPr>
          <w:rFonts w:hint="eastAsia" w:ascii="Times New Roman" w:hAnsi="Times New Roman" w:eastAsia="仿宋_GB2312" w:cs="Times New Roman"/>
          <w:color w:val="auto"/>
          <w:sz w:val="32"/>
          <w:szCs w:val="28"/>
        </w:rPr>
        <w:t>名精神卫生医生、</w:t>
      </w:r>
      <w:r>
        <w:rPr>
          <w:rFonts w:ascii="Times New Roman" w:hAnsi="Times New Roman" w:eastAsia="仿宋_GB2312" w:cs="Times New Roman"/>
          <w:color w:val="auto"/>
          <w:sz w:val="32"/>
          <w:szCs w:val="28"/>
        </w:rPr>
        <w:t>50</w:t>
      </w:r>
      <w:r>
        <w:rPr>
          <w:rFonts w:hint="eastAsia" w:ascii="Times New Roman" w:hAnsi="Times New Roman" w:eastAsia="仿宋_GB2312" w:cs="Times New Roman"/>
          <w:color w:val="auto"/>
          <w:sz w:val="32"/>
          <w:szCs w:val="28"/>
        </w:rPr>
        <w:t>名左右公共卫生技术人员，3</w:t>
      </w:r>
      <w:r>
        <w:rPr>
          <w:rFonts w:ascii="Times New Roman" w:hAnsi="Times New Roman" w:eastAsia="仿宋_GB2312" w:cs="Times New Roman"/>
          <w:color w:val="auto"/>
          <w:sz w:val="32"/>
          <w:szCs w:val="28"/>
        </w:rPr>
        <w:t>00名</w:t>
      </w:r>
      <w:r>
        <w:rPr>
          <w:rFonts w:hint="eastAsia" w:ascii="Times New Roman" w:hAnsi="Times New Roman" w:eastAsia="仿宋_GB2312" w:cs="Times New Roman"/>
          <w:color w:val="auto"/>
          <w:sz w:val="32"/>
          <w:szCs w:val="28"/>
        </w:rPr>
        <w:t>左右社区卫生技术人员，逐步缓解人员不足的问题。</w:t>
      </w:r>
    </w:p>
    <w:p>
      <w:pPr>
        <w:pStyle w:val="2"/>
        <w:numPr>
          <w:ilvl w:val="0"/>
          <w:numId w:val="0"/>
        </w:numPr>
        <w:spacing w:after="156" w:afterLines="50"/>
        <w:rPr>
          <w:rFonts w:ascii="Times New Roman" w:hAnsi="Times New Roman"/>
          <w:color w:val="auto"/>
          <w:sz w:val="40"/>
          <w:szCs w:val="28"/>
        </w:rPr>
      </w:pPr>
      <w:bookmarkStart w:id="78" w:name="_Toc93511811"/>
      <w:r>
        <w:rPr>
          <w:rFonts w:hint="eastAsia" w:ascii="Times New Roman" w:hAnsi="Times New Roman"/>
          <w:color w:val="auto"/>
          <w:sz w:val="40"/>
          <w:szCs w:val="28"/>
        </w:rPr>
        <w:t>第四章</w:t>
      </w:r>
      <w:r>
        <w:rPr>
          <w:rFonts w:ascii="Times New Roman" w:hAnsi="Times New Roman"/>
          <w:color w:val="auto"/>
          <w:sz w:val="40"/>
          <w:szCs w:val="28"/>
        </w:rPr>
        <w:t xml:space="preserve"> </w:t>
      </w:r>
      <w:r>
        <w:rPr>
          <w:rFonts w:hint="eastAsia" w:ascii="Times New Roman" w:hAnsi="Times New Roman"/>
          <w:color w:val="auto"/>
          <w:sz w:val="40"/>
          <w:szCs w:val="28"/>
        </w:rPr>
        <w:t>落实保障与监督</w:t>
      </w:r>
      <w:bookmarkEnd w:id="78"/>
    </w:p>
    <w:p>
      <w:pPr>
        <w:pStyle w:val="3"/>
        <w:spacing w:line="360" w:lineRule="auto"/>
        <w:ind w:firstLine="723" w:firstLineChars="200"/>
        <w:jc w:val="both"/>
        <w:rPr>
          <w:rFonts w:ascii="楷体" w:hAnsi="楷体" w:eastAsia="楷体"/>
          <w:color w:val="auto"/>
          <w:sz w:val="36"/>
          <w:szCs w:val="28"/>
        </w:rPr>
      </w:pPr>
      <w:bookmarkStart w:id="79" w:name="_Toc93511812"/>
      <w:r>
        <w:rPr>
          <w:rFonts w:ascii="楷体" w:hAnsi="楷体" w:eastAsia="楷体"/>
          <w:color w:val="auto"/>
          <w:sz w:val="36"/>
          <w:szCs w:val="28"/>
        </w:rPr>
        <w:t>一、加强组织领导</w:t>
      </w:r>
      <w:bookmarkEnd w:id="79"/>
    </w:p>
    <w:p>
      <w:pPr>
        <w:adjustRightInd w:val="0"/>
        <w:snapToGrid w:val="0"/>
        <w:spacing w:before="46" w:beforeLines="15" w:after="46" w:afterLines="15" w:line="360" w:lineRule="auto"/>
        <w:ind w:firstLine="640" w:firstLineChars="200"/>
        <w:jc w:val="left"/>
        <w:rPr>
          <w:rFonts w:ascii="Times New Roman" w:hAnsi="Times New Roman" w:eastAsia="仿宋_GB2312" w:cs="Times New Roman"/>
          <w:color w:val="auto"/>
          <w:sz w:val="32"/>
          <w:szCs w:val="28"/>
        </w:rPr>
      </w:pPr>
      <w:r>
        <w:rPr>
          <w:rFonts w:hint="eastAsia" w:ascii="Times New Roman" w:hAnsi="Times New Roman" w:eastAsia="仿宋_GB2312" w:cs="Times New Roman"/>
          <w:color w:val="auto"/>
          <w:sz w:val="32"/>
          <w:szCs w:val="28"/>
        </w:rPr>
        <w:t>坚持党的领导，贯彻党的卫生健康工作方针，落实“把保障人民健康放在优先发展的战略位置”“以人民健康为中心”的要求，确保“十四五”时期卫生健康事业相关部署不折不扣落实到位。发挥党委政府的组织领导、宏观调控作用，基于“大卫生”“大健康”的理念，协同多部门开展合作，健全政策协调和工作协同机制。根据规划目标和重点任务，认真测算，提出量化目标，确定重大政策、重大改革举措、重大工程，实施清单化管理，项目化推进。明确相关部门责任分工，制定时间表和路线图，推动规划有效落实。</w:t>
      </w:r>
      <w:r>
        <w:rPr>
          <w:rFonts w:ascii="Times New Roman" w:hAnsi="Times New Roman" w:eastAsia="仿宋_GB2312" w:cs="Times New Roman"/>
          <w:color w:val="auto"/>
          <w:sz w:val="32"/>
          <w:szCs w:val="28"/>
        </w:rPr>
        <w:t xml:space="preserve"> </w:t>
      </w:r>
    </w:p>
    <w:p>
      <w:pPr>
        <w:pStyle w:val="3"/>
        <w:spacing w:line="360" w:lineRule="auto"/>
        <w:ind w:firstLine="723" w:firstLineChars="200"/>
        <w:jc w:val="both"/>
        <w:rPr>
          <w:rFonts w:ascii="楷体" w:hAnsi="楷体" w:eastAsia="楷体"/>
          <w:color w:val="auto"/>
          <w:sz w:val="36"/>
          <w:szCs w:val="28"/>
        </w:rPr>
      </w:pPr>
      <w:bookmarkStart w:id="80" w:name="_Toc93511813"/>
      <w:r>
        <w:rPr>
          <w:rFonts w:ascii="楷体" w:hAnsi="楷体" w:eastAsia="楷体"/>
          <w:color w:val="auto"/>
          <w:sz w:val="36"/>
          <w:szCs w:val="28"/>
        </w:rPr>
        <w:t>二、</w:t>
      </w:r>
      <w:r>
        <w:rPr>
          <w:rFonts w:hint="eastAsia" w:ascii="楷体" w:hAnsi="楷体" w:eastAsia="楷体"/>
          <w:color w:val="auto"/>
          <w:sz w:val="36"/>
          <w:szCs w:val="28"/>
        </w:rPr>
        <w:t>强化有效投入</w:t>
      </w:r>
      <w:bookmarkEnd w:id="80"/>
    </w:p>
    <w:p>
      <w:pPr>
        <w:adjustRightInd w:val="0"/>
        <w:snapToGrid w:val="0"/>
        <w:spacing w:before="46" w:beforeLines="15" w:after="46" w:afterLines="15" w:line="360" w:lineRule="auto"/>
        <w:ind w:firstLine="640" w:firstLineChars="200"/>
        <w:jc w:val="left"/>
        <w:rPr>
          <w:rFonts w:ascii="Times New Roman" w:hAnsi="Times New Roman" w:eastAsia="仿宋_GB2312" w:cs="Times New Roman"/>
          <w:color w:val="auto"/>
          <w:sz w:val="32"/>
          <w:szCs w:val="28"/>
        </w:rPr>
      </w:pPr>
      <w:r>
        <w:rPr>
          <w:rFonts w:hint="eastAsia" w:ascii="Times New Roman" w:hAnsi="Times New Roman" w:eastAsia="仿宋_GB2312" w:cs="Times New Roman"/>
          <w:color w:val="auto"/>
          <w:sz w:val="32"/>
          <w:szCs w:val="28"/>
        </w:rPr>
        <w:t>建立稳定的卫生健康事业投入机制，加强对公共卫生、中医药事业发展、政府举办医疗卫生机构发展等所需经费保障。建立健全绩效考评体系，提升财政投入绩效。“十四五”时期政府财政卫生支出占政府一般预算支出的比例维持在合理水平。鼓励社会资本参与卫生健康事业发展建设，落实社会办非营利性医疗机构的相关优惠政策，不断提高社会办医水平，满足人民群众不同层次就医服务需求。</w:t>
      </w:r>
      <w:r>
        <w:rPr>
          <w:rFonts w:ascii="Times New Roman" w:hAnsi="Times New Roman" w:eastAsia="仿宋_GB2312" w:cs="Times New Roman"/>
          <w:color w:val="auto"/>
          <w:sz w:val="32"/>
          <w:szCs w:val="28"/>
        </w:rPr>
        <w:t xml:space="preserve"> </w:t>
      </w:r>
    </w:p>
    <w:p>
      <w:pPr>
        <w:pStyle w:val="3"/>
        <w:spacing w:line="360" w:lineRule="auto"/>
        <w:ind w:firstLine="723" w:firstLineChars="200"/>
        <w:jc w:val="both"/>
        <w:rPr>
          <w:rFonts w:ascii="楷体" w:hAnsi="楷体" w:eastAsia="楷体"/>
          <w:color w:val="auto"/>
          <w:sz w:val="36"/>
          <w:szCs w:val="28"/>
        </w:rPr>
      </w:pPr>
      <w:bookmarkStart w:id="81" w:name="_Toc93511814"/>
      <w:r>
        <w:rPr>
          <w:rFonts w:hint="eastAsia" w:ascii="楷体" w:hAnsi="楷体" w:eastAsia="楷体"/>
          <w:color w:val="auto"/>
          <w:sz w:val="36"/>
          <w:szCs w:val="28"/>
        </w:rPr>
        <w:t>三</w:t>
      </w:r>
      <w:r>
        <w:rPr>
          <w:rFonts w:ascii="楷体" w:hAnsi="楷体" w:eastAsia="楷体"/>
          <w:color w:val="auto"/>
          <w:sz w:val="36"/>
          <w:szCs w:val="28"/>
        </w:rPr>
        <w:t>、强化监督评价</w:t>
      </w:r>
      <w:bookmarkEnd w:id="81"/>
    </w:p>
    <w:bookmarkEnd w:id="29"/>
    <w:bookmarkEnd w:id="30"/>
    <w:bookmarkEnd w:id="31"/>
    <w:bookmarkEnd w:id="32"/>
    <w:bookmarkEnd w:id="33"/>
    <w:bookmarkEnd w:id="34"/>
    <w:bookmarkEnd w:id="35"/>
    <w:bookmarkEnd w:id="36"/>
    <w:bookmarkEnd w:id="37"/>
    <w:bookmarkEnd w:id="38"/>
    <w:p>
      <w:pPr>
        <w:adjustRightInd w:val="0"/>
        <w:snapToGrid w:val="0"/>
        <w:spacing w:before="46" w:beforeLines="15" w:after="46" w:afterLines="15" w:line="360" w:lineRule="auto"/>
        <w:ind w:firstLine="640" w:firstLineChars="200"/>
        <w:jc w:val="left"/>
        <w:rPr>
          <w:rFonts w:ascii="Times New Roman" w:hAnsi="Times New Roman" w:eastAsia="仿宋_GB2312" w:cs="Times New Roman"/>
          <w:bCs/>
          <w:color w:val="auto"/>
          <w:sz w:val="32"/>
          <w:szCs w:val="28"/>
        </w:rPr>
      </w:pPr>
      <w:r>
        <w:rPr>
          <w:rFonts w:hint="eastAsia" w:ascii="Times New Roman" w:hAnsi="Times New Roman" w:eastAsia="仿宋_GB2312" w:cs="Times New Roman"/>
          <w:bCs/>
          <w:color w:val="auto"/>
          <w:sz w:val="32"/>
          <w:szCs w:val="28"/>
        </w:rPr>
        <w:t>坚决贯彻新发展理念、落实高质量发展</w:t>
      </w:r>
      <w:r>
        <w:rPr>
          <w:rFonts w:hint="eastAsia" w:ascii="Times New Roman" w:hAnsi="Times New Roman" w:eastAsia="仿宋_GB2312" w:cs="Times New Roman"/>
          <w:color w:val="auto"/>
          <w:sz w:val="32"/>
          <w:szCs w:val="28"/>
        </w:rPr>
        <w:t>要求</w:t>
      </w:r>
      <w:r>
        <w:rPr>
          <w:rFonts w:hint="eastAsia" w:ascii="Times New Roman" w:hAnsi="Times New Roman" w:eastAsia="仿宋_GB2312" w:cs="Times New Roman"/>
          <w:bCs/>
          <w:color w:val="auto"/>
          <w:sz w:val="32"/>
          <w:szCs w:val="28"/>
        </w:rPr>
        <w:t>，定期督导规划实施情况，全力推进重点民生项目、强化薄弱环节建设，及时发现问题、提出解决对策、保证实施进度。</w:t>
      </w:r>
      <w:r>
        <w:rPr>
          <w:rFonts w:ascii="Times New Roman" w:hAnsi="Times New Roman" w:eastAsia="仿宋_GB2312" w:cs="Times New Roman"/>
          <w:bCs/>
          <w:color w:val="auto"/>
          <w:sz w:val="32"/>
          <w:szCs w:val="28"/>
        </w:rPr>
        <w:t>2023</w:t>
      </w:r>
      <w:r>
        <w:rPr>
          <w:rFonts w:hint="eastAsia" w:ascii="Times New Roman" w:hAnsi="Times New Roman" w:eastAsia="仿宋_GB2312" w:cs="Times New Roman"/>
          <w:bCs/>
          <w:color w:val="auto"/>
          <w:sz w:val="32"/>
          <w:szCs w:val="28"/>
        </w:rPr>
        <w:t>年开展规划实施中期评估，</w:t>
      </w:r>
      <w:r>
        <w:rPr>
          <w:rFonts w:ascii="Times New Roman" w:hAnsi="Times New Roman" w:eastAsia="仿宋_GB2312" w:cs="Times New Roman"/>
          <w:bCs/>
          <w:color w:val="auto"/>
          <w:sz w:val="32"/>
          <w:szCs w:val="28"/>
        </w:rPr>
        <w:t>2025</w:t>
      </w:r>
      <w:r>
        <w:rPr>
          <w:rFonts w:hint="eastAsia" w:ascii="Times New Roman" w:hAnsi="Times New Roman" w:eastAsia="仿宋_GB2312" w:cs="Times New Roman"/>
          <w:bCs/>
          <w:color w:val="auto"/>
          <w:sz w:val="32"/>
          <w:szCs w:val="28"/>
        </w:rPr>
        <w:t>年开展规划实施终期评估，推动规划落实到位。及时总结“十四五”时期卫生健康事业发展取得的先进经验和做法，明确规划实施中存在的重点问题，为制</w:t>
      </w:r>
      <w:r>
        <w:rPr>
          <w:rFonts w:ascii="仿宋" w:hAnsi="仿宋" w:eastAsia="仿宋_GB2312" w:cs="Times New Roman"/>
          <w:bCs/>
          <w:color w:val="auto"/>
          <w:sz w:val="32"/>
          <w:szCs w:val="28"/>
        </w:rPr>
        <w:t>定“十五五”卫生健康</w:t>
      </w:r>
      <w:r>
        <w:rPr>
          <w:rFonts w:hint="eastAsia" w:ascii="Times New Roman" w:hAnsi="Times New Roman" w:eastAsia="仿宋_GB2312" w:cs="Times New Roman"/>
          <w:bCs/>
          <w:color w:val="auto"/>
          <w:sz w:val="32"/>
          <w:szCs w:val="28"/>
        </w:rPr>
        <w:t>发展规划提供依据。</w:t>
      </w:r>
    </w:p>
    <w:p>
      <w:pPr>
        <w:adjustRightInd w:val="0"/>
        <w:snapToGrid w:val="0"/>
        <w:spacing w:before="46" w:beforeLines="15" w:after="46" w:afterLines="15" w:line="360" w:lineRule="auto"/>
        <w:ind w:firstLine="640" w:firstLineChars="200"/>
        <w:jc w:val="left"/>
        <w:rPr>
          <w:rFonts w:ascii="Times New Roman" w:hAnsi="Times New Roman" w:eastAsia="仿宋_GB2312" w:cs="Times New Roman"/>
          <w:bCs/>
          <w:color w:val="auto"/>
          <w:sz w:val="32"/>
          <w:szCs w:val="28"/>
        </w:rPr>
      </w:pPr>
      <w:r>
        <w:rPr>
          <w:rFonts w:hint="eastAsia" w:ascii="Times New Roman" w:hAnsi="Times New Roman" w:eastAsia="仿宋_GB2312" w:cs="Times New Roman"/>
          <w:bCs/>
          <w:color w:val="auto"/>
          <w:sz w:val="32"/>
          <w:szCs w:val="28"/>
        </w:rPr>
        <w:t>全面</w:t>
      </w:r>
      <w:r>
        <w:rPr>
          <w:rFonts w:hint="eastAsia" w:ascii="仿宋" w:hAnsi="仿宋" w:eastAsia="仿宋_GB2312" w:cs="Times New Roman"/>
          <w:bCs/>
          <w:color w:val="auto"/>
          <w:sz w:val="32"/>
          <w:szCs w:val="28"/>
        </w:rPr>
        <w:t>实</w:t>
      </w:r>
      <w:r>
        <w:rPr>
          <w:rFonts w:ascii="仿宋" w:hAnsi="仿宋" w:eastAsia="仿宋_GB2312" w:cs="Times New Roman"/>
          <w:bCs/>
          <w:color w:val="auto"/>
          <w:sz w:val="32"/>
          <w:szCs w:val="28"/>
        </w:rPr>
        <w:t>现“十四五”规</w:t>
      </w:r>
      <w:r>
        <w:rPr>
          <w:rFonts w:hint="eastAsia" w:ascii="仿宋" w:hAnsi="仿宋" w:eastAsia="仿宋_GB2312" w:cs="Times New Roman"/>
          <w:bCs/>
          <w:color w:val="auto"/>
          <w:sz w:val="32"/>
          <w:szCs w:val="28"/>
        </w:rPr>
        <w:t>划目标，任务</w:t>
      </w:r>
      <w:r>
        <w:rPr>
          <w:rFonts w:hint="eastAsia" w:ascii="Times New Roman" w:hAnsi="Times New Roman" w:eastAsia="仿宋_GB2312" w:cs="Times New Roman"/>
          <w:bCs/>
          <w:color w:val="auto"/>
          <w:sz w:val="32"/>
          <w:szCs w:val="28"/>
        </w:rPr>
        <w:t>多、工作重、前景光明。卫生健康系统要更加紧密地团结在以习近平同志为核心的党中央周围，开拓创新、锐意进取，为推动丰台区卫生健康事业高质量发展贡献力量，为北京率先基本实现社会</w:t>
      </w:r>
      <w:r>
        <w:rPr>
          <w:rFonts w:hint="eastAsia" w:ascii="Times New Roman" w:hAnsi="Times New Roman" w:eastAsia="仿宋_GB2312" w:cs="Times New Roman"/>
          <w:bCs/>
          <w:color w:val="auto"/>
          <w:kern w:val="2"/>
          <w:sz w:val="32"/>
          <w:szCs w:val="28"/>
        </w:rPr>
        <w:t>主义现代化</w:t>
      </w:r>
      <w:r>
        <w:rPr>
          <w:rFonts w:hint="eastAsia" w:ascii="Times New Roman" w:hAnsi="Times New Roman" w:eastAsia="仿宋_GB2312" w:cs="Times New Roman"/>
          <w:bCs/>
          <w:color w:val="auto"/>
          <w:sz w:val="32"/>
          <w:szCs w:val="28"/>
        </w:rPr>
        <w:t>努力奋斗！</w:t>
      </w:r>
    </w:p>
    <w:sectPr>
      <w:footerReference r:id="rId6" w:type="default"/>
      <w:pgSz w:w="11906" w:h="16838"/>
      <w:pgMar w:top="1418" w:right="1474" w:bottom="1440"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幼圆">
    <w:panose1 w:val="02010509060101010101"/>
    <w:charset w:val="86"/>
    <w:family w:val="modern"/>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75107151"/>
    </w:sdtPr>
    <w:sdtContent>
      <w:p>
        <w:pPr>
          <w:pStyle w:val="13"/>
          <w:jc w:val="center"/>
        </w:pPr>
        <w:r>
          <w:fldChar w:fldCharType="begin"/>
        </w:r>
        <w:r>
          <w:instrText xml:space="preserve">PAGE   \* MERGEFORMAT</w:instrText>
        </w:r>
        <w:r>
          <w:fldChar w:fldCharType="separate"/>
        </w:r>
        <w:r>
          <w:rPr>
            <w:lang w:val="zh-CN"/>
          </w:rPr>
          <w:t>2</w:t>
        </w:r>
        <w:r>
          <w:fldChar w:fldCharType="end"/>
        </w:r>
      </w:p>
    </w:sdtContent>
  </w:sdt>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63237621"/>
    </w:sdtPr>
    <w:sdtContent>
      <w:p>
        <w:pPr>
          <w:pStyle w:val="13"/>
          <w:jc w:val="center"/>
        </w:pPr>
        <w:r>
          <w:fldChar w:fldCharType="begin"/>
        </w:r>
        <w:r>
          <w:instrText xml:space="preserve">PAGE   \* MERGEFORMAT</w:instrText>
        </w:r>
        <w:r>
          <w:fldChar w:fldCharType="separate"/>
        </w:r>
        <w:r>
          <w:rPr>
            <w:lang w:val="zh-CN"/>
          </w:rPr>
          <w:t>29</w:t>
        </w:r>
        <w:r>
          <w:fldChar w:fldCharType="end"/>
        </w:r>
      </w:p>
    </w:sdtContent>
  </w:sdt>
  <w:p>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D23EB"/>
    <w:multiLevelType w:val="multilevel"/>
    <w:tmpl w:val="157D23EB"/>
    <w:lvl w:ilvl="0" w:tentative="0">
      <w:start w:val="1"/>
      <w:numFmt w:val="japaneseCounting"/>
      <w:pStyle w:val="2"/>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B7C"/>
    <w:rsid w:val="00000527"/>
    <w:rsid w:val="00000F44"/>
    <w:rsid w:val="00001175"/>
    <w:rsid w:val="0000324A"/>
    <w:rsid w:val="00003AE8"/>
    <w:rsid w:val="000047AF"/>
    <w:rsid w:val="000056B8"/>
    <w:rsid w:val="00005D64"/>
    <w:rsid w:val="00010343"/>
    <w:rsid w:val="00010D79"/>
    <w:rsid w:val="00011A2C"/>
    <w:rsid w:val="00014304"/>
    <w:rsid w:val="00014771"/>
    <w:rsid w:val="00014CCF"/>
    <w:rsid w:val="00015674"/>
    <w:rsid w:val="000160F5"/>
    <w:rsid w:val="00016A6E"/>
    <w:rsid w:val="00020445"/>
    <w:rsid w:val="00020E37"/>
    <w:rsid w:val="00022A49"/>
    <w:rsid w:val="00023CDA"/>
    <w:rsid w:val="00025BD9"/>
    <w:rsid w:val="00025E47"/>
    <w:rsid w:val="00025FBD"/>
    <w:rsid w:val="000260C2"/>
    <w:rsid w:val="00027179"/>
    <w:rsid w:val="0003084C"/>
    <w:rsid w:val="000317D1"/>
    <w:rsid w:val="00034099"/>
    <w:rsid w:val="00034C24"/>
    <w:rsid w:val="000377D6"/>
    <w:rsid w:val="0004033D"/>
    <w:rsid w:val="00040DDC"/>
    <w:rsid w:val="0004121C"/>
    <w:rsid w:val="000422D1"/>
    <w:rsid w:val="00044C17"/>
    <w:rsid w:val="000467CB"/>
    <w:rsid w:val="00047376"/>
    <w:rsid w:val="00047795"/>
    <w:rsid w:val="000503A8"/>
    <w:rsid w:val="000507D3"/>
    <w:rsid w:val="00052674"/>
    <w:rsid w:val="00052F87"/>
    <w:rsid w:val="00053D09"/>
    <w:rsid w:val="00053EB8"/>
    <w:rsid w:val="0005531B"/>
    <w:rsid w:val="00055FC8"/>
    <w:rsid w:val="00056F44"/>
    <w:rsid w:val="000573BC"/>
    <w:rsid w:val="00060517"/>
    <w:rsid w:val="000632F4"/>
    <w:rsid w:val="0006644F"/>
    <w:rsid w:val="00066D81"/>
    <w:rsid w:val="00066F42"/>
    <w:rsid w:val="000670EA"/>
    <w:rsid w:val="000673A7"/>
    <w:rsid w:val="000674FF"/>
    <w:rsid w:val="00067A82"/>
    <w:rsid w:val="00070197"/>
    <w:rsid w:val="00070696"/>
    <w:rsid w:val="000718C7"/>
    <w:rsid w:val="00071A57"/>
    <w:rsid w:val="00073D80"/>
    <w:rsid w:val="0007401E"/>
    <w:rsid w:val="00074149"/>
    <w:rsid w:val="0007617B"/>
    <w:rsid w:val="00076D16"/>
    <w:rsid w:val="00077837"/>
    <w:rsid w:val="000803C4"/>
    <w:rsid w:val="000820CD"/>
    <w:rsid w:val="00082C8C"/>
    <w:rsid w:val="00083697"/>
    <w:rsid w:val="000842BB"/>
    <w:rsid w:val="0008498E"/>
    <w:rsid w:val="00086955"/>
    <w:rsid w:val="000871B6"/>
    <w:rsid w:val="000874CE"/>
    <w:rsid w:val="00090619"/>
    <w:rsid w:val="00090C81"/>
    <w:rsid w:val="000915A4"/>
    <w:rsid w:val="0009274E"/>
    <w:rsid w:val="00093169"/>
    <w:rsid w:val="0009458B"/>
    <w:rsid w:val="000947E0"/>
    <w:rsid w:val="00096518"/>
    <w:rsid w:val="0009655C"/>
    <w:rsid w:val="00096FBA"/>
    <w:rsid w:val="00097847"/>
    <w:rsid w:val="000978D2"/>
    <w:rsid w:val="000A10F2"/>
    <w:rsid w:val="000A15BC"/>
    <w:rsid w:val="000A1B2A"/>
    <w:rsid w:val="000A1BBB"/>
    <w:rsid w:val="000A21E4"/>
    <w:rsid w:val="000A3BE7"/>
    <w:rsid w:val="000A5104"/>
    <w:rsid w:val="000A513F"/>
    <w:rsid w:val="000A7EC1"/>
    <w:rsid w:val="000B044B"/>
    <w:rsid w:val="000B0D9C"/>
    <w:rsid w:val="000B0F22"/>
    <w:rsid w:val="000B197B"/>
    <w:rsid w:val="000B1A6E"/>
    <w:rsid w:val="000B3B20"/>
    <w:rsid w:val="000B3DF1"/>
    <w:rsid w:val="000B4202"/>
    <w:rsid w:val="000B58F3"/>
    <w:rsid w:val="000B5DB2"/>
    <w:rsid w:val="000B6C9F"/>
    <w:rsid w:val="000C0899"/>
    <w:rsid w:val="000C12E2"/>
    <w:rsid w:val="000C15E0"/>
    <w:rsid w:val="000C3AA6"/>
    <w:rsid w:val="000C499A"/>
    <w:rsid w:val="000C4DE7"/>
    <w:rsid w:val="000C720C"/>
    <w:rsid w:val="000C7FC5"/>
    <w:rsid w:val="000D0162"/>
    <w:rsid w:val="000D0EB8"/>
    <w:rsid w:val="000D131D"/>
    <w:rsid w:val="000D1998"/>
    <w:rsid w:val="000D2470"/>
    <w:rsid w:val="000D26E4"/>
    <w:rsid w:val="000D4A65"/>
    <w:rsid w:val="000D6111"/>
    <w:rsid w:val="000D66B1"/>
    <w:rsid w:val="000D7C26"/>
    <w:rsid w:val="000E172A"/>
    <w:rsid w:val="000E2014"/>
    <w:rsid w:val="000E2CF9"/>
    <w:rsid w:val="000E536E"/>
    <w:rsid w:val="000F00DD"/>
    <w:rsid w:val="000F0BE0"/>
    <w:rsid w:val="000F292E"/>
    <w:rsid w:val="000F2D6C"/>
    <w:rsid w:val="000F3254"/>
    <w:rsid w:val="000F4E63"/>
    <w:rsid w:val="000F5579"/>
    <w:rsid w:val="000F73BF"/>
    <w:rsid w:val="000F7C33"/>
    <w:rsid w:val="000F7CD1"/>
    <w:rsid w:val="000F7E54"/>
    <w:rsid w:val="00100648"/>
    <w:rsid w:val="00100785"/>
    <w:rsid w:val="001010C4"/>
    <w:rsid w:val="00101623"/>
    <w:rsid w:val="00101798"/>
    <w:rsid w:val="00102273"/>
    <w:rsid w:val="00102458"/>
    <w:rsid w:val="00102733"/>
    <w:rsid w:val="00102970"/>
    <w:rsid w:val="0010391B"/>
    <w:rsid w:val="00103C82"/>
    <w:rsid w:val="00103ECF"/>
    <w:rsid w:val="001069C3"/>
    <w:rsid w:val="001074EB"/>
    <w:rsid w:val="00110EC6"/>
    <w:rsid w:val="00111A84"/>
    <w:rsid w:val="00111EC9"/>
    <w:rsid w:val="00111FDF"/>
    <w:rsid w:val="001120D8"/>
    <w:rsid w:val="00114225"/>
    <w:rsid w:val="00115FBE"/>
    <w:rsid w:val="0011625E"/>
    <w:rsid w:val="001169E1"/>
    <w:rsid w:val="001175A6"/>
    <w:rsid w:val="00120013"/>
    <w:rsid w:val="001216C4"/>
    <w:rsid w:val="00121779"/>
    <w:rsid w:val="0012223C"/>
    <w:rsid w:val="001222F7"/>
    <w:rsid w:val="00123F0A"/>
    <w:rsid w:val="001244AE"/>
    <w:rsid w:val="0012476A"/>
    <w:rsid w:val="001258F2"/>
    <w:rsid w:val="00125EBD"/>
    <w:rsid w:val="00126BEE"/>
    <w:rsid w:val="00126BF3"/>
    <w:rsid w:val="00126FB3"/>
    <w:rsid w:val="001272A7"/>
    <w:rsid w:val="001276A0"/>
    <w:rsid w:val="00131FDF"/>
    <w:rsid w:val="00132ACF"/>
    <w:rsid w:val="00132D49"/>
    <w:rsid w:val="001332CD"/>
    <w:rsid w:val="001341E0"/>
    <w:rsid w:val="001346C1"/>
    <w:rsid w:val="00134AB3"/>
    <w:rsid w:val="00134B53"/>
    <w:rsid w:val="00134D04"/>
    <w:rsid w:val="00135F37"/>
    <w:rsid w:val="00137F91"/>
    <w:rsid w:val="00140721"/>
    <w:rsid w:val="00141154"/>
    <w:rsid w:val="00141381"/>
    <w:rsid w:val="001449AD"/>
    <w:rsid w:val="00144CE4"/>
    <w:rsid w:val="001453D6"/>
    <w:rsid w:val="00145847"/>
    <w:rsid w:val="00146144"/>
    <w:rsid w:val="001471C5"/>
    <w:rsid w:val="00147276"/>
    <w:rsid w:val="00147B80"/>
    <w:rsid w:val="00147D5C"/>
    <w:rsid w:val="00147F4C"/>
    <w:rsid w:val="00150501"/>
    <w:rsid w:val="00150B86"/>
    <w:rsid w:val="00150D8D"/>
    <w:rsid w:val="00150F0A"/>
    <w:rsid w:val="00151E52"/>
    <w:rsid w:val="00152AA9"/>
    <w:rsid w:val="0015308D"/>
    <w:rsid w:val="00154987"/>
    <w:rsid w:val="00154FD5"/>
    <w:rsid w:val="001551C0"/>
    <w:rsid w:val="001559AD"/>
    <w:rsid w:val="00155D18"/>
    <w:rsid w:val="0015749B"/>
    <w:rsid w:val="00160C31"/>
    <w:rsid w:val="001610BF"/>
    <w:rsid w:val="0016235E"/>
    <w:rsid w:val="00164378"/>
    <w:rsid w:val="00164A41"/>
    <w:rsid w:val="00165581"/>
    <w:rsid w:val="001678A7"/>
    <w:rsid w:val="0017090E"/>
    <w:rsid w:val="0017188C"/>
    <w:rsid w:val="001723E0"/>
    <w:rsid w:val="00172FA1"/>
    <w:rsid w:val="00174E15"/>
    <w:rsid w:val="00174F7D"/>
    <w:rsid w:val="0017561E"/>
    <w:rsid w:val="001759D6"/>
    <w:rsid w:val="001760B4"/>
    <w:rsid w:val="001776DE"/>
    <w:rsid w:val="0017783E"/>
    <w:rsid w:val="0018095E"/>
    <w:rsid w:val="00181A0E"/>
    <w:rsid w:val="0018214C"/>
    <w:rsid w:val="00182243"/>
    <w:rsid w:val="00184016"/>
    <w:rsid w:val="00184656"/>
    <w:rsid w:val="00184F22"/>
    <w:rsid w:val="00185312"/>
    <w:rsid w:val="00185475"/>
    <w:rsid w:val="00185CE7"/>
    <w:rsid w:val="001862CB"/>
    <w:rsid w:val="0018689E"/>
    <w:rsid w:val="001872E0"/>
    <w:rsid w:val="00187518"/>
    <w:rsid w:val="00187C94"/>
    <w:rsid w:val="00187E09"/>
    <w:rsid w:val="001914F2"/>
    <w:rsid w:val="00191F86"/>
    <w:rsid w:val="00192502"/>
    <w:rsid w:val="001931B0"/>
    <w:rsid w:val="001947E1"/>
    <w:rsid w:val="00195588"/>
    <w:rsid w:val="001965E0"/>
    <w:rsid w:val="001A048F"/>
    <w:rsid w:val="001A0AC8"/>
    <w:rsid w:val="001A28E4"/>
    <w:rsid w:val="001A3E37"/>
    <w:rsid w:val="001A44E2"/>
    <w:rsid w:val="001A4C2C"/>
    <w:rsid w:val="001A5A88"/>
    <w:rsid w:val="001A62AD"/>
    <w:rsid w:val="001A685E"/>
    <w:rsid w:val="001B0655"/>
    <w:rsid w:val="001B12AC"/>
    <w:rsid w:val="001B1590"/>
    <w:rsid w:val="001B3EF2"/>
    <w:rsid w:val="001B4F10"/>
    <w:rsid w:val="001B55D5"/>
    <w:rsid w:val="001B5716"/>
    <w:rsid w:val="001B64CD"/>
    <w:rsid w:val="001C089B"/>
    <w:rsid w:val="001C0EC2"/>
    <w:rsid w:val="001C1044"/>
    <w:rsid w:val="001C1456"/>
    <w:rsid w:val="001C19C5"/>
    <w:rsid w:val="001C1C86"/>
    <w:rsid w:val="001C2017"/>
    <w:rsid w:val="001C29F7"/>
    <w:rsid w:val="001C32CA"/>
    <w:rsid w:val="001C41FD"/>
    <w:rsid w:val="001C47BA"/>
    <w:rsid w:val="001C560A"/>
    <w:rsid w:val="001C6705"/>
    <w:rsid w:val="001C7830"/>
    <w:rsid w:val="001C7B96"/>
    <w:rsid w:val="001D06C7"/>
    <w:rsid w:val="001D3E9F"/>
    <w:rsid w:val="001D4025"/>
    <w:rsid w:val="001D466B"/>
    <w:rsid w:val="001D4753"/>
    <w:rsid w:val="001D4A18"/>
    <w:rsid w:val="001D4B8C"/>
    <w:rsid w:val="001D64D7"/>
    <w:rsid w:val="001D7655"/>
    <w:rsid w:val="001D7E8C"/>
    <w:rsid w:val="001E2344"/>
    <w:rsid w:val="001E2918"/>
    <w:rsid w:val="001E3082"/>
    <w:rsid w:val="001E36B5"/>
    <w:rsid w:val="001E4B09"/>
    <w:rsid w:val="001E5C0A"/>
    <w:rsid w:val="001E6991"/>
    <w:rsid w:val="001E7099"/>
    <w:rsid w:val="001F116E"/>
    <w:rsid w:val="001F1251"/>
    <w:rsid w:val="001F314E"/>
    <w:rsid w:val="001F3593"/>
    <w:rsid w:val="001F394F"/>
    <w:rsid w:val="001F3E85"/>
    <w:rsid w:val="001F3FD2"/>
    <w:rsid w:val="001F43AA"/>
    <w:rsid w:val="001F5FA1"/>
    <w:rsid w:val="001F687B"/>
    <w:rsid w:val="001F739A"/>
    <w:rsid w:val="0020186B"/>
    <w:rsid w:val="00201B19"/>
    <w:rsid w:val="00201CD9"/>
    <w:rsid w:val="00202394"/>
    <w:rsid w:val="0020319F"/>
    <w:rsid w:val="002041CE"/>
    <w:rsid w:val="00204718"/>
    <w:rsid w:val="00204794"/>
    <w:rsid w:val="002049C3"/>
    <w:rsid w:val="00204D4F"/>
    <w:rsid w:val="00204F8E"/>
    <w:rsid w:val="00211271"/>
    <w:rsid w:val="00213F14"/>
    <w:rsid w:val="00214C1C"/>
    <w:rsid w:val="002159EE"/>
    <w:rsid w:val="00215CA2"/>
    <w:rsid w:val="00216260"/>
    <w:rsid w:val="002202ED"/>
    <w:rsid w:val="0022034D"/>
    <w:rsid w:val="002205B3"/>
    <w:rsid w:val="00221430"/>
    <w:rsid w:val="002217EB"/>
    <w:rsid w:val="00223644"/>
    <w:rsid w:val="00224A7B"/>
    <w:rsid w:val="00225489"/>
    <w:rsid w:val="002255A6"/>
    <w:rsid w:val="002256FC"/>
    <w:rsid w:val="00226800"/>
    <w:rsid w:val="0022684C"/>
    <w:rsid w:val="002274AD"/>
    <w:rsid w:val="00227F09"/>
    <w:rsid w:val="002312E8"/>
    <w:rsid w:val="002337BF"/>
    <w:rsid w:val="0023399F"/>
    <w:rsid w:val="002359E1"/>
    <w:rsid w:val="00235A3E"/>
    <w:rsid w:val="002417A2"/>
    <w:rsid w:val="00241AFD"/>
    <w:rsid w:val="00241E9B"/>
    <w:rsid w:val="00243396"/>
    <w:rsid w:val="00243CFF"/>
    <w:rsid w:val="00244E0A"/>
    <w:rsid w:val="0024795B"/>
    <w:rsid w:val="00247CE5"/>
    <w:rsid w:val="00247D8D"/>
    <w:rsid w:val="00250E42"/>
    <w:rsid w:val="00252324"/>
    <w:rsid w:val="002530C6"/>
    <w:rsid w:val="00253581"/>
    <w:rsid w:val="00253B52"/>
    <w:rsid w:val="0025409A"/>
    <w:rsid w:val="00254B66"/>
    <w:rsid w:val="00256926"/>
    <w:rsid w:val="00262709"/>
    <w:rsid w:val="002633AB"/>
    <w:rsid w:val="00263E4F"/>
    <w:rsid w:val="00264CF1"/>
    <w:rsid w:val="0026785F"/>
    <w:rsid w:val="00267CFA"/>
    <w:rsid w:val="00270A9E"/>
    <w:rsid w:val="002712CD"/>
    <w:rsid w:val="00271C10"/>
    <w:rsid w:val="00272D70"/>
    <w:rsid w:val="0027361D"/>
    <w:rsid w:val="00273AFE"/>
    <w:rsid w:val="00274207"/>
    <w:rsid w:val="002767AC"/>
    <w:rsid w:val="002778F1"/>
    <w:rsid w:val="00280623"/>
    <w:rsid w:val="00280BC3"/>
    <w:rsid w:val="002810B8"/>
    <w:rsid w:val="002812B5"/>
    <w:rsid w:val="00281724"/>
    <w:rsid w:val="00281FF0"/>
    <w:rsid w:val="00282234"/>
    <w:rsid w:val="002840BF"/>
    <w:rsid w:val="002859B6"/>
    <w:rsid w:val="00285E35"/>
    <w:rsid w:val="002878B9"/>
    <w:rsid w:val="00290058"/>
    <w:rsid w:val="00291517"/>
    <w:rsid w:val="002921F5"/>
    <w:rsid w:val="00294D91"/>
    <w:rsid w:val="00296442"/>
    <w:rsid w:val="002974FB"/>
    <w:rsid w:val="002A143C"/>
    <w:rsid w:val="002A1559"/>
    <w:rsid w:val="002A2418"/>
    <w:rsid w:val="002A3A74"/>
    <w:rsid w:val="002A4B06"/>
    <w:rsid w:val="002A51FB"/>
    <w:rsid w:val="002A77E0"/>
    <w:rsid w:val="002B07A5"/>
    <w:rsid w:val="002B0E4E"/>
    <w:rsid w:val="002B2658"/>
    <w:rsid w:val="002B3284"/>
    <w:rsid w:val="002B32E2"/>
    <w:rsid w:val="002B3412"/>
    <w:rsid w:val="002B3B8E"/>
    <w:rsid w:val="002B5574"/>
    <w:rsid w:val="002B5953"/>
    <w:rsid w:val="002B59B2"/>
    <w:rsid w:val="002C09CD"/>
    <w:rsid w:val="002C1F0C"/>
    <w:rsid w:val="002C244D"/>
    <w:rsid w:val="002C4A3B"/>
    <w:rsid w:val="002C4C3E"/>
    <w:rsid w:val="002C5DBB"/>
    <w:rsid w:val="002C6553"/>
    <w:rsid w:val="002D0907"/>
    <w:rsid w:val="002D0AC2"/>
    <w:rsid w:val="002D11E1"/>
    <w:rsid w:val="002D21FA"/>
    <w:rsid w:val="002D2270"/>
    <w:rsid w:val="002D3E82"/>
    <w:rsid w:val="002D5304"/>
    <w:rsid w:val="002D5649"/>
    <w:rsid w:val="002D6274"/>
    <w:rsid w:val="002D628F"/>
    <w:rsid w:val="002E0A8C"/>
    <w:rsid w:val="002E1750"/>
    <w:rsid w:val="002E315E"/>
    <w:rsid w:val="002E3838"/>
    <w:rsid w:val="002E43CD"/>
    <w:rsid w:val="002E4637"/>
    <w:rsid w:val="002E4DD1"/>
    <w:rsid w:val="002E53ED"/>
    <w:rsid w:val="002E5E29"/>
    <w:rsid w:val="002E6F52"/>
    <w:rsid w:val="002F0012"/>
    <w:rsid w:val="002F2420"/>
    <w:rsid w:val="002F2A49"/>
    <w:rsid w:val="002F2EF5"/>
    <w:rsid w:val="002F447B"/>
    <w:rsid w:val="002F4C7D"/>
    <w:rsid w:val="002F5D0E"/>
    <w:rsid w:val="002F5DCC"/>
    <w:rsid w:val="002F6193"/>
    <w:rsid w:val="0030032A"/>
    <w:rsid w:val="00301176"/>
    <w:rsid w:val="00302F22"/>
    <w:rsid w:val="003045DA"/>
    <w:rsid w:val="00305B62"/>
    <w:rsid w:val="003120F3"/>
    <w:rsid w:val="00313954"/>
    <w:rsid w:val="00313FC7"/>
    <w:rsid w:val="00314566"/>
    <w:rsid w:val="003153D6"/>
    <w:rsid w:val="0031612E"/>
    <w:rsid w:val="0031630F"/>
    <w:rsid w:val="003163D9"/>
    <w:rsid w:val="00317349"/>
    <w:rsid w:val="0031742C"/>
    <w:rsid w:val="00323293"/>
    <w:rsid w:val="0032576A"/>
    <w:rsid w:val="003263FD"/>
    <w:rsid w:val="00331426"/>
    <w:rsid w:val="00332809"/>
    <w:rsid w:val="0033469F"/>
    <w:rsid w:val="00334E14"/>
    <w:rsid w:val="00334E4E"/>
    <w:rsid w:val="00335251"/>
    <w:rsid w:val="00335478"/>
    <w:rsid w:val="00336A6F"/>
    <w:rsid w:val="0034143F"/>
    <w:rsid w:val="003414A4"/>
    <w:rsid w:val="00341CAE"/>
    <w:rsid w:val="0034220B"/>
    <w:rsid w:val="00343D71"/>
    <w:rsid w:val="00345642"/>
    <w:rsid w:val="003463A5"/>
    <w:rsid w:val="0034780E"/>
    <w:rsid w:val="00347B0F"/>
    <w:rsid w:val="00350EFF"/>
    <w:rsid w:val="0035246D"/>
    <w:rsid w:val="0035262C"/>
    <w:rsid w:val="00352C43"/>
    <w:rsid w:val="00353774"/>
    <w:rsid w:val="0035489A"/>
    <w:rsid w:val="003549FD"/>
    <w:rsid w:val="00354B72"/>
    <w:rsid w:val="003561E1"/>
    <w:rsid w:val="0035771F"/>
    <w:rsid w:val="00360F91"/>
    <w:rsid w:val="003612C5"/>
    <w:rsid w:val="003612F8"/>
    <w:rsid w:val="003619DC"/>
    <w:rsid w:val="003625BF"/>
    <w:rsid w:val="0036321A"/>
    <w:rsid w:val="0036405C"/>
    <w:rsid w:val="0036426C"/>
    <w:rsid w:val="00365FE3"/>
    <w:rsid w:val="00366336"/>
    <w:rsid w:val="00366516"/>
    <w:rsid w:val="00370059"/>
    <w:rsid w:val="00370318"/>
    <w:rsid w:val="0037098F"/>
    <w:rsid w:val="003709A6"/>
    <w:rsid w:val="00370AE7"/>
    <w:rsid w:val="00371DE7"/>
    <w:rsid w:val="00372A7B"/>
    <w:rsid w:val="00372DFE"/>
    <w:rsid w:val="00372FF3"/>
    <w:rsid w:val="00373C92"/>
    <w:rsid w:val="00374954"/>
    <w:rsid w:val="0037686E"/>
    <w:rsid w:val="00376950"/>
    <w:rsid w:val="00376D79"/>
    <w:rsid w:val="00377A35"/>
    <w:rsid w:val="00377A6F"/>
    <w:rsid w:val="0038167A"/>
    <w:rsid w:val="00383236"/>
    <w:rsid w:val="00383889"/>
    <w:rsid w:val="0038439E"/>
    <w:rsid w:val="0038466B"/>
    <w:rsid w:val="003846E7"/>
    <w:rsid w:val="00384F60"/>
    <w:rsid w:val="003854A0"/>
    <w:rsid w:val="003876ED"/>
    <w:rsid w:val="0039044D"/>
    <w:rsid w:val="003905D2"/>
    <w:rsid w:val="00390D56"/>
    <w:rsid w:val="00393665"/>
    <w:rsid w:val="0039442E"/>
    <w:rsid w:val="003953E3"/>
    <w:rsid w:val="00396133"/>
    <w:rsid w:val="0039642B"/>
    <w:rsid w:val="00397DCE"/>
    <w:rsid w:val="003A080F"/>
    <w:rsid w:val="003A1506"/>
    <w:rsid w:val="003A19DC"/>
    <w:rsid w:val="003A1EEB"/>
    <w:rsid w:val="003A2496"/>
    <w:rsid w:val="003A2B5C"/>
    <w:rsid w:val="003A35D9"/>
    <w:rsid w:val="003A4BA6"/>
    <w:rsid w:val="003A4D84"/>
    <w:rsid w:val="003A5F94"/>
    <w:rsid w:val="003A6581"/>
    <w:rsid w:val="003A7107"/>
    <w:rsid w:val="003A7410"/>
    <w:rsid w:val="003A76C7"/>
    <w:rsid w:val="003A7C3C"/>
    <w:rsid w:val="003B0158"/>
    <w:rsid w:val="003B0A45"/>
    <w:rsid w:val="003B0A52"/>
    <w:rsid w:val="003B19B0"/>
    <w:rsid w:val="003B1DB5"/>
    <w:rsid w:val="003B2B70"/>
    <w:rsid w:val="003B2C5E"/>
    <w:rsid w:val="003B4830"/>
    <w:rsid w:val="003B54BB"/>
    <w:rsid w:val="003B6FEA"/>
    <w:rsid w:val="003C0DCC"/>
    <w:rsid w:val="003C1292"/>
    <w:rsid w:val="003C1696"/>
    <w:rsid w:val="003C2391"/>
    <w:rsid w:val="003C2708"/>
    <w:rsid w:val="003C2BEF"/>
    <w:rsid w:val="003C35D3"/>
    <w:rsid w:val="003C4AEC"/>
    <w:rsid w:val="003C4EFE"/>
    <w:rsid w:val="003C5367"/>
    <w:rsid w:val="003C54DB"/>
    <w:rsid w:val="003C5C7D"/>
    <w:rsid w:val="003C6252"/>
    <w:rsid w:val="003C796D"/>
    <w:rsid w:val="003D0093"/>
    <w:rsid w:val="003D07A2"/>
    <w:rsid w:val="003D163E"/>
    <w:rsid w:val="003D1836"/>
    <w:rsid w:val="003D3813"/>
    <w:rsid w:val="003D3FAF"/>
    <w:rsid w:val="003D5A88"/>
    <w:rsid w:val="003D5C57"/>
    <w:rsid w:val="003D6ADF"/>
    <w:rsid w:val="003D6F47"/>
    <w:rsid w:val="003E07EE"/>
    <w:rsid w:val="003E0833"/>
    <w:rsid w:val="003E0A9B"/>
    <w:rsid w:val="003E1225"/>
    <w:rsid w:val="003E1A4B"/>
    <w:rsid w:val="003E2A48"/>
    <w:rsid w:val="003E2EB9"/>
    <w:rsid w:val="003E4B30"/>
    <w:rsid w:val="003E51FD"/>
    <w:rsid w:val="003E5C8C"/>
    <w:rsid w:val="003E5EF2"/>
    <w:rsid w:val="003E737B"/>
    <w:rsid w:val="003E7C64"/>
    <w:rsid w:val="003F0A2D"/>
    <w:rsid w:val="003F0F9E"/>
    <w:rsid w:val="003F1C22"/>
    <w:rsid w:val="003F1CF7"/>
    <w:rsid w:val="003F2E52"/>
    <w:rsid w:val="003F2FAC"/>
    <w:rsid w:val="003F3588"/>
    <w:rsid w:val="003F4C43"/>
    <w:rsid w:val="003F4D67"/>
    <w:rsid w:val="003F4FF6"/>
    <w:rsid w:val="003F552E"/>
    <w:rsid w:val="003F7CE6"/>
    <w:rsid w:val="00400294"/>
    <w:rsid w:val="004003E4"/>
    <w:rsid w:val="004005E7"/>
    <w:rsid w:val="0040074D"/>
    <w:rsid w:val="00400D22"/>
    <w:rsid w:val="00401570"/>
    <w:rsid w:val="004015E2"/>
    <w:rsid w:val="0040189E"/>
    <w:rsid w:val="00401C65"/>
    <w:rsid w:val="0040269C"/>
    <w:rsid w:val="0040281D"/>
    <w:rsid w:val="00403417"/>
    <w:rsid w:val="00405795"/>
    <w:rsid w:val="00411EB7"/>
    <w:rsid w:val="00413DE7"/>
    <w:rsid w:val="004141AF"/>
    <w:rsid w:val="00414273"/>
    <w:rsid w:val="00414827"/>
    <w:rsid w:val="004148FB"/>
    <w:rsid w:val="0041527B"/>
    <w:rsid w:val="00415BDB"/>
    <w:rsid w:val="00416402"/>
    <w:rsid w:val="004166AA"/>
    <w:rsid w:val="0041714D"/>
    <w:rsid w:val="004203B6"/>
    <w:rsid w:val="004203FE"/>
    <w:rsid w:val="00421D21"/>
    <w:rsid w:val="00422342"/>
    <w:rsid w:val="00422B00"/>
    <w:rsid w:val="00422D3B"/>
    <w:rsid w:val="004230D8"/>
    <w:rsid w:val="004248A5"/>
    <w:rsid w:val="004254BF"/>
    <w:rsid w:val="00426971"/>
    <w:rsid w:val="0043146F"/>
    <w:rsid w:val="00431F29"/>
    <w:rsid w:val="0043205A"/>
    <w:rsid w:val="004329A7"/>
    <w:rsid w:val="0043372F"/>
    <w:rsid w:val="00433872"/>
    <w:rsid w:val="00434306"/>
    <w:rsid w:val="0043439D"/>
    <w:rsid w:val="00436F0C"/>
    <w:rsid w:val="00436F6D"/>
    <w:rsid w:val="0044021D"/>
    <w:rsid w:val="00440631"/>
    <w:rsid w:val="00440F5A"/>
    <w:rsid w:val="004419DF"/>
    <w:rsid w:val="00441A0A"/>
    <w:rsid w:val="00444758"/>
    <w:rsid w:val="004450FD"/>
    <w:rsid w:val="004455D4"/>
    <w:rsid w:val="00445916"/>
    <w:rsid w:val="00445C2A"/>
    <w:rsid w:val="004460C7"/>
    <w:rsid w:val="00446B91"/>
    <w:rsid w:val="00446E30"/>
    <w:rsid w:val="00446E41"/>
    <w:rsid w:val="0044778C"/>
    <w:rsid w:val="00447CD0"/>
    <w:rsid w:val="0045019B"/>
    <w:rsid w:val="004512AE"/>
    <w:rsid w:val="00452243"/>
    <w:rsid w:val="00452D40"/>
    <w:rsid w:val="00452DCD"/>
    <w:rsid w:val="00453524"/>
    <w:rsid w:val="00454705"/>
    <w:rsid w:val="00456093"/>
    <w:rsid w:val="004614F3"/>
    <w:rsid w:val="00462261"/>
    <w:rsid w:val="0046251E"/>
    <w:rsid w:val="004629F1"/>
    <w:rsid w:val="00462BF3"/>
    <w:rsid w:val="0046302B"/>
    <w:rsid w:val="0046328D"/>
    <w:rsid w:val="004643CE"/>
    <w:rsid w:val="00464D49"/>
    <w:rsid w:val="004651F8"/>
    <w:rsid w:val="004657D3"/>
    <w:rsid w:val="00466076"/>
    <w:rsid w:val="004679EF"/>
    <w:rsid w:val="00467BC9"/>
    <w:rsid w:val="00470B3F"/>
    <w:rsid w:val="00470CEA"/>
    <w:rsid w:val="0047189B"/>
    <w:rsid w:val="00471B18"/>
    <w:rsid w:val="00471C60"/>
    <w:rsid w:val="00471E83"/>
    <w:rsid w:val="00472593"/>
    <w:rsid w:val="00473380"/>
    <w:rsid w:val="0047376A"/>
    <w:rsid w:val="0047386F"/>
    <w:rsid w:val="0047404F"/>
    <w:rsid w:val="00476583"/>
    <w:rsid w:val="00477949"/>
    <w:rsid w:val="004806DB"/>
    <w:rsid w:val="00481939"/>
    <w:rsid w:val="00481D58"/>
    <w:rsid w:val="00482D78"/>
    <w:rsid w:val="00483021"/>
    <w:rsid w:val="004831D9"/>
    <w:rsid w:val="004832A9"/>
    <w:rsid w:val="00483909"/>
    <w:rsid w:val="00484915"/>
    <w:rsid w:val="00484B33"/>
    <w:rsid w:val="00484FAB"/>
    <w:rsid w:val="00485153"/>
    <w:rsid w:val="00485B49"/>
    <w:rsid w:val="00486874"/>
    <w:rsid w:val="00490E85"/>
    <w:rsid w:val="004930B6"/>
    <w:rsid w:val="0049386E"/>
    <w:rsid w:val="0049656A"/>
    <w:rsid w:val="00496C3F"/>
    <w:rsid w:val="00496DF3"/>
    <w:rsid w:val="004970BC"/>
    <w:rsid w:val="00497AF4"/>
    <w:rsid w:val="00497F9B"/>
    <w:rsid w:val="004A0FEE"/>
    <w:rsid w:val="004A14BF"/>
    <w:rsid w:val="004A2843"/>
    <w:rsid w:val="004A2A8B"/>
    <w:rsid w:val="004A3576"/>
    <w:rsid w:val="004A3CE9"/>
    <w:rsid w:val="004A3E5A"/>
    <w:rsid w:val="004A582D"/>
    <w:rsid w:val="004A586B"/>
    <w:rsid w:val="004A6006"/>
    <w:rsid w:val="004A7E5F"/>
    <w:rsid w:val="004B0BC1"/>
    <w:rsid w:val="004B12E4"/>
    <w:rsid w:val="004B2237"/>
    <w:rsid w:val="004B25E8"/>
    <w:rsid w:val="004B2603"/>
    <w:rsid w:val="004B2767"/>
    <w:rsid w:val="004B34AD"/>
    <w:rsid w:val="004B34FF"/>
    <w:rsid w:val="004B380B"/>
    <w:rsid w:val="004B461B"/>
    <w:rsid w:val="004B46C6"/>
    <w:rsid w:val="004B4E45"/>
    <w:rsid w:val="004B6742"/>
    <w:rsid w:val="004B74FF"/>
    <w:rsid w:val="004C0648"/>
    <w:rsid w:val="004C107B"/>
    <w:rsid w:val="004C11DD"/>
    <w:rsid w:val="004C1432"/>
    <w:rsid w:val="004C343F"/>
    <w:rsid w:val="004C406D"/>
    <w:rsid w:val="004C49E9"/>
    <w:rsid w:val="004C4E1B"/>
    <w:rsid w:val="004C51A0"/>
    <w:rsid w:val="004C5D15"/>
    <w:rsid w:val="004C64AF"/>
    <w:rsid w:val="004C6B44"/>
    <w:rsid w:val="004C701F"/>
    <w:rsid w:val="004D0066"/>
    <w:rsid w:val="004D0896"/>
    <w:rsid w:val="004D0C86"/>
    <w:rsid w:val="004D1909"/>
    <w:rsid w:val="004D5724"/>
    <w:rsid w:val="004D59CA"/>
    <w:rsid w:val="004D658F"/>
    <w:rsid w:val="004D699A"/>
    <w:rsid w:val="004E0509"/>
    <w:rsid w:val="004E360E"/>
    <w:rsid w:val="004E54DC"/>
    <w:rsid w:val="004E7253"/>
    <w:rsid w:val="004E7E89"/>
    <w:rsid w:val="004F1016"/>
    <w:rsid w:val="004F2672"/>
    <w:rsid w:val="004F3851"/>
    <w:rsid w:val="004F3FF2"/>
    <w:rsid w:val="004F41D1"/>
    <w:rsid w:val="004F4E8D"/>
    <w:rsid w:val="004F5B38"/>
    <w:rsid w:val="004F6074"/>
    <w:rsid w:val="004F6EAA"/>
    <w:rsid w:val="0050060B"/>
    <w:rsid w:val="00501E69"/>
    <w:rsid w:val="00502334"/>
    <w:rsid w:val="0050612F"/>
    <w:rsid w:val="00506662"/>
    <w:rsid w:val="00506AB3"/>
    <w:rsid w:val="005073FA"/>
    <w:rsid w:val="0050766E"/>
    <w:rsid w:val="00507BE9"/>
    <w:rsid w:val="00510A3D"/>
    <w:rsid w:val="00510D7B"/>
    <w:rsid w:val="00511B25"/>
    <w:rsid w:val="00512A20"/>
    <w:rsid w:val="00514268"/>
    <w:rsid w:val="00516DC9"/>
    <w:rsid w:val="00517475"/>
    <w:rsid w:val="00517C2F"/>
    <w:rsid w:val="00517C46"/>
    <w:rsid w:val="005210FA"/>
    <w:rsid w:val="00521108"/>
    <w:rsid w:val="00521BBC"/>
    <w:rsid w:val="00521C85"/>
    <w:rsid w:val="0052228E"/>
    <w:rsid w:val="005225A1"/>
    <w:rsid w:val="00522863"/>
    <w:rsid w:val="00523AE7"/>
    <w:rsid w:val="00524552"/>
    <w:rsid w:val="00525F0B"/>
    <w:rsid w:val="005278C9"/>
    <w:rsid w:val="0053038C"/>
    <w:rsid w:val="005304EC"/>
    <w:rsid w:val="005308EA"/>
    <w:rsid w:val="00531AF2"/>
    <w:rsid w:val="00534A3F"/>
    <w:rsid w:val="0053723A"/>
    <w:rsid w:val="00537550"/>
    <w:rsid w:val="00537716"/>
    <w:rsid w:val="00537C51"/>
    <w:rsid w:val="00540897"/>
    <w:rsid w:val="00540FFA"/>
    <w:rsid w:val="0054138D"/>
    <w:rsid w:val="00541836"/>
    <w:rsid w:val="00542018"/>
    <w:rsid w:val="00544896"/>
    <w:rsid w:val="00545166"/>
    <w:rsid w:val="005501BB"/>
    <w:rsid w:val="005502A6"/>
    <w:rsid w:val="00552512"/>
    <w:rsid w:val="00554224"/>
    <w:rsid w:val="00554DD6"/>
    <w:rsid w:val="005557A7"/>
    <w:rsid w:val="00555FCC"/>
    <w:rsid w:val="00557FB2"/>
    <w:rsid w:val="00560710"/>
    <w:rsid w:val="00560A16"/>
    <w:rsid w:val="00561C87"/>
    <w:rsid w:val="005620C9"/>
    <w:rsid w:val="00563C36"/>
    <w:rsid w:val="00564003"/>
    <w:rsid w:val="00565AD9"/>
    <w:rsid w:val="005668FD"/>
    <w:rsid w:val="00567225"/>
    <w:rsid w:val="005672AC"/>
    <w:rsid w:val="00567BB3"/>
    <w:rsid w:val="0057020E"/>
    <w:rsid w:val="00570664"/>
    <w:rsid w:val="005719BE"/>
    <w:rsid w:val="00572769"/>
    <w:rsid w:val="00573C13"/>
    <w:rsid w:val="00573FC2"/>
    <w:rsid w:val="0057419A"/>
    <w:rsid w:val="00574DEE"/>
    <w:rsid w:val="0057514B"/>
    <w:rsid w:val="00575D5B"/>
    <w:rsid w:val="00575D88"/>
    <w:rsid w:val="0057785A"/>
    <w:rsid w:val="00577B28"/>
    <w:rsid w:val="0058036A"/>
    <w:rsid w:val="005809CA"/>
    <w:rsid w:val="00582263"/>
    <w:rsid w:val="0058287A"/>
    <w:rsid w:val="00582B9E"/>
    <w:rsid w:val="00582CC6"/>
    <w:rsid w:val="00583005"/>
    <w:rsid w:val="00583DED"/>
    <w:rsid w:val="00583E8F"/>
    <w:rsid w:val="00584A99"/>
    <w:rsid w:val="00584B72"/>
    <w:rsid w:val="00585A5C"/>
    <w:rsid w:val="0058668B"/>
    <w:rsid w:val="00587516"/>
    <w:rsid w:val="0059050E"/>
    <w:rsid w:val="005905B9"/>
    <w:rsid w:val="00590F75"/>
    <w:rsid w:val="00591546"/>
    <w:rsid w:val="00591917"/>
    <w:rsid w:val="00592310"/>
    <w:rsid w:val="00592D1F"/>
    <w:rsid w:val="005934BE"/>
    <w:rsid w:val="00593F37"/>
    <w:rsid w:val="00594634"/>
    <w:rsid w:val="00594AD3"/>
    <w:rsid w:val="0059507F"/>
    <w:rsid w:val="0059533A"/>
    <w:rsid w:val="00595492"/>
    <w:rsid w:val="00596363"/>
    <w:rsid w:val="00596D8A"/>
    <w:rsid w:val="005970C3"/>
    <w:rsid w:val="005A013F"/>
    <w:rsid w:val="005A040D"/>
    <w:rsid w:val="005A0A7C"/>
    <w:rsid w:val="005A1D8D"/>
    <w:rsid w:val="005A268F"/>
    <w:rsid w:val="005A3109"/>
    <w:rsid w:val="005A3486"/>
    <w:rsid w:val="005A3E81"/>
    <w:rsid w:val="005A49B5"/>
    <w:rsid w:val="005A6523"/>
    <w:rsid w:val="005A7080"/>
    <w:rsid w:val="005B027C"/>
    <w:rsid w:val="005B0A8F"/>
    <w:rsid w:val="005B0D10"/>
    <w:rsid w:val="005B0E58"/>
    <w:rsid w:val="005B12E3"/>
    <w:rsid w:val="005B3361"/>
    <w:rsid w:val="005B35A4"/>
    <w:rsid w:val="005B4F2C"/>
    <w:rsid w:val="005B5150"/>
    <w:rsid w:val="005B5C0D"/>
    <w:rsid w:val="005B5EF3"/>
    <w:rsid w:val="005C16DB"/>
    <w:rsid w:val="005C2031"/>
    <w:rsid w:val="005C4750"/>
    <w:rsid w:val="005C4AD1"/>
    <w:rsid w:val="005C509E"/>
    <w:rsid w:val="005C5346"/>
    <w:rsid w:val="005C53CE"/>
    <w:rsid w:val="005C5708"/>
    <w:rsid w:val="005C5D64"/>
    <w:rsid w:val="005C6DAB"/>
    <w:rsid w:val="005C751D"/>
    <w:rsid w:val="005D01F7"/>
    <w:rsid w:val="005D0612"/>
    <w:rsid w:val="005D0A5B"/>
    <w:rsid w:val="005D0A74"/>
    <w:rsid w:val="005D178E"/>
    <w:rsid w:val="005D2D28"/>
    <w:rsid w:val="005D45BD"/>
    <w:rsid w:val="005D4E90"/>
    <w:rsid w:val="005D54A0"/>
    <w:rsid w:val="005D6303"/>
    <w:rsid w:val="005D72BF"/>
    <w:rsid w:val="005D7DCA"/>
    <w:rsid w:val="005E12E9"/>
    <w:rsid w:val="005E1346"/>
    <w:rsid w:val="005E16F3"/>
    <w:rsid w:val="005E197C"/>
    <w:rsid w:val="005E3075"/>
    <w:rsid w:val="005E3BAB"/>
    <w:rsid w:val="005F19C4"/>
    <w:rsid w:val="005F2144"/>
    <w:rsid w:val="005F26EC"/>
    <w:rsid w:val="005F4353"/>
    <w:rsid w:val="005F45B9"/>
    <w:rsid w:val="005F65A6"/>
    <w:rsid w:val="005F6853"/>
    <w:rsid w:val="005F7D11"/>
    <w:rsid w:val="006002BC"/>
    <w:rsid w:val="00600308"/>
    <w:rsid w:val="00600C51"/>
    <w:rsid w:val="00600C9F"/>
    <w:rsid w:val="006025F6"/>
    <w:rsid w:val="00603769"/>
    <w:rsid w:val="006041B6"/>
    <w:rsid w:val="006045B5"/>
    <w:rsid w:val="00604CF9"/>
    <w:rsid w:val="00605E36"/>
    <w:rsid w:val="00607FAD"/>
    <w:rsid w:val="0061097F"/>
    <w:rsid w:val="00610C6C"/>
    <w:rsid w:val="00610DC5"/>
    <w:rsid w:val="00610F15"/>
    <w:rsid w:val="006115B8"/>
    <w:rsid w:val="00611828"/>
    <w:rsid w:val="00611F7B"/>
    <w:rsid w:val="006123AE"/>
    <w:rsid w:val="006125FF"/>
    <w:rsid w:val="006127B4"/>
    <w:rsid w:val="006133DA"/>
    <w:rsid w:val="0061405C"/>
    <w:rsid w:val="00614657"/>
    <w:rsid w:val="0061465D"/>
    <w:rsid w:val="006148FC"/>
    <w:rsid w:val="00615952"/>
    <w:rsid w:val="00615BCA"/>
    <w:rsid w:val="006164D5"/>
    <w:rsid w:val="00616D77"/>
    <w:rsid w:val="006179B3"/>
    <w:rsid w:val="0062293A"/>
    <w:rsid w:val="006238EC"/>
    <w:rsid w:val="006239D7"/>
    <w:rsid w:val="00623A17"/>
    <w:rsid w:val="0062424E"/>
    <w:rsid w:val="006256D0"/>
    <w:rsid w:val="00625C4B"/>
    <w:rsid w:val="00626332"/>
    <w:rsid w:val="006266B4"/>
    <w:rsid w:val="006309AA"/>
    <w:rsid w:val="00630C7E"/>
    <w:rsid w:val="00630C9F"/>
    <w:rsid w:val="0063270A"/>
    <w:rsid w:val="0063568C"/>
    <w:rsid w:val="00636FC5"/>
    <w:rsid w:val="00637009"/>
    <w:rsid w:val="00637D33"/>
    <w:rsid w:val="00642E7D"/>
    <w:rsid w:val="006452C4"/>
    <w:rsid w:val="006500E4"/>
    <w:rsid w:val="0065206B"/>
    <w:rsid w:val="00652323"/>
    <w:rsid w:val="00652A9F"/>
    <w:rsid w:val="00653189"/>
    <w:rsid w:val="006542AA"/>
    <w:rsid w:val="00654A33"/>
    <w:rsid w:val="0065528F"/>
    <w:rsid w:val="00655387"/>
    <w:rsid w:val="00656030"/>
    <w:rsid w:val="006565A6"/>
    <w:rsid w:val="006572D6"/>
    <w:rsid w:val="006575BE"/>
    <w:rsid w:val="00661192"/>
    <w:rsid w:val="00662FBC"/>
    <w:rsid w:val="006644FB"/>
    <w:rsid w:val="0066553C"/>
    <w:rsid w:val="00665926"/>
    <w:rsid w:val="0067025A"/>
    <w:rsid w:val="00670DD8"/>
    <w:rsid w:val="006711E2"/>
    <w:rsid w:val="00671E26"/>
    <w:rsid w:val="00674A17"/>
    <w:rsid w:val="00674C36"/>
    <w:rsid w:val="00676437"/>
    <w:rsid w:val="00680173"/>
    <w:rsid w:val="006810B5"/>
    <w:rsid w:val="00682451"/>
    <w:rsid w:val="006827BE"/>
    <w:rsid w:val="00682EDE"/>
    <w:rsid w:val="00683470"/>
    <w:rsid w:val="00683693"/>
    <w:rsid w:val="00683AFE"/>
    <w:rsid w:val="006842AB"/>
    <w:rsid w:val="00684350"/>
    <w:rsid w:val="006849F2"/>
    <w:rsid w:val="00684E96"/>
    <w:rsid w:val="00685D56"/>
    <w:rsid w:val="00686393"/>
    <w:rsid w:val="00687454"/>
    <w:rsid w:val="006902C9"/>
    <w:rsid w:val="00690EE1"/>
    <w:rsid w:val="00691999"/>
    <w:rsid w:val="006922EE"/>
    <w:rsid w:val="00692A04"/>
    <w:rsid w:val="006941FA"/>
    <w:rsid w:val="00694736"/>
    <w:rsid w:val="00695784"/>
    <w:rsid w:val="006960F7"/>
    <w:rsid w:val="00696A4B"/>
    <w:rsid w:val="00696BD5"/>
    <w:rsid w:val="00696D41"/>
    <w:rsid w:val="00697743"/>
    <w:rsid w:val="006A074E"/>
    <w:rsid w:val="006A0D40"/>
    <w:rsid w:val="006A1D11"/>
    <w:rsid w:val="006A3383"/>
    <w:rsid w:val="006A3FB1"/>
    <w:rsid w:val="006A4B14"/>
    <w:rsid w:val="006A4F50"/>
    <w:rsid w:val="006A5158"/>
    <w:rsid w:val="006A5D95"/>
    <w:rsid w:val="006A67BB"/>
    <w:rsid w:val="006A6895"/>
    <w:rsid w:val="006A7578"/>
    <w:rsid w:val="006B158E"/>
    <w:rsid w:val="006B2038"/>
    <w:rsid w:val="006B38AE"/>
    <w:rsid w:val="006B3D2E"/>
    <w:rsid w:val="006B48FE"/>
    <w:rsid w:val="006B5005"/>
    <w:rsid w:val="006B51B2"/>
    <w:rsid w:val="006B5FD4"/>
    <w:rsid w:val="006B69D7"/>
    <w:rsid w:val="006B6BA0"/>
    <w:rsid w:val="006B7E34"/>
    <w:rsid w:val="006C1CC1"/>
    <w:rsid w:val="006C2938"/>
    <w:rsid w:val="006C2A88"/>
    <w:rsid w:val="006C34ED"/>
    <w:rsid w:val="006C3790"/>
    <w:rsid w:val="006C3FA3"/>
    <w:rsid w:val="006C4647"/>
    <w:rsid w:val="006C4BD5"/>
    <w:rsid w:val="006C5064"/>
    <w:rsid w:val="006C6492"/>
    <w:rsid w:val="006C681E"/>
    <w:rsid w:val="006C6D3F"/>
    <w:rsid w:val="006C747A"/>
    <w:rsid w:val="006D00B6"/>
    <w:rsid w:val="006D268E"/>
    <w:rsid w:val="006D2963"/>
    <w:rsid w:val="006D2B7B"/>
    <w:rsid w:val="006D2FD7"/>
    <w:rsid w:val="006D3C80"/>
    <w:rsid w:val="006D4F8E"/>
    <w:rsid w:val="006D52B9"/>
    <w:rsid w:val="006D60BC"/>
    <w:rsid w:val="006D6B3D"/>
    <w:rsid w:val="006D760B"/>
    <w:rsid w:val="006D7DF8"/>
    <w:rsid w:val="006E2A83"/>
    <w:rsid w:val="006E2E52"/>
    <w:rsid w:val="006E33A3"/>
    <w:rsid w:val="006E36B9"/>
    <w:rsid w:val="006E4470"/>
    <w:rsid w:val="006F2156"/>
    <w:rsid w:val="006F2200"/>
    <w:rsid w:val="006F56B7"/>
    <w:rsid w:val="00700F38"/>
    <w:rsid w:val="00701B25"/>
    <w:rsid w:val="00701E67"/>
    <w:rsid w:val="00703C5A"/>
    <w:rsid w:val="00703E11"/>
    <w:rsid w:val="00705514"/>
    <w:rsid w:val="007057DC"/>
    <w:rsid w:val="00706D6B"/>
    <w:rsid w:val="00710198"/>
    <w:rsid w:val="0071145A"/>
    <w:rsid w:val="00712A3A"/>
    <w:rsid w:val="00712C93"/>
    <w:rsid w:val="00712DF0"/>
    <w:rsid w:val="00712FC6"/>
    <w:rsid w:val="00712FD2"/>
    <w:rsid w:val="00713385"/>
    <w:rsid w:val="007133D5"/>
    <w:rsid w:val="007146C2"/>
    <w:rsid w:val="00714743"/>
    <w:rsid w:val="00714B7C"/>
    <w:rsid w:val="00714EDF"/>
    <w:rsid w:val="007154A1"/>
    <w:rsid w:val="00717AEE"/>
    <w:rsid w:val="00720311"/>
    <w:rsid w:val="00720823"/>
    <w:rsid w:val="00720C2D"/>
    <w:rsid w:val="00721CA5"/>
    <w:rsid w:val="00723565"/>
    <w:rsid w:val="00723B2E"/>
    <w:rsid w:val="007249E9"/>
    <w:rsid w:val="00724FFD"/>
    <w:rsid w:val="0072529B"/>
    <w:rsid w:val="0072605F"/>
    <w:rsid w:val="00726542"/>
    <w:rsid w:val="00726629"/>
    <w:rsid w:val="0072735F"/>
    <w:rsid w:val="00727F43"/>
    <w:rsid w:val="00732730"/>
    <w:rsid w:val="00732D55"/>
    <w:rsid w:val="00733081"/>
    <w:rsid w:val="0073375F"/>
    <w:rsid w:val="00733DF8"/>
    <w:rsid w:val="00733E32"/>
    <w:rsid w:val="007345BD"/>
    <w:rsid w:val="007346FB"/>
    <w:rsid w:val="00735445"/>
    <w:rsid w:val="00735FD1"/>
    <w:rsid w:val="0073790F"/>
    <w:rsid w:val="00740317"/>
    <w:rsid w:val="00741C16"/>
    <w:rsid w:val="00742206"/>
    <w:rsid w:val="00742D69"/>
    <w:rsid w:val="00743FBF"/>
    <w:rsid w:val="0074403E"/>
    <w:rsid w:val="00744D43"/>
    <w:rsid w:val="00745292"/>
    <w:rsid w:val="00745577"/>
    <w:rsid w:val="007458C3"/>
    <w:rsid w:val="00746A0D"/>
    <w:rsid w:val="00747F03"/>
    <w:rsid w:val="0075047B"/>
    <w:rsid w:val="007505E7"/>
    <w:rsid w:val="007516A5"/>
    <w:rsid w:val="00754853"/>
    <w:rsid w:val="007548F7"/>
    <w:rsid w:val="00755380"/>
    <w:rsid w:val="0075549C"/>
    <w:rsid w:val="00755507"/>
    <w:rsid w:val="00755889"/>
    <w:rsid w:val="007558DE"/>
    <w:rsid w:val="00755CA0"/>
    <w:rsid w:val="0075621F"/>
    <w:rsid w:val="00762D35"/>
    <w:rsid w:val="00763B87"/>
    <w:rsid w:val="0076484A"/>
    <w:rsid w:val="00770A27"/>
    <w:rsid w:val="00773843"/>
    <w:rsid w:val="007738A2"/>
    <w:rsid w:val="00773B88"/>
    <w:rsid w:val="00773BAF"/>
    <w:rsid w:val="00773C20"/>
    <w:rsid w:val="00774036"/>
    <w:rsid w:val="007742C4"/>
    <w:rsid w:val="00774347"/>
    <w:rsid w:val="00775118"/>
    <w:rsid w:val="007752C0"/>
    <w:rsid w:val="00775C33"/>
    <w:rsid w:val="007778CC"/>
    <w:rsid w:val="00780106"/>
    <w:rsid w:val="00780597"/>
    <w:rsid w:val="0078486C"/>
    <w:rsid w:val="007849C2"/>
    <w:rsid w:val="00784F46"/>
    <w:rsid w:val="00786327"/>
    <w:rsid w:val="00786B6E"/>
    <w:rsid w:val="007879BA"/>
    <w:rsid w:val="007916B3"/>
    <w:rsid w:val="00791DB2"/>
    <w:rsid w:val="0079215F"/>
    <w:rsid w:val="00792FB3"/>
    <w:rsid w:val="007A0E1D"/>
    <w:rsid w:val="007A1262"/>
    <w:rsid w:val="007A1897"/>
    <w:rsid w:val="007A2F25"/>
    <w:rsid w:val="007A391E"/>
    <w:rsid w:val="007A3BE2"/>
    <w:rsid w:val="007A45D6"/>
    <w:rsid w:val="007A4A3E"/>
    <w:rsid w:val="007A67BC"/>
    <w:rsid w:val="007A68DE"/>
    <w:rsid w:val="007A6B55"/>
    <w:rsid w:val="007A7570"/>
    <w:rsid w:val="007B3750"/>
    <w:rsid w:val="007B39BD"/>
    <w:rsid w:val="007B430F"/>
    <w:rsid w:val="007B4859"/>
    <w:rsid w:val="007B522E"/>
    <w:rsid w:val="007B55FF"/>
    <w:rsid w:val="007B5CE2"/>
    <w:rsid w:val="007B6967"/>
    <w:rsid w:val="007C16C6"/>
    <w:rsid w:val="007C1CD5"/>
    <w:rsid w:val="007C1EA7"/>
    <w:rsid w:val="007C3020"/>
    <w:rsid w:val="007C3CDD"/>
    <w:rsid w:val="007C4EC2"/>
    <w:rsid w:val="007C5A17"/>
    <w:rsid w:val="007C7206"/>
    <w:rsid w:val="007C79DE"/>
    <w:rsid w:val="007D0C17"/>
    <w:rsid w:val="007D39A9"/>
    <w:rsid w:val="007D3AA9"/>
    <w:rsid w:val="007D3B52"/>
    <w:rsid w:val="007D4EF5"/>
    <w:rsid w:val="007D50CE"/>
    <w:rsid w:val="007D51AA"/>
    <w:rsid w:val="007D5480"/>
    <w:rsid w:val="007D5DE3"/>
    <w:rsid w:val="007D7182"/>
    <w:rsid w:val="007E04CD"/>
    <w:rsid w:val="007E133D"/>
    <w:rsid w:val="007E2325"/>
    <w:rsid w:val="007E24E8"/>
    <w:rsid w:val="007E2E30"/>
    <w:rsid w:val="007E2F1A"/>
    <w:rsid w:val="007E5214"/>
    <w:rsid w:val="007E556E"/>
    <w:rsid w:val="007E5E85"/>
    <w:rsid w:val="007E6899"/>
    <w:rsid w:val="007E7C46"/>
    <w:rsid w:val="007F00CA"/>
    <w:rsid w:val="007F0EC3"/>
    <w:rsid w:val="007F0FC8"/>
    <w:rsid w:val="007F150A"/>
    <w:rsid w:val="007F15B6"/>
    <w:rsid w:val="007F188B"/>
    <w:rsid w:val="007F1D50"/>
    <w:rsid w:val="007F26D7"/>
    <w:rsid w:val="007F2BF8"/>
    <w:rsid w:val="007F3352"/>
    <w:rsid w:val="007F662A"/>
    <w:rsid w:val="007F7446"/>
    <w:rsid w:val="00800C9A"/>
    <w:rsid w:val="00801A68"/>
    <w:rsid w:val="00801CE8"/>
    <w:rsid w:val="0080264A"/>
    <w:rsid w:val="008043C4"/>
    <w:rsid w:val="00804C2A"/>
    <w:rsid w:val="00805F9F"/>
    <w:rsid w:val="008066AC"/>
    <w:rsid w:val="00806E6E"/>
    <w:rsid w:val="00812545"/>
    <w:rsid w:val="00814107"/>
    <w:rsid w:val="008161C9"/>
    <w:rsid w:val="0081722B"/>
    <w:rsid w:val="00820612"/>
    <w:rsid w:val="00821A81"/>
    <w:rsid w:val="00821AB5"/>
    <w:rsid w:val="00821CC2"/>
    <w:rsid w:val="00821E67"/>
    <w:rsid w:val="00822D63"/>
    <w:rsid w:val="0082457E"/>
    <w:rsid w:val="008245C8"/>
    <w:rsid w:val="00825CE0"/>
    <w:rsid w:val="008270A4"/>
    <w:rsid w:val="008270D2"/>
    <w:rsid w:val="0083010D"/>
    <w:rsid w:val="00830771"/>
    <w:rsid w:val="00830DBA"/>
    <w:rsid w:val="00831886"/>
    <w:rsid w:val="0083231B"/>
    <w:rsid w:val="0083282E"/>
    <w:rsid w:val="0083308B"/>
    <w:rsid w:val="00835425"/>
    <w:rsid w:val="00835539"/>
    <w:rsid w:val="0083689C"/>
    <w:rsid w:val="008369F2"/>
    <w:rsid w:val="00836B60"/>
    <w:rsid w:val="00836BCC"/>
    <w:rsid w:val="008377FF"/>
    <w:rsid w:val="00840031"/>
    <w:rsid w:val="008405D4"/>
    <w:rsid w:val="008406F9"/>
    <w:rsid w:val="00840919"/>
    <w:rsid w:val="0084224E"/>
    <w:rsid w:val="008424A5"/>
    <w:rsid w:val="00843072"/>
    <w:rsid w:val="0084472C"/>
    <w:rsid w:val="00844F22"/>
    <w:rsid w:val="0084576D"/>
    <w:rsid w:val="00846E92"/>
    <w:rsid w:val="0084722A"/>
    <w:rsid w:val="00851092"/>
    <w:rsid w:val="00853A0F"/>
    <w:rsid w:val="00854BD4"/>
    <w:rsid w:val="008550A5"/>
    <w:rsid w:val="008562B2"/>
    <w:rsid w:val="0085656E"/>
    <w:rsid w:val="00856E3F"/>
    <w:rsid w:val="008574A0"/>
    <w:rsid w:val="00860766"/>
    <w:rsid w:val="0086124B"/>
    <w:rsid w:val="008637CC"/>
    <w:rsid w:val="00863AF6"/>
    <w:rsid w:val="008652BD"/>
    <w:rsid w:val="00866403"/>
    <w:rsid w:val="008677C4"/>
    <w:rsid w:val="0087017F"/>
    <w:rsid w:val="00872868"/>
    <w:rsid w:val="00872F49"/>
    <w:rsid w:val="00873A62"/>
    <w:rsid w:val="00874174"/>
    <w:rsid w:val="0087473D"/>
    <w:rsid w:val="00875817"/>
    <w:rsid w:val="008762C8"/>
    <w:rsid w:val="0087654A"/>
    <w:rsid w:val="008803CA"/>
    <w:rsid w:val="00880513"/>
    <w:rsid w:val="00881938"/>
    <w:rsid w:val="0088242E"/>
    <w:rsid w:val="00882907"/>
    <w:rsid w:val="00882DD8"/>
    <w:rsid w:val="00883219"/>
    <w:rsid w:val="00884E6C"/>
    <w:rsid w:val="008862A0"/>
    <w:rsid w:val="0089099B"/>
    <w:rsid w:val="00891955"/>
    <w:rsid w:val="0089199B"/>
    <w:rsid w:val="008928BB"/>
    <w:rsid w:val="008939A4"/>
    <w:rsid w:val="008940E9"/>
    <w:rsid w:val="0089675E"/>
    <w:rsid w:val="008968CB"/>
    <w:rsid w:val="0089702C"/>
    <w:rsid w:val="00897034"/>
    <w:rsid w:val="00897730"/>
    <w:rsid w:val="008A037A"/>
    <w:rsid w:val="008A058A"/>
    <w:rsid w:val="008A0D28"/>
    <w:rsid w:val="008A386F"/>
    <w:rsid w:val="008A3CA4"/>
    <w:rsid w:val="008A4481"/>
    <w:rsid w:val="008A558F"/>
    <w:rsid w:val="008A5DC5"/>
    <w:rsid w:val="008A6287"/>
    <w:rsid w:val="008A6CF7"/>
    <w:rsid w:val="008A72EA"/>
    <w:rsid w:val="008B091A"/>
    <w:rsid w:val="008B0E63"/>
    <w:rsid w:val="008B1B4B"/>
    <w:rsid w:val="008B26CB"/>
    <w:rsid w:val="008B4C16"/>
    <w:rsid w:val="008B4E6E"/>
    <w:rsid w:val="008B5A29"/>
    <w:rsid w:val="008B5FAC"/>
    <w:rsid w:val="008B66D2"/>
    <w:rsid w:val="008B7634"/>
    <w:rsid w:val="008B7897"/>
    <w:rsid w:val="008B7941"/>
    <w:rsid w:val="008B7DAA"/>
    <w:rsid w:val="008C13E7"/>
    <w:rsid w:val="008C2308"/>
    <w:rsid w:val="008C3652"/>
    <w:rsid w:val="008C50CB"/>
    <w:rsid w:val="008C67E8"/>
    <w:rsid w:val="008C758A"/>
    <w:rsid w:val="008C785C"/>
    <w:rsid w:val="008D0805"/>
    <w:rsid w:val="008D24EE"/>
    <w:rsid w:val="008D31C1"/>
    <w:rsid w:val="008D3538"/>
    <w:rsid w:val="008D51D2"/>
    <w:rsid w:val="008D54F6"/>
    <w:rsid w:val="008D6A09"/>
    <w:rsid w:val="008D7ADA"/>
    <w:rsid w:val="008D7FA3"/>
    <w:rsid w:val="008E0E1F"/>
    <w:rsid w:val="008E22A6"/>
    <w:rsid w:val="008E28C4"/>
    <w:rsid w:val="008E3537"/>
    <w:rsid w:val="008E3975"/>
    <w:rsid w:val="008E3AF7"/>
    <w:rsid w:val="008E4039"/>
    <w:rsid w:val="008E430E"/>
    <w:rsid w:val="008E4844"/>
    <w:rsid w:val="008E4931"/>
    <w:rsid w:val="008E653B"/>
    <w:rsid w:val="008E7DA4"/>
    <w:rsid w:val="008F0B23"/>
    <w:rsid w:val="008F1AA1"/>
    <w:rsid w:val="008F4B86"/>
    <w:rsid w:val="008F52FE"/>
    <w:rsid w:val="008F5E70"/>
    <w:rsid w:val="008F68FD"/>
    <w:rsid w:val="008F7177"/>
    <w:rsid w:val="008F7CC6"/>
    <w:rsid w:val="00901C7D"/>
    <w:rsid w:val="00902966"/>
    <w:rsid w:val="00903FC9"/>
    <w:rsid w:val="00905DF6"/>
    <w:rsid w:val="00905EDF"/>
    <w:rsid w:val="009068B2"/>
    <w:rsid w:val="00907A13"/>
    <w:rsid w:val="009116C2"/>
    <w:rsid w:val="00913493"/>
    <w:rsid w:val="00914FD4"/>
    <w:rsid w:val="00915636"/>
    <w:rsid w:val="00916242"/>
    <w:rsid w:val="00916270"/>
    <w:rsid w:val="00916D8C"/>
    <w:rsid w:val="00916F90"/>
    <w:rsid w:val="00917857"/>
    <w:rsid w:val="0092005D"/>
    <w:rsid w:val="00920688"/>
    <w:rsid w:val="00921DB9"/>
    <w:rsid w:val="009222B7"/>
    <w:rsid w:val="00922F3F"/>
    <w:rsid w:val="00923E1E"/>
    <w:rsid w:val="00923F15"/>
    <w:rsid w:val="00924320"/>
    <w:rsid w:val="00924752"/>
    <w:rsid w:val="0092640B"/>
    <w:rsid w:val="00926B84"/>
    <w:rsid w:val="0093001C"/>
    <w:rsid w:val="009311C7"/>
    <w:rsid w:val="00931314"/>
    <w:rsid w:val="009313D1"/>
    <w:rsid w:val="009316DF"/>
    <w:rsid w:val="0093249F"/>
    <w:rsid w:val="0093307E"/>
    <w:rsid w:val="00933444"/>
    <w:rsid w:val="009350F5"/>
    <w:rsid w:val="00935827"/>
    <w:rsid w:val="00936994"/>
    <w:rsid w:val="0093798B"/>
    <w:rsid w:val="00937D2B"/>
    <w:rsid w:val="00941B91"/>
    <w:rsid w:val="00942ED2"/>
    <w:rsid w:val="00943578"/>
    <w:rsid w:val="009441B6"/>
    <w:rsid w:val="0094471C"/>
    <w:rsid w:val="00947453"/>
    <w:rsid w:val="009474F7"/>
    <w:rsid w:val="00947A50"/>
    <w:rsid w:val="00950A6A"/>
    <w:rsid w:val="00950DEF"/>
    <w:rsid w:val="009511C8"/>
    <w:rsid w:val="009512BB"/>
    <w:rsid w:val="00951601"/>
    <w:rsid w:val="00951AA2"/>
    <w:rsid w:val="009521F2"/>
    <w:rsid w:val="00952EB4"/>
    <w:rsid w:val="00953933"/>
    <w:rsid w:val="009540EE"/>
    <w:rsid w:val="0095439B"/>
    <w:rsid w:val="00955ACE"/>
    <w:rsid w:val="00955D05"/>
    <w:rsid w:val="00956D57"/>
    <w:rsid w:val="00962008"/>
    <w:rsid w:val="00962229"/>
    <w:rsid w:val="00962E56"/>
    <w:rsid w:val="00965A8E"/>
    <w:rsid w:val="00966F22"/>
    <w:rsid w:val="00967117"/>
    <w:rsid w:val="00971116"/>
    <w:rsid w:val="0097165C"/>
    <w:rsid w:val="00972991"/>
    <w:rsid w:val="00974B32"/>
    <w:rsid w:val="00974E18"/>
    <w:rsid w:val="00976AD9"/>
    <w:rsid w:val="00976DEA"/>
    <w:rsid w:val="0097707B"/>
    <w:rsid w:val="00977482"/>
    <w:rsid w:val="00977CC7"/>
    <w:rsid w:val="009808F9"/>
    <w:rsid w:val="009809C7"/>
    <w:rsid w:val="00981127"/>
    <w:rsid w:val="0098201C"/>
    <w:rsid w:val="0098288D"/>
    <w:rsid w:val="00984041"/>
    <w:rsid w:val="009860D8"/>
    <w:rsid w:val="00987321"/>
    <w:rsid w:val="009875A9"/>
    <w:rsid w:val="00990C70"/>
    <w:rsid w:val="00990E91"/>
    <w:rsid w:val="00991615"/>
    <w:rsid w:val="00992D8E"/>
    <w:rsid w:val="00993514"/>
    <w:rsid w:val="009937BE"/>
    <w:rsid w:val="00993BD6"/>
    <w:rsid w:val="00993F04"/>
    <w:rsid w:val="009959BA"/>
    <w:rsid w:val="00995C44"/>
    <w:rsid w:val="00995DA1"/>
    <w:rsid w:val="00996C0E"/>
    <w:rsid w:val="009A1304"/>
    <w:rsid w:val="009A2D69"/>
    <w:rsid w:val="009A3C2E"/>
    <w:rsid w:val="009A40E7"/>
    <w:rsid w:val="009A4C93"/>
    <w:rsid w:val="009A4CEB"/>
    <w:rsid w:val="009A4E41"/>
    <w:rsid w:val="009A6C6B"/>
    <w:rsid w:val="009A6DF6"/>
    <w:rsid w:val="009A7F40"/>
    <w:rsid w:val="009B0E04"/>
    <w:rsid w:val="009B1ED6"/>
    <w:rsid w:val="009B2140"/>
    <w:rsid w:val="009B254D"/>
    <w:rsid w:val="009B3696"/>
    <w:rsid w:val="009B3CDE"/>
    <w:rsid w:val="009B6942"/>
    <w:rsid w:val="009B7001"/>
    <w:rsid w:val="009B786B"/>
    <w:rsid w:val="009B7903"/>
    <w:rsid w:val="009B7B36"/>
    <w:rsid w:val="009B7BEE"/>
    <w:rsid w:val="009C037A"/>
    <w:rsid w:val="009C07D5"/>
    <w:rsid w:val="009C09E5"/>
    <w:rsid w:val="009C1DF0"/>
    <w:rsid w:val="009C4777"/>
    <w:rsid w:val="009C5376"/>
    <w:rsid w:val="009C53D6"/>
    <w:rsid w:val="009C6FE6"/>
    <w:rsid w:val="009C7911"/>
    <w:rsid w:val="009D0134"/>
    <w:rsid w:val="009D027D"/>
    <w:rsid w:val="009D297E"/>
    <w:rsid w:val="009D3076"/>
    <w:rsid w:val="009D379B"/>
    <w:rsid w:val="009D4F84"/>
    <w:rsid w:val="009E0743"/>
    <w:rsid w:val="009E0965"/>
    <w:rsid w:val="009E12CA"/>
    <w:rsid w:val="009E234B"/>
    <w:rsid w:val="009E2596"/>
    <w:rsid w:val="009E295D"/>
    <w:rsid w:val="009E3FC1"/>
    <w:rsid w:val="009E4196"/>
    <w:rsid w:val="009E42A9"/>
    <w:rsid w:val="009E58B6"/>
    <w:rsid w:val="009E6EFD"/>
    <w:rsid w:val="009F0E41"/>
    <w:rsid w:val="009F19CF"/>
    <w:rsid w:val="009F27CF"/>
    <w:rsid w:val="009F292C"/>
    <w:rsid w:val="009F35C3"/>
    <w:rsid w:val="009F437B"/>
    <w:rsid w:val="009F4D5D"/>
    <w:rsid w:val="009F5031"/>
    <w:rsid w:val="009F53FE"/>
    <w:rsid w:val="009F7E3D"/>
    <w:rsid w:val="00A01721"/>
    <w:rsid w:val="00A01E80"/>
    <w:rsid w:val="00A01F28"/>
    <w:rsid w:val="00A0297A"/>
    <w:rsid w:val="00A02B72"/>
    <w:rsid w:val="00A02EE8"/>
    <w:rsid w:val="00A03005"/>
    <w:rsid w:val="00A038AC"/>
    <w:rsid w:val="00A03D22"/>
    <w:rsid w:val="00A04AB9"/>
    <w:rsid w:val="00A04D46"/>
    <w:rsid w:val="00A06938"/>
    <w:rsid w:val="00A06B00"/>
    <w:rsid w:val="00A106EB"/>
    <w:rsid w:val="00A10980"/>
    <w:rsid w:val="00A10BA5"/>
    <w:rsid w:val="00A11ABC"/>
    <w:rsid w:val="00A11E24"/>
    <w:rsid w:val="00A1338D"/>
    <w:rsid w:val="00A137A3"/>
    <w:rsid w:val="00A152C4"/>
    <w:rsid w:val="00A154E2"/>
    <w:rsid w:val="00A168A3"/>
    <w:rsid w:val="00A20159"/>
    <w:rsid w:val="00A203FF"/>
    <w:rsid w:val="00A21F93"/>
    <w:rsid w:val="00A2254E"/>
    <w:rsid w:val="00A22835"/>
    <w:rsid w:val="00A228B8"/>
    <w:rsid w:val="00A22908"/>
    <w:rsid w:val="00A2337C"/>
    <w:rsid w:val="00A23B86"/>
    <w:rsid w:val="00A24ABC"/>
    <w:rsid w:val="00A26C5F"/>
    <w:rsid w:val="00A26D48"/>
    <w:rsid w:val="00A27815"/>
    <w:rsid w:val="00A27A4C"/>
    <w:rsid w:val="00A27BC1"/>
    <w:rsid w:val="00A30E3D"/>
    <w:rsid w:val="00A314FB"/>
    <w:rsid w:val="00A32009"/>
    <w:rsid w:val="00A325ED"/>
    <w:rsid w:val="00A327DB"/>
    <w:rsid w:val="00A330C8"/>
    <w:rsid w:val="00A337EE"/>
    <w:rsid w:val="00A339AA"/>
    <w:rsid w:val="00A34219"/>
    <w:rsid w:val="00A34B9C"/>
    <w:rsid w:val="00A34DFF"/>
    <w:rsid w:val="00A41FC3"/>
    <w:rsid w:val="00A41FFF"/>
    <w:rsid w:val="00A43A98"/>
    <w:rsid w:val="00A52C3C"/>
    <w:rsid w:val="00A52D0C"/>
    <w:rsid w:val="00A541D2"/>
    <w:rsid w:val="00A54E00"/>
    <w:rsid w:val="00A5517F"/>
    <w:rsid w:val="00A552EA"/>
    <w:rsid w:val="00A5603F"/>
    <w:rsid w:val="00A569E5"/>
    <w:rsid w:val="00A57E9E"/>
    <w:rsid w:val="00A60E49"/>
    <w:rsid w:val="00A63FBC"/>
    <w:rsid w:val="00A64E8F"/>
    <w:rsid w:val="00A667C7"/>
    <w:rsid w:val="00A677C9"/>
    <w:rsid w:val="00A703B6"/>
    <w:rsid w:val="00A7164E"/>
    <w:rsid w:val="00A721F9"/>
    <w:rsid w:val="00A723AC"/>
    <w:rsid w:val="00A72555"/>
    <w:rsid w:val="00A727E4"/>
    <w:rsid w:val="00A73E90"/>
    <w:rsid w:val="00A74DEB"/>
    <w:rsid w:val="00A75123"/>
    <w:rsid w:val="00A7523A"/>
    <w:rsid w:val="00A75417"/>
    <w:rsid w:val="00A75DA0"/>
    <w:rsid w:val="00A760A4"/>
    <w:rsid w:val="00A8396B"/>
    <w:rsid w:val="00A84176"/>
    <w:rsid w:val="00A859C1"/>
    <w:rsid w:val="00A86708"/>
    <w:rsid w:val="00A905C4"/>
    <w:rsid w:val="00A91686"/>
    <w:rsid w:val="00A91920"/>
    <w:rsid w:val="00A92142"/>
    <w:rsid w:val="00A925E3"/>
    <w:rsid w:val="00A93B64"/>
    <w:rsid w:val="00A9507F"/>
    <w:rsid w:val="00A958AD"/>
    <w:rsid w:val="00A962D9"/>
    <w:rsid w:val="00A970CA"/>
    <w:rsid w:val="00AA127D"/>
    <w:rsid w:val="00AA1CD6"/>
    <w:rsid w:val="00AA1D2B"/>
    <w:rsid w:val="00AA4210"/>
    <w:rsid w:val="00AA45A7"/>
    <w:rsid w:val="00AA4CAC"/>
    <w:rsid w:val="00AA52A6"/>
    <w:rsid w:val="00AA6B28"/>
    <w:rsid w:val="00AA6DF4"/>
    <w:rsid w:val="00AA7243"/>
    <w:rsid w:val="00AA7387"/>
    <w:rsid w:val="00AA7C46"/>
    <w:rsid w:val="00AB0F55"/>
    <w:rsid w:val="00AB2553"/>
    <w:rsid w:val="00AB255E"/>
    <w:rsid w:val="00AB4C0F"/>
    <w:rsid w:val="00AB57FF"/>
    <w:rsid w:val="00AB6091"/>
    <w:rsid w:val="00AB6433"/>
    <w:rsid w:val="00AB6571"/>
    <w:rsid w:val="00AB711B"/>
    <w:rsid w:val="00AC0254"/>
    <w:rsid w:val="00AC1260"/>
    <w:rsid w:val="00AC24AE"/>
    <w:rsid w:val="00AC33FF"/>
    <w:rsid w:val="00AC3A7D"/>
    <w:rsid w:val="00AC477B"/>
    <w:rsid w:val="00AC670D"/>
    <w:rsid w:val="00AC6C58"/>
    <w:rsid w:val="00AD0523"/>
    <w:rsid w:val="00AD06D8"/>
    <w:rsid w:val="00AD06DA"/>
    <w:rsid w:val="00AD0F05"/>
    <w:rsid w:val="00AD1200"/>
    <w:rsid w:val="00AD19A6"/>
    <w:rsid w:val="00AD267B"/>
    <w:rsid w:val="00AD2B18"/>
    <w:rsid w:val="00AD2D1F"/>
    <w:rsid w:val="00AD2F6E"/>
    <w:rsid w:val="00AD3926"/>
    <w:rsid w:val="00AD3B57"/>
    <w:rsid w:val="00AD3E23"/>
    <w:rsid w:val="00AD3E38"/>
    <w:rsid w:val="00AD414F"/>
    <w:rsid w:val="00AD4E8E"/>
    <w:rsid w:val="00AD53EF"/>
    <w:rsid w:val="00AD5928"/>
    <w:rsid w:val="00AD6AA4"/>
    <w:rsid w:val="00AD71D5"/>
    <w:rsid w:val="00AD7FDC"/>
    <w:rsid w:val="00AE09F8"/>
    <w:rsid w:val="00AE1CAA"/>
    <w:rsid w:val="00AE25BC"/>
    <w:rsid w:val="00AE2E6D"/>
    <w:rsid w:val="00AE2F82"/>
    <w:rsid w:val="00AE3619"/>
    <w:rsid w:val="00AE3A3A"/>
    <w:rsid w:val="00AE52BA"/>
    <w:rsid w:val="00AE5709"/>
    <w:rsid w:val="00AE5B89"/>
    <w:rsid w:val="00AE6398"/>
    <w:rsid w:val="00AE6B35"/>
    <w:rsid w:val="00AE74BB"/>
    <w:rsid w:val="00AF1069"/>
    <w:rsid w:val="00AF15C0"/>
    <w:rsid w:val="00AF25F3"/>
    <w:rsid w:val="00AF5D27"/>
    <w:rsid w:val="00AF734C"/>
    <w:rsid w:val="00AF7B32"/>
    <w:rsid w:val="00B01A58"/>
    <w:rsid w:val="00B0233A"/>
    <w:rsid w:val="00B05181"/>
    <w:rsid w:val="00B05405"/>
    <w:rsid w:val="00B06314"/>
    <w:rsid w:val="00B06F9A"/>
    <w:rsid w:val="00B07823"/>
    <w:rsid w:val="00B10217"/>
    <w:rsid w:val="00B10561"/>
    <w:rsid w:val="00B128D7"/>
    <w:rsid w:val="00B137D3"/>
    <w:rsid w:val="00B13D30"/>
    <w:rsid w:val="00B14034"/>
    <w:rsid w:val="00B15F69"/>
    <w:rsid w:val="00B174F8"/>
    <w:rsid w:val="00B17692"/>
    <w:rsid w:val="00B17B51"/>
    <w:rsid w:val="00B2198C"/>
    <w:rsid w:val="00B21BF2"/>
    <w:rsid w:val="00B21C27"/>
    <w:rsid w:val="00B22B32"/>
    <w:rsid w:val="00B23A94"/>
    <w:rsid w:val="00B24B7D"/>
    <w:rsid w:val="00B25705"/>
    <w:rsid w:val="00B27349"/>
    <w:rsid w:val="00B277E3"/>
    <w:rsid w:val="00B30648"/>
    <w:rsid w:val="00B30E07"/>
    <w:rsid w:val="00B30F20"/>
    <w:rsid w:val="00B3169D"/>
    <w:rsid w:val="00B31D22"/>
    <w:rsid w:val="00B31D29"/>
    <w:rsid w:val="00B32CE6"/>
    <w:rsid w:val="00B32F6B"/>
    <w:rsid w:val="00B341F7"/>
    <w:rsid w:val="00B34823"/>
    <w:rsid w:val="00B360F8"/>
    <w:rsid w:val="00B36611"/>
    <w:rsid w:val="00B3755E"/>
    <w:rsid w:val="00B37C94"/>
    <w:rsid w:val="00B40131"/>
    <w:rsid w:val="00B4086A"/>
    <w:rsid w:val="00B409AE"/>
    <w:rsid w:val="00B40AA1"/>
    <w:rsid w:val="00B40EE3"/>
    <w:rsid w:val="00B41033"/>
    <w:rsid w:val="00B4275B"/>
    <w:rsid w:val="00B43030"/>
    <w:rsid w:val="00B4342D"/>
    <w:rsid w:val="00B43CF3"/>
    <w:rsid w:val="00B43E6C"/>
    <w:rsid w:val="00B47B07"/>
    <w:rsid w:val="00B47BC7"/>
    <w:rsid w:val="00B50077"/>
    <w:rsid w:val="00B507CD"/>
    <w:rsid w:val="00B51D1F"/>
    <w:rsid w:val="00B51D70"/>
    <w:rsid w:val="00B5235D"/>
    <w:rsid w:val="00B52C0F"/>
    <w:rsid w:val="00B52C81"/>
    <w:rsid w:val="00B52D5E"/>
    <w:rsid w:val="00B53CEB"/>
    <w:rsid w:val="00B53F1B"/>
    <w:rsid w:val="00B54080"/>
    <w:rsid w:val="00B548C1"/>
    <w:rsid w:val="00B55209"/>
    <w:rsid w:val="00B55774"/>
    <w:rsid w:val="00B55D22"/>
    <w:rsid w:val="00B5672D"/>
    <w:rsid w:val="00B5673C"/>
    <w:rsid w:val="00B5705B"/>
    <w:rsid w:val="00B57BF0"/>
    <w:rsid w:val="00B57EB2"/>
    <w:rsid w:val="00B57EEC"/>
    <w:rsid w:val="00B60129"/>
    <w:rsid w:val="00B63273"/>
    <w:rsid w:val="00B63BCD"/>
    <w:rsid w:val="00B6450E"/>
    <w:rsid w:val="00B64DDA"/>
    <w:rsid w:val="00B66BF0"/>
    <w:rsid w:val="00B66C96"/>
    <w:rsid w:val="00B67618"/>
    <w:rsid w:val="00B7339A"/>
    <w:rsid w:val="00B74370"/>
    <w:rsid w:val="00B765AB"/>
    <w:rsid w:val="00B76BBF"/>
    <w:rsid w:val="00B80B46"/>
    <w:rsid w:val="00B81611"/>
    <w:rsid w:val="00B821FE"/>
    <w:rsid w:val="00B82FA7"/>
    <w:rsid w:val="00B84D25"/>
    <w:rsid w:val="00B85DA9"/>
    <w:rsid w:val="00B85E3A"/>
    <w:rsid w:val="00B862C0"/>
    <w:rsid w:val="00B87885"/>
    <w:rsid w:val="00B87C55"/>
    <w:rsid w:val="00B87E06"/>
    <w:rsid w:val="00B87E1A"/>
    <w:rsid w:val="00B914A9"/>
    <w:rsid w:val="00B94B47"/>
    <w:rsid w:val="00B95504"/>
    <w:rsid w:val="00B9557D"/>
    <w:rsid w:val="00B972FF"/>
    <w:rsid w:val="00BA05E2"/>
    <w:rsid w:val="00BA148B"/>
    <w:rsid w:val="00BA4BEC"/>
    <w:rsid w:val="00BA562A"/>
    <w:rsid w:val="00BA5788"/>
    <w:rsid w:val="00BA604B"/>
    <w:rsid w:val="00BA66A3"/>
    <w:rsid w:val="00BA6BF1"/>
    <w:rsid w:val="00BA7107"/>
    <w:rsid w:val="00BB06F2"/>
    <w:rsid w:val="00BB0D11"/>
    <w:rsid w:val="00BB12EE"/>
    <w:rsid w:val="00BB3664"/>
    <w:rsid w:val="00BB3B10"/>
    <w:rsid w:val="00BB5087"/>
    <w:rsid w:val="00BB6E24"/>
    <w:rsid w:val="00BB6F3C"/>
    <w:rsid w:val="00BB717D"/>
    <w:rsid w:val="00BB75E0"/>
    <w:rsid w:val="00BC05FE"/>
    <w:rsid w:val="00BC0FE6"/>
    <w:rsid w:val="00BC1C18"/>
    <w:rsid w:val="00BC2018"/>
    <w:rsid w:val="00BC2572"/>
    <w:rsid w:val="00BC25EF"/>
    <w:rsid w:val="00BC2961"/>
    <w:rsid w:val="00BC2A5F"/>
    <w:rsid w:val="00BC4DF7"/>
    <w:rsid w:val="00BC565B"/>
    <w:rsid w:val="00BC5F50"/>
    <w:rsid w:val="00BC6EAC"/>
    <w:rsid w:val="00BC7077"/>
    <w:rsid w:val="00BC7222"/>
    <w:rsid w:val="00BC742A"/>
    <w:rsid w:val="00BC7567"/>
    <w:rsid w:val="00BC7A43"/>
    <w:rsid w:val="00BD0ACD"/>
    <w:rsid w:val="00BD0B35"/>
    <w:rsid w:val="00BD0FB3"/>
    <w:rsid w:val="00BD15CB"/>
    <w:rsid w:val="00BD2190"/>
    <w:rsid w:val="00BD25EF"/>
    <w:rsid w:val="00BD313A"/>
    <w:rsid w:val="00BD4341"/>
    <w:rsid w:val="00BD4944"/>
    <w:rsid w:val="00BD590E"/>
    <w:rsid w:val="00BD6636"/>
    <w:rsid w:val="00BD7208"/>
    <w:rsid w:val="00BD720E"/>
    <w:rsid w:val="00BE0BC9"/>
    <w:rsid w:val="00BE0E49"/>
    <w:rsid w:val="00BE1569"/>
    <w:rsid w:val="00BE1BAA"/>
    <w:rsid w:val="00BE329A"/>
    <w:rsid w:val="00BE3545"/>
    <w:rsid w:val="00BE4326"/>
    <w:rsid w:val="00BE4CF4"/>
    <w:rsid w:val="00BE608A"/>
    <w:rsid w:val="00BE62FC"/>
    <w:rsid w:val="00BE69E4"/>
    <w:rsid w:val="00BF0484"/>
    <w:rsid w:val="00BF1067"/>
    <w:rsid w:val="00BF403B"/>
    <w:rsid w:val="00BF417D"/>
    <w:rsid w:val="00BF41C7"/>
    <w:rsid w:val="00BF67F4"/>
    <w:rsid w:val="00BF724D"/>
    <w:rsid w:val="00BF7942"/>
    <w:rsid w:val="00C00C32"/>
    <w:rsid w:val="00C0202A"/>
    <w:rsid w:val="00C0271E"/>
    <w:rsid w:val="00C04242"/>
    <w:rsid w:val="00C04758"/>
    <w:rsid w:val="00C05459"/>
    <w:rsid w:val="00C07677"/>
    <w:rsid w:val="00C1019C"/>
    <w:rsid w:val="00C10B64"/>
    <w:rsid w:val="00C12B9B"/>
    <w:rsid w:val="00C136A3"/>
    <w:rsid w:val="00C13896"/>
    <w:rsid w:val="00C159BA"/>
    <w:rsid w:val="00C176E6"/>
    <w:rsid w:val="00C178AA"/>
    <w:rsid w:val="00C20300"/>
    <w:rsid w:val="00C2109B"/>
    <w:rsid w:val="00C21425"/>
    <w:rsid w:val="00C21AD7"/>
    <w:rsid w:val="00C21D21"/>
    <w:rsid w:val="00C21DAC"/>
    <w:rsid w:val="00C223A8"/>
    <w:rsid w:val="00C22970"/>
    <w:rsid w:val="00C23CB4"/>
    <w:rsid w:val="00C23DAE"/>
    <w:rsid w:val="00C25384"/>
    <w:rsid w:val="00C26EA0"/>
    <w:rsid w:val="00C27363"/>
    <w:rsid w:val="00C27ECB"/>
    <w:rsid w:val="00C30346"/>
    <w:rsid w:val="00C30BBC"/>
    <w:rsid w:val="00C30BC7"/>
    <w:rsid w:val="00C324BB"/>
    <w:rsid w:val="00C32DFC"/>
    <w:rsid w:val="00C332A2"/>
    <w:rsid w:val="00C33C40"/>
    <w:rsid w:val="00C347C2"/>
    <w:rsid w:val="00C34C92"/>
    <w:rsid w:val="00C3519D"/>
    <w:rsid w:val="00C3790B"/>
    <w:rsid w:val="00C400F8"/>
    <w:rsid w:val="00C4023D"/>
    <w:rsid w:val="00C42ED8"/>
    <w:rsid w:val="00C44508"/>
    <w:rsid w:val="00C45AFD"/>
    <w:rsid w:val="00C47091"/>
    <w:rsid w:val="00C47DFA"/>
    <w:rsid w:val="00C52E8F"/>
    <w:rsid w:val="00C53063"/>
    <w:rsid w:val="00C54376"/>
    <w:rsid w:val="00C54E6E"/>
    <w:rsid w:val="00C54ED9"/>
    <w:rsid w:val="00C565F1"/>
    <w:rsid w:val="00C617A7"/>
    <w:rsid w:val="00C618AC"/>
    <w:rsid w:val="00C62A3A"/>
    <w:rsid w:val="00C64204"/>
    <w:rsid w:val="00C6476F"/>
    <w:rsid w:val="00C650AA"/>
    <w:rsid w:val="00C67190"/>
    <w:rsid w:val="00C70544"/>
    <w:rsid w:val="00C70E3E"/>
    <w:rsid w:val="00C72DE4"/>
    <w:rsid w:val="00C7540C"/>
    <w:rsid w:val="00C75BB7"/>
    <w:rsid w:val="00C75DF7"/>
    <w:rsid w:val="00C764F9"/>
    <w:rsid w:val="00C77939"/>
    <w:rsid w:val="00C800E5"/>
    <w:rsid w:val="00C8050D"/>
    <w:rsid w:val="00C814BC"/>
    <w:rsid w:val="00C8163E"/>
    <w:rsid w:val="00C820AE"/>
    <w:rsid w:val="00C820BD"/>
    <w:rsid w:val="00C83C28"/>
    <w:rsid w:val="00C84497"/>
    <w:rsid w:val="00C8556F"/>
    <w:rsid w:val="00C86B50"/>
    <w:rsid w:val="00C86EE8"/>
    <w:rsid w:val="00C8721D"/>
    <w:rsid w:val="00C87685"/>
    <w:rsid w:val="00C90110"/>
    <w:rsid w:val="00C90509"/>
    <w:rsid w:val="00C929E7"/>
    <w:rsid w:val="00C92B16"/>
    <w:rsid w:val="00C93C98"/>
    <w:rsid w:val="00C94479"/>
    <w:rsid w:val="00C94C68"/>
    <w:rsid w:val="00C9521A"/>
    <w:rsid w:val="00CA03D7"/>
    <w:rsid w:val="00CA19B9"/>
    <w:rsid w:val="00CA231D"/>
    <w:rsid w:val="00CA2E74"/>
    <w:rsid w:val="00CA378D"/>
    <w:rsid w:val="00CA425D"/>
    <w:rsid w:val="00CA4271"/>
    <w:rsid w:val="00CA53E4"/>
    <w:rsid w:val="00CA6C4B"/>
    <w:rsid w:val="00CA6D03"/>
    <w:rsid w:val="00CA6F33"/>
    <w:rsid w:val="00CA7126"/>
    <w:rsid w:val="00CA7A78"/>
    <w:rsid w:val="00CB1960"/>
    <w:rsid w:val="00CB1F98"/>
    <w:rsid w:val="00CB3768"/>
    <w:rsid w:val="00CB4469"/>
    <w:rsid w:val="00CB4CB3"/>
    <w:rsid w:val="00CB5313"/>
    <w:rsid w:val="00CB6E50"/>
    <w:rsid w:val="00CC05A1"/>
    <w:rsid w:val="00CC05A3"/>
    <w:rsid w:val="00CC0C63"/>
    <w:rsid w:val="00CC0DB1"/>
    <w:rsid w:val="00CC1EE1"/>
    <w:rsid w:val="00CC30E4"/>
    <w:rsid w:val="00CC3623"/>
    <w:rsid w:val="00CC3C41"/>
    <w:rsid w:val="00CC49AE"/>
    <w:rsid w:val="00CC4E09"/>
    <w:rsid w:val="00CC4E1D"/>
    <w:rsid w:val="00CC623B"/>
    <w:rsid w:val="00CC6888"/>
    <w:rsid w:val="00CC6E4D"/>
    <w:rsid w:val="00CC78E1"/>
    <w:rsid w:val="00CC7D13"/>
    <w:rsid w:val="00CD024B"/>
    <w:rsid w:val="00CD14E3"/>
    <w:rsid w:val="00CD22E6"/>
    <w:rsid w:val="00CD268D"/>
    <w:rsid w:val="00CD398D"/>
    <w:rsid w:val="00CD3A34"/>
    <w:rsid w:val="00CD4874"/>
    <w:rsid w:val="00CD4D51"/>
    <w:rsid w:val="00CD5684"/>
    <w:rsid w:val="00CD5F14"/>
    <w:rsid w:val="00CD6E0F"/>
    <w:rsid w:val="00CE0D79"/>
    <w:rsid w:val="00CE2E68"/>
    <w:rsid w:val="00CE36B8"/>
    <w:rsid w:val="00CE3AF2"/>
    <w:rsid w:val="00CE3B15"/>
    <w:rsid w:val="00CE4AEF"/>
    <w:rsid w:val="00CE4CDD"/>
    <w:rsid w:val="00CE53C2"/>
    <w:rsid w:val="00CE5A6E"/>
    <w:rsid w:val="00CF048C"/>
    <w:rsid w:val="00CF0F9F"/>
    <w:rsid w:val="00CF3519"/>
    <w:rsid w:val="00CF39B0"/>
    <w:rsid w:val="00CF53E0"/>
    <w:rsid w:val="00CF569B"/>
    <w:rsid w:val="00CF5EC5"/>
    <w:rsid w:val="00CF601F"/>
    <w:rsid w:val="00D0004A"/>
    <w:rsid w:val="00D00740"/>
    <w:rsid w:val="00D00CF2"/>
    <w:rsid w:val="00D01714"/>
    <w:rsid w:val="00D019A0"/>
    <w:rsid w:val="00D01C12"/>
    <w:rsid w:val="00D02128"/>
    <w:rsid w:val="00D028C7"/>
    <w:rsid w:val="00D03B0D"/>
    <w:rsid w:val="00D0422F"/>
    <w:rsid w:val="00D06809"/>
    <w:rsid w:val="00D11D14"/>
    <w:rsid w:val="00D12562"/>
    <w:rsid w:val="00D125F8"/>
    <w:rsid w:val="00D127D5"/>
    <w:rsid w:val="00D128DE"/>
    <w:rsid w:val="00D131ED"/>
    <w:rsid w:val="00D21A27"/>
    <w:rsid w:val="00D229BD"/>
    <w:rsid w:val="00D22FEF"/>
    <w:rsid w:val="00D2385C"/>
    <w:rsid w:val="00D2574F"/>
    <w:rsid w:val="00D25E91"/>
    <w:rsid w:val="00D2665B"/>
    <w:rsid w:val="00D26A77"/>
    <w:rsid w:val="00D279C4"/>
    <w:rsid w:val="00D32581"/>
    <w:rsid w:val="00D32D24"/>
    <w:rsid w:val="00D34FB0"/>
    <w:rsid w:val="00D354CB"/>
    <w:rsid w:val="00D355C8"/>
    <w:rsid w:val="00D35901"/>
    <w:rsid w:val="00D35C0D"/>
    <w:rsid w:val="00D3642B"/>
    <w:rsid w:val="00D37250"/>
    <w:rsid w:val="00D37645"/>
    <w:rsid w:val="00D37823"/>
    <w:rsid w:val="00D37CFD"/>
    <w:rsid w:val="00D41CE1"/>
    <w:rsid w:val="00D4214C"/>
    <w:rsid w:val="00D42FC2"/>
    <w:rsid w:val="00D437FE"/>
    <w:rsid w:val="00D43989"/>
    <w:rsid w:val="00D43BB5"/>
    <w:rsid w:val="00D443A4"/>
    <w:rsid w:val="00D4467D"/>
    <w:rsid w:val="00D45A5E"/>
    <w:rsid w:val="00D460B6"/>
    <w:rsid w:val="00D4610C"/>
    <w:rsid w:val="00D47BA7"/>
    <w:rsid w:val="00D47F30"/>
    <w:rsid w:val="00D50D63"/>
    <w:rsid w:val="00D50ED1"/>
    <w:rsid w:val="00D51361"/>
    <w:rsid w:val="00D513A4"/>
    <w:rsid w:val="00D516AB"/>
    <w:rsid w:val="00D51D29"/>
    <w:rsid w:val="00D526EC"/>
    <w:rsid w:val="00D5287E"/>
    <w:rsid w:val="00D52926"/>
    <w:rsid w:val="00D5294B"/>
    <w:rsid w:val="00D542CD"/>
    <w:rsid w:val="00D5474C"/>
    <w:rsid w:val="00D54B2F"/>
    <w:rsid w:val="00D5666F"/>
    <w:rsid w:val="00D57622"/>
    <w:rsid w:val="00D600BF"/>
    <w:rsid w:val="00D6071C"/>
    <w:rsid w:val="00D60CFE"/>
    <w:rsid w:val="00D612D3"/>
    <w:rsid w:val="00D61A63"/>
    <w:rsid w:val="00D6200C"/>
    <w:rsid w:val="00D625FD"/>
    <w:rsid w:val="00D62CA1"/>
    <w:rsid w:val="00D62D58"/>
    <w:rsid w:val="00D63528"/>
    <w:rsid w:val="00D659F3"/>
    <w:rsid w:val="00D66220"/>
    <w:rsid w:val="00D67860"/>
    <w:rsid w:val="00D67929"/>
    <w:rsid w:val="00D705EA"/>
    <w:rsid w:val="00D7166B"/>
    <w:rsid w:val="00D72017"/>
    <w:rsid w:val="00D73183"/>
    <w:rsid w:val="00D745A2"/>
    <w:rsid w:val="00D76227"/>
    <w:rsid w:val="00D76621"/>
    <w:rsid w:val="00D779CD"/>
    <w:rsid w:val="00D77BB9"/>
    <w:rsid w:val="00D80858"/>
    <w:rsid w:val="00D81C78"/>
    <w:rsid w:val="00D83D13"/>
    <w:rsid w:val="00D844EA"/>
    <w:rsid w:val="00D84BD3"/>
    <w:rsid w:val="00D851D5"/>
    <w:rsid w:val="00D86E7E"/>
    <w:rsid w:val="00D86EBC"/>
    <w:rsid w:val="00D86F90"/>
    <w:rsid w:val="00D9068C"/>
    <w:rsid w:val="00D90AAC"/>
    <w:rsid w:val="00D91A0C"/>
    <w:rsid w:val="00D91E23"/>
    <w:rsid w:val="00D93D09"/>
    <w:rsid w:val="00D955D6"/>
    <w:rsid w:val="00D96866"/>
    <w:rsid w:val="00D97301"/>
    <w:rsid w:val="00D97541"/>
    <w:rsid w:val="00D975F9"/>
    <w:rsid w:val="00DA08B2"/>
    <w:rsid w:val="00DA0C75"/>
    <w:rsid w:val="00DA0F64"/>
    <w:rsid w:val="00DA1992"/>
    <w:rsid w:val="00DA1BBA"/>
    <w:rsid w:val="00DA2329"/>
    <w:rsid w:val="00DA404C"/>
    <w:rsid w:val="00DA55CC"/>
    <w:rsid w:val="00DA56A5"/>
    <w:rsid w:val="00DA58B7"/>
    <w:rsid w:val="00DA5CB0"/>
    <w:rsid w:val="00DA5F84"/>
    <w:rsid w:val="00DA715E"/>
    <w:rsid w:val="00DB042B"/>
    <w:rsid w:val="00DB0929"/>
    <w:rsid w:val="00DB1997"/>
    <w:rsid w:val="00DB39B1"/>
    <w:rsid w:val="00DB474C"/>
    <w:rsid w:val="00DB4D90"/>
    <w:rsid w:val="00DB4DAD"/>
    <w:rsid w:val="00DB68F7"/>
    <w:rsid w:val="00DB697F"/>
    <w:rsid w:val="00DB6FF5"/>
    <w:rsid w:val="00DC1008"/>
    <w:rsid w:val="00DC1254"/>
    <w:rsid w:val="00DC1E9D"/>
    <w:rsid w:val="00DC264E"/>
    <w:rsid w:val="00DC3102"/>
    <w:rsid w:val="00DC36D4"/>
    <w:rsid w:val="00DC3DB7"/>
    <w:rsid w:val="00DC5AC0"/>
    <w:rsid w:val="00DD042D"/>
    <w:rsid w:val="00DD193D"/>
    <w:rsid w:val="00DD1FE0"/>
    <w:rsid w:val="00DD2DE8"/>
    <w:rsid w:val="00DD3CEC"/>
    <w:rsid w:val="00DD47A4"/>
    <w:rsid w:val="00DD54EE"/>
    <w:rsid w:val="00DD5ACB"/>
    <w:rsid w:val="00DD6104"/>
    <w:rsid w:val="00DD63EC"/>
    <w:rsid w:val="00DD673B"/>
    <w:rsid w:val="00DD6B92"/>
    <w:rsid w:val="00DD7A73"/>
    <w:rsid w:val="00DE02D3"/>
    <w:rsid w:val="00DE1DE4"/>
    <w:rsid w:val="00DE2A95"/>
    <w:rsid w:val="00DE34C5"/>
    <w:rsid w:val="00DE3650"/>
    <w:rsid w:val="00DE3C27"/>
    <w:rsid w:val="00DE3DCA"/>
    <w:rsid w:val="00DE446E"/>
    <w:rsid w:val="00DE50C5"/>
    <w:rsid w:val="00DE6141"/>
    <w:rsid w:val="00DE64B5"/>
    <w:rsid w:val="00DE7C7C"/>
    <w:rsid w:val="00DF09B6"/>
    <w:rsid w:val="00DF0F75"/>
    <w:rsid w:val="00DF0FB3"/>
    <w:rsid w:val="00DF15D8"/>
    <w:rsid w:val="00DF1C71"/>
    <w:rsid w:val="00DF26D7"/>
    <w:rsid w:val="00DF459D"/>
    <w:rsid w:val="00DF4740"/>
    <w:rsid w:val="00DF56D0"/>
    <w:rsid w:val="00DF5968"/>
    <w:rsid w:val="00DF5CB6"/>
    <w:rsid w:val="00DF6C9A"/>
    <w:rsid w:val="00DF797E"/>
    <w:rsid w:val="00E00047"/>
    <w:rsid w:val="00E023E0"/>
    <w:rsid w:val="00E02492"/>
    <w:rsid w:val="00E0331F"/>
    <w:rsid w:val="00E035BD"/>
    <w:rsid w:val="00E036AF"/>
    <w:rsid w:val="00E0410C"/>
    <w:rsid w:val="00E0443C"/>
    <w:rsid w:val="00E044C7"/>
    <w:rsid w:val="00E04F6A"/>
    <w:rsid w:val="00E05145"/>
    <w:rsid w:val="00E05205"/>
    <w:rsid w:val="00E06F19"/>
    <w:rsid w:val="00E07861"/>
    <w:rsid w:val="00E10DB0"/>
    <w:rsid w:val="00E11823"/>
    <w:rsid w:val="00E12359"/>
    <w:rsid w:val="00E12425"/>
    <w:rsid w:val="00E135CF"/>
    <w:rsid w:val="00E14287"/>
    <w:rsid w:val="00E15334"/>
    <w:rsid w:val="00E15396"/>
    <w:rsid w:val="00E158B2"/>
    <w:rsid w:val="00E1605D"/>
    <w:rsid w:val="00E161CB"/>
    <w:rsid w:val="00E16EA2"/>
    <w:rsid w:val="00E1769F"/>
    <w:rsid w:val="00E22246"/>
    <w:rsid w:val="00E223BC"/>
    <w:rsid w:val="00E224B1"/>
    <w:rsid w:val="00E24E7C"/>
    <w:rsid w:val="00E2541B"/>
    <w:rsid w:val="00E25C83"/>
    <w:rsid w:val="00E3051A"/>
    <w:rsid w:val="00E31CB3"/>
    <w:rsid w:val="00E32CE9"/>
    <w:rsid w:val="00E3319A"/>
    <w:rsid w:val="00E34FCC"/>
    <w:rsid w:val="00E3506F"/>
    <w:rsid w:val="00E35438"/>
    <w:rsid w:val="00E369EC"/>
    <w:rsid w:val="00E378C2"/>
    <w:rsid w:val="00E42453"/>
    <w:rsid w:val="00E42639"/>
    <w:rsid w:val="00E42F8D"/>
    <w:rsid w:val="00E45324"/>
    <w:rsid w:val="00E45917"/>
    <w:rsid w:val="00E45959"/>
    <w:rsid w:val="00E45AA5"/>
    <w:rsid w:val="00E4690A"/>
    <w:rsid w:val="00E46FBB"/>
    <w:rsid w:val="00E4709A"/>
    <w:rsid w:val="00E5126A"/>
    <w:rsid w:val="00E52311"/>
    <w:rsid w:val="00E52924"/>
    <w:rsid w:val="00E54CDF"/>
    <w:rsid w:val="00E561B2"/>
    <w:rsid w:val="00E56945"/>
    <w:rsid w:val="00E57725"/>
    <w:rsid w:val="00E6070B"/>
    <w:rsid w:val="00E613B3"/>
    <w:rsid w:val="00E61481"/>
    <w:rsid w:val="00E61BB1"/>
    <w:rsid w:val="00E62789"/>
    <w:rsid w:val="00E64739"/>
    <w:rsid w:val="00E64805"/>
    <w:rsid w:val="00E65259"/>
    <w:rsid w:val="00E6534E"/>
    <w:rsid w:val="00E65CA3"/>
    <w:rsid w:val="00E66868"/>
    <w:rsid w:val="00E66BAF"/>
    <w:rsid w:val="00E678BA"/>
    <w:rsid w:val="00E7008C"/>
    <w:rsid w:val="00E70E04"/>
    <w:rsid w:val="00E71C01"/>
    <w:rsid w:val="00E738FD"/>
    <w:rsid w:val="00E73A99"/>
    <w:rsid w:val="00E7422B"/>
    <w:rsid w:val="00E747DC"/>
    <w:rsid w:val="00E76F97"/>
    <w:rsid w:val="00E80021"/>
    <w:rsid w:val="00E80452"/>
    <w:rsid w:val="00E80881"/>
    <w:rsid w:val="00E80CE1"/>
    <w:rsid w:val="00E82A72"/>
    <w:rsid w:val="00E83042"/>
    <w:rsid w:val="00E85B43"/>
    <w:rsid w:val="00E86252"/>
    <w:rsid w:val="00E86462"/>
    <w:rsid w:val="00E8672F"/>
    <w:rsid w:val="00E8702C"/>
    <w:rsid w:val="00E87367"/>
    <w:rsid w:val="00E874A6"/>
    <w:rsid w:val="00E87C42"/>
    <w:rsid w:val="00E909F8"/>
    <w:rsid w:val="00E90CB0"/>
    <w:rsid w:val="00E90E5E"/>
    <w:rsid w:val="00E92088"/>
    <w:rsid w:val="00E9214D"/>
    <w:rsid w:val="00E9259D"/>
    <w:rsid w:val="00E92F35"/>
    <w:rsid w:val="00E937B6"/>
    <w:rsid w:val="00E949B0"/>
    <w:rsid w:val="00E94BA9"/>
    <w:rsid w:val="00E95D3F"/>
    <w:rsid w:val="00E95E95"/>
    <w:rsid w:val="00E96022"/>
    <w:rsid w:val="00EA05C8"/>
    <w:rsid w:val="00EA221F"/>
    <w:rsid w:val="00EA2ECB"/>
    <w:rsid w:val="00EA53C9"/>
    <w:rsid w:val="00EA6026"/>
    <w:rsid w:val="00EA6FCE"/>
    <w:rsid w:val="00EA7275"/>
    <w:rsid w:val="00EA7AD3"/>
    <w:rsid w:val="00EB085C"/>
    <w:rsid w:val="00EB0C48"/>
    <w:rsid w:val="00EB34E5"/>
    <w:rsid w:val="00EB3B18"/>
    <w:rsid w:val="00EB3DC6"/>
    <w:rsid w:val="00EB548A"/>
    <w:rsid w:val="00EB7097"/>
    <w:rsid w:val="00EB7CD1"/>
    <w:rsid w:val="00EC033D"/>
    <w:rsid w:val="00EC0FFE"/>
    <w:rsid w:val="00EC28AF"/>
    <w:rsid w:val="00EC2F94"/>
    <w:rsid w:val="00EC5099"/>
    <w:rsid w:val="00EC52B3"/>
    <w:rsid w:val="00EC78C2"/>
    <w:rsid w:val="00ED0B3D"/>
    <w:rsid w:val="00ED3482"/>
    <w:rsid w:val="00ED3A56"/>
    <w:rsid w:val="00ED5D98"/>
    <w:rsid w:val="00ED6FFC"/>
    <w:rsid w:val="00EE0A0C"/>
    <w:rsid w:val="00EE0C05"/>
    <w:rsid w:val="00EE0C2E"/>
    <w:rsid w:val="00EE177A"/>
    <w:rsid w:val="00EE395D"/>
    <w:rsid w:val="00EE3C1C"/>
    <w:rsid w:val="00EE411F"/>
    <w:rsid w:val="00EE471E"/>
    <w:rsid w:val="00EE5E1F"/>
    <w:rsid w:val="00EF02C7"/>
    <w:rsid w:val="00EF05BD"/>
    <w:rsid w:val="00EF0EB0"/>
    <w:rsid w:val="00EF1657"/>
    <w:rsid w:val="00EF17DC"/>
    <w:rsid w:val="00EF31C7"/>
    <w:rsid w:val="00EF488F"/>
    <w:rsid w:val="00EF62B6"/>
    <w:rsid w:val="00EF7358"/>
    <w:rsid w:val="00F01708"/>
    <w:rsid w:val="00F02341"/>
    <w:rsid w:val="00F02A97"/>
    <w:rsid w:val="00F03E4C"/>
    <w:rsid w:val="00F04599"/>
    <w:rsid w:val="00F0517A"/>
    <w:rsid w:val="00F05912"/>
    <w:rsid w:val="00F06731"/>
    <w:rsid w:val="00F10004"/>
    <w:rsid w:val="00F1078B"/>
    <w:rsid w:val="00F112DF"/>
    <w:rsid w:val="00F1213E"/>
    <w:rsid w:val="00F1239C"/>
    <w:rsid w:val="00F1346D"/>
    <w:rsid w:val="00F14385"/>
    <w:rsid w:val="00F14465"/>
    <w:rsid w:val="00F14827"/>
    <w:rsid w:val="00F15C92"/>
    <w:rsid w:val="00F15CA8"/>
    <w:rsid w:val="00F16631"/>
    <w:rsid w:val="00F20312"/>
    <w:rsid w:val="00F21817"/>
    <w:rsid w:val="00F2308D"/>
    <w:rsid w:val="00F2357A"/>
    <w:rsid w:val="00F244D6"/>
    <w:rsid w:val="00F25DAA"/>
    <w:rsid w:val="00F26E9B"/>
    <w:rsid w:val="00F300E9"/>
    <w:rsid w:val="00F30D49"/>
    <w:rsid w:val="00F33BDC"/>
    <w:rsid w:val="00F33E52"/>
    <w:rsid w:val="00F3417C"/>
    <w:rsid w:val="00F34D93"/>
    <w:rsid w:val="00F35075"/>
    <w:rsid w:val="00F35120"/>
    <w:rsid w:val="00F364CA"/>
    <w:rsid w:val="00F3749E"/>
    <w:rsid w:val="00F409A7"/>
    <w:rsid w:val="00F412D7"/>
    <w:rsid w:val="00F42C49"/>
    <w:rsid w:val="00F42EFF"/>
    <w:rsid w:val="00F43246"/>
    <w:rsid w:val="00F432A6"/>
    <w:rsid w:val="00F43ABD"/>
    <w:rsid w:val="00F44BE2"/>
    <w:rsid w:val="00F458F6"/>
    <w:rsid w:val="00F45D38"/>
    <w:rsid w:val="00F463CF"/>
    <w:rsid w:val="00F4797F"/>
    <w:rsid w:val="00F500F8"/>
    <w:rsid w:val="00F52FA0"/>
    <w:rsid w:val="00F53296"/>
    <w:rsid w:val="00F53BE4"/>
    <w:rsid w:val="00F54511"/>
    <w:rsid w:val="00F55E44"/>
    <w:rsid w:val="00F562CF"/>
    <w:rsid w:val="00F5645D"/>
    <w:rsid w:val="00F56B8C"/>
    <w:rsid w:val="00F63959"/>
    <w:rsid w:val="00F63B1A"/>
    <w:rsid w:val="00F66A32"/>
    <w:rsid w:val="00F67053"/>
    <w:rsid w:val="00F7032D"/>
    <w:rsid w:val="00F70504"/>
    <w:rsid w:val="00F70BC6"/>
    <w:rsid w:val="00F7200D"/>
    <w:rsid w:val="00F72E83"/>
    <w:rsid w:val="00F72FCF"/>
    <w:rsid w:val="00F747C7"/>
    <w:rsid w:val="00F80601"/>
    <w:rsid w:val="00F82A9B"/>
    <w:rsid w:val="00F83314"/>
    <w:rsid w:val="00F833D8"/>
    <w:rsid w:val="00F84725"/>
    <w:rsid w:val="00F850DA"/>
    <w:rsid w:val="00F85199"/>
    <w:rsid w:val="00F86C37"/>
    <w:rsid w:val="00F87EEA"/>
    <w:rsid w:val="00F90898"/>
    <w:rsid w:val="00F9092C"/>
    <w:rsid w:val="00F912B0"/>
    <w:rsid w:val="00F91D3F"/>
    <w:rsid w:val="00F922EA"/>
    <w:rsid w:val="00F924C4"/>
    <w:rsid w:val="00F92B1F"/>
    <w:rsid w:val="00F931B1"/>
    <w:rsid w:val="00F95AAE"/>
    <w:rsid w:val="00F9692F"/>
    <w:rsid w:val="00F97B7E"/>
    <w:rsid w:val="00FA1239"/>
    <w:rsid w:val="00FA1D0C"/>
    <w:rsid w:val="00FA52D8"/>
    <w:rsid w:val="00FA592D"/>
    <w:rsid w:val="00FA5FF7"/>
    <w:rsid w:val="00FA7E92"/>
    <w:rsid w:val="00FB0A95"/>
    <w:rsid w:val="00FB1636"/>
    <w:rsid w:val="00FB18DC"/>
    <w:rsid w:val="00FB2864"/>
    <w:rsid w:val="00FB49EC"/>
    <w:rsid w:val="00FB4D2E"/>
    <w:rsid w:val="00FB530E"/>
    <w:rsid w:val="00FB6A9E"/>
    <w:rsid w:val="00FC042F"/>
    <w:rsid w:val="00FC125C"/>
    <w:rsid w:val="00FC2409"/>
    <w:rsid w:val="00FC54B9"/>
    <w:rsid w:val="00FC5612"/>
    <w:rsid w:val="00FC6710"/>
    <w:rsid w:val="00FC6CB8"/>
    <w:rsid w:val="00FC74AA"/>
    <w:rsid w:val="00FC7BEB"/>
    <w:rsid w:val="00FD080D"/>
    <w:rsid w:val="00FD0B9B"/>
    <w:rsid w:val="00FD38E4"/>
    <w:rsid w:val="00FD4013"/>
    <w:rsid w:val="00FD4089"/>
    <w:rsid w:val="00FD52DF"/>
    <w:rsid w:val="00FD60F9"/>
    <w:rsid w:val="00FD741E"/>
    <w:rsid w:val="00FD7DB6"/>
    <w:rsid w:val="00FE0CEE"/>
    <w:rsid w:val="00FE0DE4"/>
    <w:rsid w:val="00FE1D52"/>
    <w:rsid w:val="00FE24FA"/>
    <w:rsid w:val="00FE2D69"/>
    <w:rsid w:val="00FE3A9A"/>
    <w:rsid w:val="00FE45BF"/>
    <w:rsid w:val="00FE46DB"/>
    <w:rsid w:val="00FE4D3F"/>
    <w:rsid w:val="00FE5F53"/>
    <w:rsid w:val="00FE73AB"/>
    <w:rsid w:val="00FE75C1"/>
    <w:rsid w:val="00FF228B"/>
    <w:rsid w:val="00FF2291"/>
    <w:rsid w:val="00FF27A0"/>
    <w:rsid w:val="00FF56AE"/>
    <w:rsid w:val="00FF605C"/>
    <w:rsid w:val="00FF6D14"/>
    <w:rsid w:val="00FF6FCB"/>
    <w:rsid w:val="00FF76DC"/>
    <w:rsid w:val="00FF7C0D"/>
    <w:rsid w:val="03695E29"/>
    <w:rsid w:val="06794C9C"/>
    <w:rsid w:val="0CED62AF"/>
    <w:rsid w:val="0FC1760C"/>
    <w:rsid w:val="12A30AC5"/>
    <w:rsid w:val="162072B3"/>
    <w:rsid w:val="17712980"/>
    <w:rsid w:val="1CD1674B"/>
    <w:rsid w:val="1D2B1F2D"/>
    <w:rsid w:val="242E7EC4"/>
    <w:rsid w:val="24B74483"/>
    <w:rsid w:val="298B4339"/>
    <w:rsid w:val="2A52119A"/>
    <w:rsid w:val="2A7F65A3"/>
    <w:rsid w:val="2C58122B"/>
    <w:rsid w:val="32A3680E"/>
    <w:rsid w:val="33B96C3D"/>
    <w:rsid w:val="34CA6EF0"/>
    <w:rsid w:val="357837B9"/>
    <w:rsid w:val="3B486B00"/>
    <w:rsid w:val="3BC10980"/>
    <w:rsid w:val="3D3D4FC4"/>
    <w:rsid w:val="433C3D87"/>
    <w:rsid w:val="462B6DB6"/>
    <w:rsid w:val="464738AB"/>
    <w:rsid w:val="466A57CC"/>
    <w:rsid w:val="46F75E98"/>
    <w:rsid w:val="4A200E96"/>
    <w:rsid w:val="4BD52609"/>
    <w:rsid w:val="4C213806"/>
    <w:rsid w:val="4DD73F3E"/>
    <w:rsid w:val="4F6636F8"/>
    <w:rsid w:val="4FA4318F"/>
    <w:rsid w:val="50075E6F"/>
    <w:rsid w:val="55835044"/>
    <w:rsid w:val="59545774"/>
    <w:rsid w:val="5AE05F37"/>
    <w:rsid w:val="5F9C521C"/>
    <w:rsid w:val="628F68E9"/>
    <w:rsid w:val="689E3A97"/>
    <w:rsid w:val="69F94B90"/>
    <w:rsid w:val="6CA90112"/>
    <w:rsid w:val="6DAF33F0"/>
    <w:rsid w:val="709E4F1A"/>
    <w:rsid w:val="7374210D"/>
    <w:rsid w:val="7421779F"/>
    <w:rsid w:val="74AB1071"/>
    <w:rsid w:val="7EE002DC"/>
    <w:rsid w:val="7FB765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qFormat="1" w:uiPriority="99"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0"/>
    <w:qFormat/>
    <w:uiPriority w:val="0"/>
    <w:pPr>
      <w:keepNext/>
      <w:widowControl/>
      <w:numPr>
        <w:ilvl w:val="0"/>
        <w:numId w:val="1"/>
      </w:numPr>
      <w:jc w:val="center"/>
      <w:outlineLvl w:val="0"/>
    </w:pPr>
    <w:rPr>
      <w:rFonts w:ascii="黑体" w:hAnsi="Calibri" w:eastAsia="黑体" w:cs="Times New Roman"/>
      <w:kern w:val="0"/>
      <w:sz w:val="52"/>
      <w:szCs w:val="20"/>
      <w:lang w:val="zh-CN"/>
    </w:rPr>
  </w:style>
  <w:style w:type="paragraph" w:styleId="3">
    <w:name w:val="heading 2"/>
    <w:basedOn w:val="1"/>
    <w:next w:val="4"/>
    <w:link w:val="31"/>
    <w:qFormat/>
    <w:uiPriority w:val="0"/>
    <w:pPr>
      <w:keepNext/>
      <w:keepLines/>
      <w:widowControl/>
      <w:adjustRightInd w:val="0"/>
      <w:snapToGrid w:val="0"/>
      <w:spacing w:before="240" w:after="120" w:line="440" w:lineRule="exact"/>
      <w:jc w:val="center"/>
      <w:outlineLvl w:val="1"/>
    </w:pPr>
    <w:rPr>
      <w:rFonts w:ascii="Calibri" w:hAnsi="Calibri" w:eastAsia="宋体" w:cs="Times New Roman"/>
      <w:b/>
      <w:kern w:val="0"/>
      <w:sz w:val="44"/>
      <w:szCs w:val="32"/>
    </w:rPr>
  </w:style>
  <w:style w:type="paragraph" w:styleId="5">
    <w:name w:val="heading 3"/>
    <w:basedOn w:val="1"/>
    <w:next w:val="4"/>
    <w:link w:val="32"/>
    <w:qFormat/>
    <w:uiPriority w:val="9"/>
    <w:pPr>
      <w:keepNext/>
      <w:keepLines/>
      <w:widowControl/>
      <w:tabs>
        <w:tab w:val="left" w:pos="720"/>
      </w:tabs>
      <w:adjustRightInd w:val="0"/>
      <w:snapToGrid w:val="0"/>
      <w:spacing w:before="120" w:after="120" w:line="440" w:lineRule="exact"/>
      <w:ind w:left="720" w:hanging="720"/>
      <w:jc w:val="center"/>
      <w:outlineLvl w:val="2"/>
    </w:pPr>
    <w:rPr>
      <w:rFonts w:ascii="Calibri" w:hAnsi="Calibri" w:eastAsia="宋体" w:cs="Times New Roman"/>
      <w:b/>
      <w:kern w:val="0"/>
      <w:sz w:val="32"/>
      <w:szCs w:val="20"/>
    </w:rPr>
  </w:style>
  <w:style w:type="paragraph" w:styleId="6">
    <w:name w:val="heading 4"/>
    <w:basedOn w:val="1"/>
    <w:next w:val="1"/>
    <w:link w:val="36"/>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semiHidden/>
    <w:unhideWhenUsed/>
    <w:qFormat/>
    <w:uiPriority w:val="99"/>
    <w:pPr>
      <w:ind w:firstLine="420" w:firstLineChars="200"/>
    </w:pPr>
  </w:style>
  <w:style w:type="paragraph" w:styleId="7">
    <w:name w:val="toc 7"/>
    <w:basedOn w:val="1"/>
    <w:next w:val="1"/>
    <w:unhideWhenUsed/>
    <w:qFormat/>
    <w:uiPriority w:val="39"/>
    <w:pPr>
      <w:ind w:left="2520" w:leftChars="1200"/>
    </w:pPr>
  </w:style>
  <w:style w:type="paragraph" w:styleId="8">
    <w:name w:val="Body Text"/>
    <w:basedOn w:val="1"/>
    <w:link w:val="39"/>
    <w:qFormat/>
    <w:uiPriority w:val="1"/>
    <w:pPr>
      <w:autoSpaceDE w:val="0"/>
      <w:autoSpaceDN w:val="0"/>
      <w:adjustRightInd w:val="0"/>
      <w:jc w:val="left"/>
    </w:pPr>
    <w:rPr>
      <w:rFonts w:ascii="仿宋_GB2312" w:hAnsi="Times New Roman" w:eastAsia="仿宋_GB2312" w:cs="仿宋_GB2312"/>
      <w:b/>
      <w:bCs/>
      <w:kern w:val="0"/>
      <w:sz w:val="32"/>
      <w:szCs w:val="32"/>
    </w:rPr>
  </w:style>
  <w:style w:type="paragraph" w:styleId="9">
    <w:name w:val="toc 5"/>
    <w:basedOn w:val="1"/>
    <w:next w:val="1"/>
    <w:unhideWhenUsed/>
    <w:qFormat/>
    <w:uiPriority w:val="39"/>
    <w:pPr>
      <w:ind w:left="1680" w:leftChars="800"/>
    </w:pPr>
  </w:style>
  <w:style w:type="paragraph" w:styleId="10">
    <w:name w:val="toc 3"/>
    <w:basedOn w:val="1"/>
    <w:next w:val="1"/>
    <w:unhideWhenUsed/>
    <w:qFormat/>
    <w:uiPriority w:val="39"/>
    <w:pPr>
      <w:tabs>
        <w:tab w:val="right" w:leader="dot" w:pos="8834"/>
      </w:tabs>
      <w:ind w:left="840" w:leftChars="400"/>
    </w:pPr>
    <w:rPr>
      <w:rFonts w:ascii="仿宋" w:hAnsi="仿宋" w:eastAsia="仿宋"/>
    </w:rPr>
  </w:style>
  <w:style w:type="paragraph" w:styleId="11">
    <w:name w:val="toc 8"/>
    <w:basedOn w:val="1"/>
    <w:next w:val="1"/>
    <w:unhideWhenUsed/>
    <w:qFormat/>
    <w:uiPriority w:val="39"/>
    <w:pPr>
      <w:ind w:left="2940" w:leftChars="1400"/>
    </w:pPr>
  </w:style>
  <w:style w:type="paragraph" w:styleId="12">
    <w:name w:val="Balloon Text"/>
    <w:basedOn w:val="1"/>
    <w:link w:val="34"/>
    <w:unhideWhenUsed/>
    <w:qFormat/>
    <w:uiPriority w:val="0"/>
    <w:rPr>
      <w:sz w:val="18"/>
      <w:szCs w:val="18"/>
    </w:rPr>
  </w:style>
  <w:style w:type="paragraph" w:styleId="13">
    <w:name w:val="footer"/>
    <w:basedOn w:val="1"/>
    <w:link w:val="29"/>
    <w:unhideWhenUsed/>
    <w:qFormat/>
    <w:uiPriority w:val="99"/>
    <w:pPr>
      <w:tabs>
        <w:tab w:val="center" w:pos="4153"/>
        <w:tab w:val="right" w:pos="8306"/>
      </w:tabs>
      <w:snapToGrid w:val="0"/>
      <w:jc w:val="left"/>
    </w:pPr>
    <w:rPr>
      <w:sz w:val="18"/>
      <w:szCs w:val="18"/>
    </w:rPr>
  </w:style>
  <w:style w:type="paragraph" w:styleId="14">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pPr>
      <w:tabs>
        <w:tab w:val="right" w:leader="dot" w:pos="8834"/>
      </w:tabs>
      <w:jc w:val="center"/>
    </w:pPr>
    <w:rPr>
      <w:rFonts w:ascii="Times New Roman" w:hAnsi="Times New Roman" w:eastAsia="黑体" w:cs="Times New Roman"/>
      <w:sz w:val="36"/>
      <w:szCs w:val="28"/>
    </w:rPr>
  </w:style>
  <w:style w:type="paragraph" w:styleId="16">
    <w:name w:val="toc 4"/>
    <w:basedOn w:val="1"/>
    <w:next w:val="1"/>
    <w:unhideWhenUsed/>
    <w:qFormat/>
    <w:uiPriority w:val="39"/>
    <w:pPr>
      <w:ind w:left="1260" w:leftChars="600"/>
    </w:pPr>
  </w:style>
  <w:style w:type="paragraph" w:styleId="17">
    <w:name w:val="toc 6"/>
    <w:basedOn w:val="1"/>
    <w:next w:val="1"/>
    <w:unhideWhenUsed/>
    <w:qFormat/>
    <w:uiPriority w:val="39"/>
    <w:pPr>
      <w:ind w:left="2100" w:leftChars="1000"/>
    </w:pPr>
  </w:style>
  <w:style w:type="paragraph" w:styleId="18">
    <w:name w:val="index 9"/>
    <w:basedOn w:val="1"/>
    <w:next w:val="1"/>
    <w:unhideWhenUsed/>
    <w:qFormat/>
    <w:uiPriority w:val="99"/>
    <w:pPr>
      <w:spacing w:line="276" w:lineRule="auto"/>
      <w:jc w:val="center"/>
    </w:pPr>
    <w:rPr>
      <w:rFonts w:ascii="仿宋_GB2312" w:hAnsi="微软雅黑" w:eastAsia="仿宋_GB2312" w:cs="Times New Roman"/>
      <w:color w:val="222222"/>
      <w:sz w:val="24"/>
      <w:szCs w:val="24"/>
    </w:rPr>
  </w:style>
  <w:style w:type="paragraph" w:styleId="19">
    <w:name w:val="toc 2"/>
    <w:basedOn w:val="1"/>
    <w:next w:val="1"/>
    <w:unhideWhenUsed/>
    <w:qFormat/>
    <w:uiPriority w:val="39"/>
    <w:pPr>
      <w:ind w:left="420" w:leftChars="200"/>
    </w:pPr>
    <w:rPr>
      <w:rFonts w:ascii="Times New Roman" w:hAnsi="Times New Roman" w:eastAsia="宋体" w:cs="Times New Roman"/>
      <w:szCs w:val="24"/>
    </w:rPr>
  </w:style>
  <w:style w:type="paragraph" w:styleId="20">
    <w:name w:val="toc 9"/>
    <w:basedOn w:val="1"/>
    <w:next w:val="1"/>
    <w:unhideWhenUsed/>
    <w:qFormat/>
    <w:uiPriority w:val="39"/>
    <w:pPr>
      <w:ind w:left="3360" w:leftChars="1600"/>
    </w:pPr>
  </w:style>
  <w:style w:type="paragraph" w:styleId="21">
    <w:name w:val="Normal (Web)"/>
    <w:basedOn w:val="1"/>
    <w:qFormat/>
    <w:uiPriority w:val="99"/>
    <w:pPr>
      <w:widowControl/>
      <w:spacing w:before="100" w:beforeAutospacing="1" w:after="100" w:afterAutospacing="1"/>
      <w:jc w:val="left"/>
    </w:pPr>
    <w:rPr>
      <w:rFonts w:ascii="宋体" w:hAnsi="宋体" w:eastAsia="仿宋_GB2312" w:cs="宋体"/>
      <w:kern w:val="0"/>
      <w:sz w:val="24"/>
      <w:szCs w:val="32"/>
    </w:rPr>
  </w:style>
  <w:style w:type="table" w:styleId="23">
    <w:name w:val="Table Grid"/>
    <w:basedOn w:val="2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Emphasis"/>
    <w:basedOn w:val="24"/>
    <w:qFormat/>
    <w:uiPriority w:val="20"/>
    <w:rPr>
      <w:i/>
    </w:rPr>
  </w:style>
  <w:style w:type="character" w:styleId="26">
    <w:name w:val="Hyperlink"/>
    <w:basedOn w:val="24"/>
    <w:unhideWhenUsed/>
    <w:qFormat/>
    <w:uiPriority w:val="99"/>
    <w:rPr>
      <w:color w:val="0563C1" w:themeColor="hyperlink"/>
      <w:u w:val="single"/>
      <w14:textFill>
        <w14:solidFill>
          <w14:schemeClr w14:val="hlink"/>
        </w14:solidFill>
      </w14:textFill>
    </w:rPr>
  </w:style>
  <w:style w:type="paragraph" w:customStyle="1" w:styleId="27">
    <w:name w:val="目录文字"/>
    <w:basedOn w:val="1"/>
    <w:qFormat/>
    <w:uiPriority w:val="0"/>
    <w:pPr>
      <w:widowControl/>
      <w:spacing w:line="480" w:lineRule="auto"/>
      <w:jc w:val="left"/>
    </w:pPr>
    <w:rPr>
      <w:rFonts w:ascii="宋体" w:hAnsi="宋体" w:eastAsia="宋体" w:cs="Times New Roman"/>
      <w:kern w:val="0"/>
      <w:sz w:val="24"/>
      <w:szCs w:val="20"/>
    </w:rPr>
  </w:style>
  <w:style w:type="character" w:customStyle="1" w:styleId="28">
    <w:name w:val="页眉 Char"/>
    <w:basedOn w:val="24"/>
    <w:link w:val="14"/>
    <w:qFormat/>
    <w:uiPriority w:val="99"/>
    <w:rPr>
      <w:sz w:val="18"/>
      <w:szCs w:val="18"/>
    </w:rPr>
  </w:style>
  <w:style w:type="character" w:customStyle="1" w:styleId="29">
    <w:name w:val="页脚 Char"/>
    <w:basedOn w:val="24"/>
    <w:link w:val="13"/>
    <w:qFormat/>
    <w:uiPriority w:val="99"/>
    <w:rPr>
      <w:sz w:val="18"/>
      <w:szCs w:val="18"/>
    </w:rPr>
  </w:style>
  <w:style w:type="character" w:customStyle="1" w:styleId="30">
    <w:name w:val="标题 1 Char"/>
    <w:basedOn w:val="24"/>
    <w:link w:val="2"/>
    <w:qFormat/>
    <w:uiPriority w:val="0"/>
    <w:rPr>
      <w:rFonts w:ascii="黑体" w:hAnsi="Calibri" w:eastAsia="黑体"/>
      <w:sz w:val="52"/>
      <w:lang w:val="zh-CN"/>
    </w:rPr>
  </w:style>
  <w:style w:type="character" w:customStyle="1" w:styleId="31">
    <w:name w:val="标题 2 Char"/>
    <w:basedOn w:val="24"/>
    <w:link w:val="3"/>
    <w:qFormat/>
    <w:uiPriority w:val="0"/>
    <w:rPr>
      <w:rFonts w:ascii="Calibri" w:hAnsi="Calibri" w:eastAsia="宋体" w:cs="Times New Roman"/>
      <w:b/>
      <w:kern w:val="0"/>
      <w:sz w:val="44"/>
      <w:szCs w:val="32"/>
    </w:rPr>
  </w:style>
  <w:style w:type="character" w:customStyle="1" w:styleId="32">
    <w:name w:val="标题 3 Char"/>
    <w:basedOn w:val="24"/>
    <w:link w:val="5"/>
    <w:qFormat/>
    <w:uiPriority w:val="9"/>
    <w:rPr>
      <w:rFonts w:ascii="Calibri" w:hAnsi="Calibri" w:eastAsia="宋体" w:cs="Times New Roman"/>
      <w:b/>
      <w:kern w:val="0"/>
      <w:sz w:val="32"/>
      <w:szCs w:val="20"/>
    </w:rPr>
  </w:style>
  <w:style w:type="paragraph" w:styleId="33">
    <w:name w:val="List Paragraph"/>
    <w:basedOn w:val="1"/>
    <w:qFormat/>
    <w:uiPriority w:val="34"/>
    <w:pPr>
      <w:ind w:firstLine="420" w:firstLineChars="200"/>
    </w:pPr>
  </w:style>
  <w:style w:type="character" w:customStyle="1" w:styleId="34">
    <w:name w:val="批注框文本 Char"/>
    <w:basedOn w:val="24"/>
    <w:link w:val="12"/>
    <w:qFormat/>
    <w:uiPriority w:val="0"/>
    <w:rPr>
      <w:sz w:val="18"/>
      <w:szCs w:val="18"/>
    </w:rPr>
  </w:style>
  <w:style w:type="paragraph" w:customStyle="1" w:styleId="35">
    <w:name w:val="Default"/>
    <w:qFormat/>
    <w:uiPriority w:val="0"/>
    <w:pPr>
      <w:widowControl w:val="0"/>
      <w:autoSpaceDE w:val="0"/>
      <w:autoSpaceDN w:val="0"/>
      <w:adjustRightInd w:val="0"/>
    </w:pPr>
    <w:rPr>
      <w:rFonts w:ascii="仿宋" w:eastAsia="仿宋" w:cs="仿宋" w:hAnsiTheme="minorHAnsi"/>
      <w:color w:val="000000"/>
      <w:sz w:val="24"/>
      <w:szCs w:val="24"/>
      <w:lang w:val="en-US" w:eastAsia="zh-CN" w:bidi="ar-SA"/>
    </w:rPr>
  </w:style>
  <w:style w:type="character" w:customStyle="1" w:styleId="36">
    <w:name w:val="标题 4 Char"/>
    <w:basedOn w:val="24"/>
    <w:link w:val="6"/>
    <w:qFormat/>
    <w:uiPriority w:val="9"/>
    <w:rPr>
      <w:rFonts w:asciiTheme="majorHAnsi" w:hAnsiTheme="majorHAnsi" w:eastAsiaTheme="majorEastAsia" w:cstheme="majorBidi"/>
      <w:b/>
      <w:bCs/>
      <w:sz w:val="28"/>
      <w:szCs w:val="28"/>
    </w:rPr>
  </w:style>
  <w:style w:type="character" w:customStyle="1" w:styleId="37">
    <w:name w:val="NormalCharacter"/>
    <w:link w:val="38"/>
    <w:qFormat/>
    <w:uiPriority w:val="0"/>
  </w:style>
  <w:style w:type="paragraph" w:customStyle="1" w:styleId="38">
    <w:name w:val="UserStyle_1"/>
    <w:basedOn w:val="1"/>
    <w:link w:val="37"/>
    <w:qFormat/>
    <w:uiPriority w:val="0"/>
    <w:pPr>
      <w:textAlignment w:val="baseline"/>
    </w:pPr>
  </w:style>
  <w:style w:type="character" w:customStyle="1" w:styleId="39">
    <w:name w:val="正文文本 Char"/>
    <w:basedOn w:val="24"/>
    <w:link w:val="8"/>
    <w:qFormat/>
    <w:uiPriority w:val="1"/>
    <w:rPr>
      <w:rFonts w:ascii="仿宋_GB2312" w:eastAsia="仿宋_GB2312" w:cs="仿宋_GB2312"/>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ACA66D-D2DE-411D-95F2-921694DFA01E}">
  <ds:schemaRefs/>
</ds:datastoreItem>
</file>

<file path=docProps/app.xml><?xml version="1.0" encoding="utf-8"?>
<Properties xmlns="http://schemas.openxmlformats.org/officeDocument/2006/extended-properties" xmlns:vt="http://schemas.openxmlformats.org/officeDocument/2006/docPropsVTypes">
  <Template>Normal</Template>
  <Company>IMI</Company>
  <Pages>33</Pages>
  <Words>4360</Words>
  <Characters>24853</Characters>
  <Lines>207</Lines>
  <Paragraphs>58</Paragraphs>
  <TotalTime>7</TotalTime>
  <ScaleCrop>false</ScaleCrop>
  <LinksUpToDate>false</LinksUpToDate>
  <CharactersWithSpaces>29155</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2021-05-22T06:19:00Z</dcterms:created>
  <dc:creator>lijian</dc:creator>
  <cp:lastModifiedBy>hgj545</cp:lastModifiedBy>
  <cp:lastPrinted>2022-01-21T08:12:00Z</cp:lastPrinted>
  <dcterms:modified xsi:type="dcterms:W3CDTF">2022-03-10T08:13:01Z</dcterms:modified>
  <cp:revision>533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