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 w:hAnsiTheme="minorEastAsia"/>
          <w:sz w:val="44"/>
          <w:szCs w:val="44"/>
        </w:rPr>
        <w:t>1—11月丰台区经济运行情况</w:t>
      </w:r>
    </w:p>
    <w:bookmarkEnd w:id="0"/>
    <w:p>
      <w:pPr>
        <w:pStyle w:val="2"/>
        <w:jc w:val="center"/>
      </w:pP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一、工业生产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全区规模以上工业企业实现工业总产值283.8亿元，比上年同期下降0.6%。从主要行业看，非金属矿物制品业增长33.5%，铁路、船舶、航空航天和其他运输设备制造业增长28.5%，计算机、通信和其他电子设备制造业增长13.7%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黑体" w:eastAsia="黑体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1—11月，</w:t>
      </w:r>
      <w:r>
        <w:rPr>
          <w:rFonts w:hint="eastAsia" w:ascii="仿宋_GB2312" w:eastAsia="仿宋_GB2312"/>
          <w:sz w:val="28"/>
          <w:szCs w:val="28"/>
        </w:rPr>
        <w:t>全区规模以上工业企业实现销售产值277亿元，比上年同期下降1%，其中出口交货值9.3亿元，下降48.7%。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二、固定资产投资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全区固定资产投资（不含农户）比上年同期增长16.6%。其中，基础设施投资增长12.2%；民间投资增长14.2%。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分产业看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，第一产业投资比上年同期下降75.3%；第二产业投资下降49.7%；第三产业投资增长19.2%。</w:t>
      </w:r>
    </w:p>
    <w:p>
      <w:pPr>
        <w:pStyle w:val="2"/>
        <w:tabs>
          <w:tab w:val="left" w:pos="5520"/>
        </w:tabs>
        <w:spacing w:line="500" w:lineRule="exact"/>
        <w:ind w:right="18"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三、房地产开发</w:t>
      </w:r>
    </w:p>
    <w:p>
      <w:pPr>
        <w:pStyle w:val="2"/>
        <w:tabs>
          <w:tab w:val="left" w:pos="5520"/>
        </w:tabs>
        <w:spacing w:line="500" w:lineRule="exact"/>
        <w:ind w:right="18"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1—11月，全区房地产开发投资比上年同期增长12.2%。其中，住宅投资增长18.3%。</w:t>
      </w:r>
    </w:p>
    <w:p>
      <w:pPr>
        <w:pStyle w:val="2"/>
        <w:tabs>
          <w:tab w:val="left" w:pos="5520"/>
        </w:tabs>
        <w:spacing w:line="500" w:lineRule="exact"/>
        <w:ind w:right="18"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，全区商品房施工面积1392.2万平方米，比上年同期增长3%。其中，住宅施工面积718.7万平方米，增长13.9%。全区商品房新开工面积167.5万平方米，下降26%。全区商品房竣工面积151.4万平方米，比上年同期增长2.5倍。其中，住宅竣工面积88.2万平方米，增长3.1倍。</w:t>
      </w:r>
    </w:p>
    <w:p>
      <w:pPr>
        <w:pStyle w:val="2"/>
        <w:tabs>
          <w:tab w:val="left" w:pos="5520"/>
        </w:tabs>
        <w:spacing w:line="500" w:lineRule="exact"/>
        <w:ind w:right="18"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全区</w:t>
      </w:r>
      <w:r>
        <w:rPr>
          <w:rFonts w:hint="eastAsia" w:ascii="仿宋_GB2312" w:eastAsia="仿宋_GB2312"/>
          <w:sz w:val="28"/>
          <w:szCs w:val="28"/>
        </w:rPr>
        <w:t>销售商品房130.9万平方米，比上年同期增长71.6%，其中住宅104.5万平方米，增长88%。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四、消费品市场</w:t>
      </w:r>
    </w:p>
    <w:p>
      <w:pPr>
        <w:tabs>
          <w:tab w:val="left" w:pos="5760"/>
        </w:tabs>
        <w:spacing w:line="500" w:lineRule="exact"/>
        <w:ind w:right="-15" w:firstLine="630"/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全区实现社会消费品零售额1295.2亿元，比上年同期增长9.8%。其中，限额以上企业实现零售额719.7亿元，增长14.9%；限额以下单位实现零售额575.5亿元，增长4%。在限额以上企业中，汽车类实现零售额131.6亿元，增长3.4%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5F63FD"/>
    <w:rsid w:val="006F4536"/>
    <w:rsid w:val="00E84D22"/>
    <w:rsid w:val="00F12723"/>
    <w:rsid w:val="66A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2021-12-20T02:51:00Z</dcterms:created>
  <dc:creator>hp</dc:creator>
  <cp:lastModifiedBy>信息员</cp:lastModifiedBy>
  <dcterms:modified xsi:type="dcterms:W3CDTF">2021-12-21T06:18:06Z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