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  <w:t>2024年</w:t>
      </w:r>
      <w:bookmarkStart w:id="0" w:name="_GoBack"/>
      <w:bookmarkEnd w:id="0"/>
      <w:r>
        <w:rPr>
          <w:rFonts w:hint="eastAsia" w:ascii="方正小标宋简体" w:eastAsia="方正小标宋简体" w:hAnsiTheme="minorEastAsia"/>
          <w:sz w:val="44"/>
          <w:szCs w:val="44"/>
        </w:rPr>
        <w:t>上半年丰台区经济运行情况</w:t>
      </w:r>
    </w:p>
    <w:p>
      <w:pPr>
        <w:pStyle w:val="2"/>
        <w:jc w:val="center"/>
      </w:pPr>
    </w:p>
    <w:p>
      <w:pPr>
        <w:snapToGrid w:val="0"/>
        <w:spacing w:line="520" w:lineRule="exact"/>
        <w:ind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上半年，面对错综复杂的宏观经济形势，全区上下认真贯彻落实党中央、国务院和市委市政府决策部署，坚持稳中求进工作总基调，全区经济总体运行平稳，居民收入稳步提高，高质量发展取得新进展。</w:t>
      </w:r>
    </w:p>
    <w:p>
      <w:pPr>
        <w:pStyle w:val="2"/>
        <w:spacing w:line="520" w:lineRule="exact"/>
        <w:ind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一、农业</w:t>
      </w:r>
    </w:p>
    <w:p>
      <w:pPr>
        <w:pStyle w:val="2"/>
        <w:spacing w:line="520" w:lineRule="exact"/>
        <w:ind w:left="-2" w:firstLine="560" w:firstLineChars="200"/>
        <w:rPr>
          <w:rFonts w:ascii="仿宋_GB2312" w:eastAsia="仿宋_GB2312"/>
          <w:kern w:val="0"/>
          <w:sz w:val="28"/>
          <w:szCs w:val="28"/>
          <w:lang w:val="zh-CN"/>
        </w:rPr>
      </w:pPr>
      <w:r>
        <w:rPr>
          <w:rFonts w:hint="eastAsia" w:ascii="仿宋_GB2312" w:eastAsia="仿宋_GB2312"/>
          <w:sz w:val="28"/>
          <w:szCs w:val="28"/>
        </w:rPr>
        <w:t>上半年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全区实现</w:t>
      </w:r>
      <w:r>
        <w:rPr>
          <w:rFonts w:ascii="仿宋_GB2312" w:eastAsia="仿宋_GB2312"/>
          <w:sz w:val="28"/>
          <w:szCs w:val="28"/>
        </w:rPr>
        <w:t>农</w:t>
      </w:r>
      <w:r>
        <w:rPr>
          <w:rFonts w:hint="eastAsia" w:ascii="仿宋_GB2312" w:eastAsia="仿宋_GB2312"/>
          <w:sz w:val="28"/>
          <w:szCs w:val="28"/>
        </w:rPr>
        <w:t>林牧渔</w:t>
      </w:r>
      <w:r>
        <w:rPr>
          <w:rFonts w:ascii="仿宋_GB2312" w:eastAsia="仿宋_GB2312"/>
          <w:sz w:val="28"/>
          <w:szCs w:val="28"/>
        </w:rPr>
        <w:t>业总产值</w:t>
      </w:r>
      <w:r>
        <w:rPr>
          <w:rFonts w:hint="eastAsia" w:ascii="仿宋_GB2312" w:eastAsia="仿宋_GB2312"/>
          <w:sz w:val="28"/>
          <w:szCs w:val="28"/>
        </w:rPr>
        <w:t>8228.5万元</w:t>
      </w:r>
      <w:r>
        <w:rPr>
          <w:rFonts w:ascii="仿宋_GB2312" w:eastAsia="仿宋_GB2312"/>
          <w:sz w:val="28"/>
          <w:szCs w:val="28"/>
        </w:rPr>
        <w:t>，比上年</w:t>
      </w:r>
      <w:r>
        <w:rPr>
          <w:rFonts w:hint="eastAsia" w:ascii="仿宋_GB2312" w:eastAsia="仿宋_GB2312"/>
          <w:sz w:val="28"/>
          <w:szCs w:val="28"/>
        </w:rPr>
        <w:t>同期增长54.5%</w:t>
      </w:r>
      <w:r>
        <w:rPr>
          <w:rFonts w:ascii="仿宋_GB2312" w:eastAsia="仿宋_GB2312"/>
          <w:sz w:val="28"/>
          <w:szCs w:val="28"/>
        </w:rPr>
        <w:t>。其中</w:t>
      </w:r>
      <w:r>
        <w:rPr>
          <w:rFonts w:hint="eastAsia" w:ascii="仿宋_GB2312" w:eastAsia="仿宋_GB2312"/>
          <w:sz w:val="28"/>
          <w:szCs w:val="28"/>
        </w:rPr>
        <w:t>，林业产值7319.1万元,增长61%；农业产值851万元,增长18.1%。</w:t>
      </w:r>
    </w:p>
    <w:p>
      <w:pPr>
        <w:pStyle w:val="2"/>
        <w:tabs>
          <w:tab w:val="left" w:pos="5520"/>
        </w:tabs>
        <w:spacing w:line="520" w:lineRule="exact"/>
        <w:ind w:right="18"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上半年，</w:t>
      </w:r>
      <w:r>
        <w:rPr>
          <w:rFonts w:hint="eastAsia" w:ascii="仿宋_GB2312" w:eastAsia="仿宋_GB2312"/>
          <w:sz w:val="28"/>
          <w:szCs w:val="28"/>
        </w:rPr>
        <w:t>全区农业观光园共接待116.1万人次，比上年同期下降2.4%，实现总收入9110.4万元，下降13.2%。</w:t>
      </w:r>
    </w:p>
    <w:p>
      <w:pPr>
        <w:tabs>
          <w:tab w:val="left" w:pos="5760"/>
        </w:tabs>
        <w:spacing w:line="520" w:lineRule="exact"/>
        <w:ind w:right="-15"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二、工业生产</w:t>
      </w:r>
    </w:p>
    <w:p>
      <w:pPr>
        <w:tabs>
          <w:tab w:val="left" w:pos="5760"/>
        </w:tabs>
        <w:spacing w:line="520" w:lineRule="exact"/>
        <w:ind w:right="-15"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上半年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全区规模以上工业企业实现工业总产值125.6亿元，比上年同期下降2.1%。</w:t>
      </w:r>
    </w:p>
    <w:p>
      <w:pPr>
        <w:tabs>
          <w:tab w:val="left" w:pos="5760"/>
        </w:tabs>
        <w:spacing w:line="520" w:lineRule="exact"/>
        <w:ind w:right="-15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上半年，</w:t>
      </w:r>
      <w:r>
        <w:rPr>
          <w:rFonts w:hint="eastAsia" w:ascii="仿宋_GB2312" w:eastAsia="仿宋_GB2312"/>
          <w:sz w:val="28"/>
          <w:szCs w:val="28"/>
        </w:rPr>
        <w:t>全区规模以上工业企业实现销售产值116.8亿元，比上年同期下降11.2%，其中出口交货值3.9亿元，增长8.2%。</w:t>
      </w:r>
    </w:p>
    <w:p>
      <w:pPr>
        <w:pStyle w:val="2"/>
        <w:tabs>
          <w:tab w:val="left" w:pos="5520"/>
        </w:tabs>
        <w:spacing w:line="520" w:lineRule="exact"/>
        <w:ind w:right="18"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三、建筑业</w:t>
      </w:r>
    </w:p>
    <w:p>
      <w:pPr>
        <w:pStyle w:val="2"/>
        <w:tabs>
          <w:tab w:val="left" w:pos="5520"/>
        </w:tabs>
        <w:spacing w:line="520" w:lineRule="exact"/>
        <w:ind w:right="18"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上半年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eastAsia="仿宋_GB2312"/>
          <w:bCs/>
          <w:sz w:val="28"/>
          <w:szCs w:val="28"/>
        </w:rPr>
        <w:t>全区具有资质等级的建筑业企业</w:t>
      </w:r>
      <w:r>
        <w:rPr>
          <w:rFonts w:hint="eastAsia" w:ascii="仿宋_GB2312" w:eastAsia="仿宋_GB2312"/>
          <w:sz w:val="28"/>
          <w:szCs w:val="28"/>
        </w:rPr>
        <w:t>完成总产值1345.5亿元，比上年同期下降2%。其中，在北京地区完成产值246.3亿元，下降0.1%；在外省完成产值1099.2亿元，下降2.4%。</w:t>
      </w:r>
    </w:p>
    <w:p>
      <w:pPr>
        <w:tabs>
          <w:tab w:val="left" w:pos="5760"/>
        </w:tabs>
        <w:spacing w:line="520" w:lineRule="exact"/>
        <w:ind w:right="-15"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四、固定资产投资</w:t>
      </w:r>
    </w:p>
    <w:p>
      <w:pPr>
        <w:tabs>
          <w:tab w:val="left" w:pos="5760"/>
        </w:tabs>
        <w:spacing w:line="520" w:lineRule="exact"/>
        <w:ind w:right="-15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上半年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全区固定资产投资（不含农户）比上年同期增长9.3%。其中，民间投资增长71%；建安投资下降10.3%。</w:t>
      </w:r>
    </w:p>
    <w:p>
      <w:pPr>
        <w:tabs>
          <w:tab w:val="left" w:pos="5760"/>
        </w:tabs>
        <w:spacing w:line="520" w:lineRule="exact"/>
        <w:ind w:right="-15"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分产业看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，第二产业投资比上年同期下降32.3%；第三产业投资增长10%。</w:t>
      </w:r>
    </w:p>
    <w:p>
      <w:pPr>
        <w:pStyle w:val="2"/>
        <w:tabs>
          <w:tab w:val="left" w:pos="5520"/>
        </w:tabs>
        <w:spacing w:line="520" w:lineRule="exact"/>
        <w:ind w:right="18"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五、房地产开发</w:t>
      </w:r>
    </w:p>
    <w:p>
      <w:pPr>
        <w:pStyle w:val="2"/>
        <w:tabs>
          <w:tab w:val="left" w:pos="5520"/>
        </w:tabs>
        <w:spacing w:line="520" w:lineRule="exact"/>
        <w:ind w:right="18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上半年，全区房地产开发投资比上年同期下降3.6%。其中，住宅投资增长10.4%。</w:t>
      </w:r>
    </w:p>
    <w:p>
      <w:pPr>
        <w:pStyle w:val="2"/>
        <w:tabs>
          <w:tab w:val="left" w:pos="5520"/>
        </w:tabs>
        <w:spacing w:line="520" w:lineRule="exact"/>
        <w:ind w:right="18"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上半年，全区房屋施工面积1107.9万平方米，比上年同期下降9.6%。其中，住宅施工面积615.6万平方米，下降3%。全区房屋新开工面积58.2万平方米，下降49.3%。全区房屋竣工面积73.1万平方米，比上年同期下降42.5%。其中，住宅竣工面积39.5万平方米，增长16%。</w:t>
      </w:r>
    </w:p>
    <w:p>
      <w:pPr>
        <w:pStyle w:val="2"/>
        <w:spacing w:line="520" w:lineRule="exact"/>
        <w:ind w:right="18" w:firstLine="560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上半年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全区</w:t>
      </w:r>
      <w:r>
        <w:rPr>
          <w:rFonts w:hint="eastAsia" w:ascii="仿宋_GB2312" w:eastAsia="仿宋_GB2312"/>
          <w:sz w:val="28"/>
          <w:szCs w:val="28"/>
        </w:rPr>
        <w:t>销售商品房52.2万平方米，比上年同期下降16.3%，其中住宅26.9万平方米，下降45.4%。</w:t>
      </w:r>
    </w:p>
    <w:p>
      <w:pPr>
        <w:tabs>
          <w:tab w:val="left" w:pos="5760"/>
        </w:tabs>
        <w:spacing w:line="520" w:lineRule="exact"/>
        <w:ind w:right="-15"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六、消费品市场</w:t>
      </w:r>
    </w:p>
    <w:p>
      <w:pPr>
        <w:tabs>
          <w:tab w:val="left" w:pos="5760"/>
        </w:tabs>
        <w:spacing w:line="520" w:lineRule="exact"/>
        <w:ind w:right="-15" w:firstLine="560" w:firstLineChars="20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上半年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全区实现社会消费品零售总额661.7亿元，比上年同期下降0.3%。其中，</w:t>
      </w:r>
      <w:r>
        <w:rPr>
          <w:rFonts w:hint="eastAsia" w:ascii="仿宋_GB2312" w:hAnsi="仿宋_GB2312" w:eastAsia="仿宋_GB2312" w:cs="仿宋_GB2312"/>
          <w:sz w:val="28"/>
          <w:szCs w:val="28"/>
        </w:rPr>
        <w:t>限额以上批发零售业和住宿餐饮业</w:t>
      </w:r>
      <w:r>
        <w:rPr>
          <w:rFonts w:hint="eastAsia" w:ascii="仿宋_GB2312" w:eastAsia="仿宋_GB2312"/>
          <w:sz w:val="28"/>
          <w:szCs w:val="28"/>
        </w:rPr>
        <w:t>实现网上零售额194.4亿元，增长2.7%。按消费形态分，商品零售606.6亿元，比上年同期下降0.1%；餐饮收入55亿元，下降2.6%。</w:t>
      </w:r>
    </w:p>
    <w:p>
      <w:pPr>
        <w:pStyle w:val="2"/>
        <w:spacing w:line="520" w:lineRule="exact"/>
        <w:ind w:right="18" w:firstLine="551" w:firstLineChars="196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七、居民收支</w:t>
      </w:r>
    </w:p>
    <w:p>
      <w:pPr>
        <w:pStyle w:val="2"/>
        <w:spacing w:line="520" w:lineRule="exact"/>
        <w:ind w:right="18" w:firstLine="560" w:firstLineChars="200"/>
      </w:pPr>
      <w:r>
        <w:rPr>
          <w:rFonts w:hint="eastAsia" w:ascii="仿宋_GB2312" w:eastAsia="仿宋_GB2312"/>
          <w:sz w:val="28"/>
          <w:szCs w:val="28"/>
        </w:rPr>
        <w:t>上半年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</w:rPr>
        <w:t>全区居民人均可支配收入41959元，比上年同期增长4.8%。人均消费支出24698元，增长6.8%。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AC"/>
    <w:rsid w:val="00012C25"/>
    <w:rsid w:val="000147ED"/>
    <w:rsid w:val="00026A23"/>
    <w:rsid w:val="00042138"/>
    <w:rsid w:val="000461D8"/>
    <w:rsid w:val="00061738"/>
    <w:rsid w:val="00072011"/>
    <w:rsid w:val="000745D0"/>
    <w:rsid w:val="000755DC"/>
    <w:rsid w:val="00081D93"/>
    <w:rsid w:val="000835A3"/>
    <w:rsid w:val="000B6B29"/>
    <w:rsid w:val="000B7C69"/>
    <w:rsid w:val="000C1C9D"/>
    <w:rsid w:val="00104B41"/>
    <w:rsid w:val="00141144"/>
    <w:rsid w:val="00145693"/>
    <w:rsid w:val="001556E2"/>
    <w:rsid w:val="00172FB4"/>
    <w:rsid w:val="00183C75"/>
    <w:rsid w:val="001E438C"/>
    <w:rsid w:val="00200E43"/>
    <w:rsid w:val="00204D8B"/>
    <w:rsid w:val="00221ADA"/>
    <w:rsid w:val="002431BD"/>
    <w:rsid w:val="00246755"/>
    <w:rsid w:val="002B05F4"/>
    <w:rsid w:val="002B2610"/>
    <w:rsid w:val="002B40BF"/>
    <w:rsid w:val="002C0542"/>
    <w:rsid w:val="002C375E"/>
    <w:rsid w:val="00303E06"/>
    <w:rsid w:val="00322E70"/>
    <w:rsid w:val="00381E7C"/>
    <w:rsid w:val="003833B0"/>
    <w:rsid w:val="003F7243"/>
    <w:rsid w:val="00400FA9"/>
    <w:rsid w:val="00416616"/>
    <w:rsid w:val="00422EB0"/>
    <w:rsid w:val="0043019B"/>
    <w:rsid w:val="004A58D3"/>
    <w:rsid w:val="004F6259"/>
    <w:rsid w:val="005362E4"/>
    <w:rsid w:val="00581FDF"/>
    <w:rsid w:val="005933F1"/>
    <w:rsid w:val="005C6C72"/>
    <w:rsid w:val="00621EAB"/>
    <w:rsid w:val="00640EB6"/>
    <w:rsid w:val="00645BC8"/>
    <w:rsid w:val="00657BA0"/>
    <w:rsid w:val="006613BE"/>
    <w:rsid w:val="006E0A30"/>
    <w:rsid w:val="00717111"/>
    <w:rsid w:val="0072294C"/>
    <w:rsid w:val="00752E86"/>
    <w:rsid w:val="00765135"/>
    <w:rsid w:val="00767F7F"/>
    <w:rsid w:val="007925C4"/>
    <w:rsid w:val="007A55AC"/>
    <w:rsid w:val="007A7E1E"/>
    <w:rsid w:val="007B108A"/>
    <w:rsid w:val="007E02AD"/>
    <w:rsid w:val="008045D3"/>
    <w:rsid w:val="00822374"/>
    <w:rsid w:val="00871E1C"/>
    <w:rsid w:val="008B421F"/>
    <w:rsid w:val="008D664D"/>
    <w:rsid w:val="008F0169"/>
    <w:rsid w:val="008F71CC"/>
    <w:rsid w:val="00934C97"/>
    <w:rsid w:val="00957F77"/>
    <w:rsid w:val="00971758"/>
    <w:rsid w:val="009928BF"/>
    <w:rsid w:val="00992D32"/>
    <w:rsid w:val="009C54A8"/>
    <w:rsid w:val="009E7C97"/>
    <w:rsid w:val="009F3A91"/>
    <w:rsid w:val="00A117FF"/>
    <w:rsid w:val="00A5652A"/>
    <w:rsid w:val="00A70ED0"/>
    <w:rsid w:val="00A735EA"/>
    <w:rsid w:val="00A8399B"/>
    <w:rsid w:val="00AB5D90"/>
    <w:rsid w:val="00AE1F63"/>
    <w:rsid w:val="00AE5735"/>
    <w:rsid w:val="00AE6CFA"/>
    <w:rsid w:val="00AF7140"/>
    <w:rsid w:val="00B00D04"/>
    <w:rsid w:val="00B1536C"/>
    <w:rsid w:val="00B36B6E"/>
    <w:rsid w:val="00B719F5"/>
    <w:rsid w:val="00B91259"/>
    <w:rsid w:val="00B959C7"/>
    <w:rsid w:val="00B96E88"/>
    <w:rsid w:val="00BB1291"/>
    <w:rsid w:val="00BF46EB"/>
    <w:rsid w:val="00BF5E7F"/>
    <w:rsid w:val="00C02450"/>
    <w:rsid w:val="00C16807"/>
    <w:rsid w:val="00C51A35"/>
    <w:rsid w:val="00C562B2"/>
    <w:rsid w:val="00CB243C"/>
    <w:rsid w:val="00CD0D3E"/>
    <w:rsid w:val="00CD4D4F"/>
    <w:rsid w:val="00CE73F3"/>
    <w:rsid w:val="00CF20ED"/>
    <w:rsid w:val="00D07A68"/>
    <w:rsid w:val="00D219F2"/>
    <w:rsid w:val="00D271F5"/>
    <w:rsid w:val="00D47A0C"/>
    <w:rsid w:val="00D549DA"/>
    <w:rsid w:val="00D6187B"/>
    <w:rsid w:val="00D83A04"/>
    <w:rsid w:val="00DC77A0"/>
    <w:rsid w:val="00DD2BAC"/>
    <w:rsid w:val="00DE08CA"/>
    <w:rsid w:val="00DE2FD6"/>
    <w:rsid w:val="00E00EE7"/>
    <w:rsid w:val="00E03C4E"/>
    <w:rsid w:val="00E25D33"/>
    <w:rsid w:val="00E93D6C"/>
    <w:rsid w:val="00F558B5"/>
    <w:rsid w:val="00F76AE8"/>
    <w:rsid w:val="00F87595"/>
    <w:rsid w:val="00F96D26"/>
    <w:rsid w:val="00FB3E31"/>
    <w:rsid w:val="00FD1970"/>
    <w:rsid w:val="00FF4381"/>
    <w:rsid w:val="4D18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148</Words>
  <Characters>849</Characters>
  <Lines>7</Lines>
  <Paragraphs>1</Paragraphs>
  <TotalTime>313</TotalTime>
  <ScaleCrop>false</ScaleCrop>
  <LinksUpToDate>false</LinksUpToDate>
  <CharactersWithSpaces>996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2019-04-24T02:06:00Z</dcterms:created>
  <dc:creator>hp</dc:creator>
  <cp:lastModifiedBy>信息员</cp:lastModifiedBy>
  <dcterms:modified xsi:type="dcterms:W3CDTF">2024-07-24T09:19:29Z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