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一季度丰台区经济运行情况</w:t>
      </w:r>
    </w:p>
    <w:p>
      <w:pPr>
        <w:pStyle w:val="2"/>
        <w:jc w:val="center"/>
      </w:pPr>
    </w:p>
    <w:p>
      <w:pPr>
        <w:snapToGrid w:val="0"/>
        <w:spacing w:line="52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Segoe UI" w:eastAsia="仿宋_GB2312" w:cs="Segoe UI"/>
          <w:color w:val="232930"/>
          <w:sz w:val="28"/>
          <w:szCs w:val="28"/>
          <w:shd w:val="clear" w:color="auto" w:fill="FFFFFF"/>
          <w:lang w:val="en-US" w:eastAsia="zh-CN"/>
        </w:rPr>
        <w:t>2025年</w:t>
      </w:r>
      <w:bookmarkStart w:id="0" w:name="_GoBack"/>
      <w:bookmarkEnd w:id="0"/>
      <w:r>
        <w:rPr>
          <w:rFonts w:hint="eastAsia" w:ascii="仿宋_GB2312" w:hAnsi="Segoe UI" w:eastAsia="仿宋_GB2312" w:cs="Segoe UI"/>
          <w:color w:val="232930"/>
          <w:sz w:val="28"/>
          <w:szCs w:val="28"/>
          <w:shd w:val="clear" w:color="auto" w:fill="FFFFFF"/>
        </w:rPr>
        <w:t>一季度，全区坚决贯彻落实党中央、国务院决策部署和市委、市政府工作要求，坚持稳中求进工作总基调，完整准确全面贯彻新发展理念，加快构建新发展格局，扎实推进高质量发展，工业生产较快增长，投资规模持续扩大，消费市场局部改善，经济运行起步平稳。</w:t>
      </w:r>
    </w:p>
    <w:p>
      <w:pPr>
        <w:pStyle w:val="2"/>
        <w:spacing w:line="52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一、农业</w:t>
      </w:r>
    </w:p>
    <w:p>
      <w:pPr>
        <w:pStyle w:val="2"/>
        <w:spacing w:line="520" w:lineRule="exact"/>
        <w:ind w:left="-2" w:firstLine="560" w:firstLineChars="200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</w:rPr>
        <w:t>一季度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</w:t>
      </w:r>
      <w:r>
        <w:rPr>
          <w:rFonts w:ascii="仿宋_GB2312" w:eastAsia="仿宋_GB2312"/>
          <w:sz w:val="28"/>
          <w:szCs w:val="28"/>
        </w:rPr>
        <w:t>农</w:t>
      </w:r>
      <w:r>
        <w:rPr>
          <w:rFonts w:hint="eastAsia" w:ascii="仿宋_GB2312" w:eastAsia="仿宋_GB2312"/>
          <w:sz w:val="28"/>
          <w:szCs w:val="28"/>
        </w:rPr>
        <w:t>林牧渔</w:t>
      </w:r>
      <w:r>
        <w:rPr>
          <w:rFonts w:ascii="仿宋_GB2312" w:eastAsia="仿宋_GB2312"/>
          <w:sz w:val="28"/>
          <w:szCs w:val="28"/>
        </w:rPr>
        <w:t>业总产值</w:t>
      </w:r>
      <w:r>
        <w:rPr>
          <w:rFonts w:hint="eastAsia" w:ascii="仿宋_GB2312" w:eastAsia="仿宋_GB2312"/>
          <w:sz w:val="28"/>
          <w:szCs w:val="28"/>
        </w:rPr>
        <w:t>2197.9万元</w:t>
      </w:r>
      <w:r>
        <w:rPr>
          <w:rFonts w:ascii="仿宋_GB2312" w:eastAsia="仿宋_GB2312"/>
          <w:sz w:val="28"/>
          <w:szCs w:val="28"/>
        </w:rPr>
        <w:t>，比上年</w:t>
      </w:r>
      <w:r>
        <w:rPr>
          <w:rFonts w:hint="eastAsia" w:ascii="仿宋_GB2312" w:eastAsia="仿宋_GB2312"/>
          <w:sz w:val="28"/>
          <w:szCs w:val="28"/>
        </w:rPr>
        <w:t>同期下降7.5%</w:t>
      </w:r>
      <w:r>
        <w:rPr>
          <w:rFonts w:ascii="仿宋_GB2312" w:eastAsia="仿宋_GB2312"/>
          <w:sz w:val="28"/>
          <w:szCs w:val="28"/>
        </w:rPr>
        <w:t>。其中</w:t>
      </w:r>
      <w:r>
        <w:rPr>
          <w:rFonts w:hint="eastAsia" w:ascii="仿宋_GB2312" w:eastAsia="仿宋_GB2312"/>
          <w:sz w:val="28"/>
          <w:szCs w:val="28"/>
        </w:rPr>
        <w:t>，农业产值279.9万元,增长0.8%；林业产值1888.8万元,下降8.8%。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一季度，</w:t>
      </w:r>
      <w:r>
        <w:rPr>
          <w:rFonts w:hint="eastAsia" w:ascii="仿宋_GB2312" w:eastAsia="仿宋_GB2312"/>
          <w:sz w:val="28"/>
          <w:szCs w:val="28"/>
        </w:rPr>
        <w:t>全区蔬菜及食用菌产量150.6吨，比上年同期下降0.7%。花卉产量1.8万盆，与上年同期持平。</w:t>
      </w:r>
    </w:p>
    <w:p>
      <w:pPr>
        <w:tabs>
          <w:tab w:val="left" w:pos="5760"/>
        </w:tabs>
        <w:spacing w:line="520" w:lineRule="exact"/>
        <w:ind w:right="-15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二、工业生产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一季度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全区规模以上工业企业实现工业总产值71亿元，比上年同期增长3.1%。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一季度，</w:t>
      </w:r>
      <w:r>
        <w:rPr>
          <w:rFonts w:hint="eastAsia" w:ascii="仿宋_GB2312" w:eastAsia="仿宋_GB2312"/>
          <w:sz w:val="28"/>
          <w:szCs w:val="28"/>
        </w:rPr>
        <w:t>全区规模以上工业企业实现销售产值65.5亿元，比上年同期增长4.4%，其中出口交货值1.3亿元，下降20.7%。</w:t>
      </w:r>
    </w:p>
    <w:p>
      <w:pPr>
        <w:pStyle w:val="2"/>
        <w:tabs>
          <w:tab w:val="left" w:pos="5520"/>
        </w:tabs>
        <w:spacing w:line="52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三、建筑业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一季度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bCs/>
          <w:sz w:val="28"/>
          <w:szCs w:val="28"/>
        </w:rPr>
        <w:t>全区具有资质等级的建筑业企业</w:t>
      </w:r>
      <w:r>
        <w:rPr>
          <w:rFonts w:hint="eastAsia" w:ascii="仿宋_GB2312" w:eastAsia="仿宋_GB2312"/>
          <w:sz w:val="28"/>
          <w:szCs w:val="28"/>
        </w:rPr>
        <w:t>完成总产值418.2亿元，比上年同期下降21.6%。其中，在北京地区完成产值97.8亿元，下降7.5%。</w:t>
      </w:r>
    </w:p>
    <w:p>
      <w:pPr>
        <w:tabs>
          <w:tab w:val="left" w:pos="5760"/>
        </w:tabs>
        <w:spacing w:line="520" w:lineRule="exact"/>
        <w:ind w:right="-15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四、固定资产投资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一季度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全区固定资产投资（不含农户）比上年同期增长17%。其中，基础设施投资增长11.2%；建安投资下降5.2%。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分产业看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，第二产业投资比上年同期增长15.1%；第三产业投资增长17%。</w:t>
      </w:r>
    </w:p>
    <w:p>
      <w:pPr>
        <w:pStyle w:val="2"/>
        <w:tabs>
          <w:tab w:val="left" w:pos="5520"/>
        </w:tabs>
        <w:spacing w:line="52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五、房地产开发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一季度，全区房地产开发投资比上年同期增长2.2%。其中，住宅投资增长21.3%。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一季度，全区房屋施工面积1013.9万平方米，比上年同期下降7.2%。其中，住宅施工面积564.5万平方米，下降5.2%。</w:t>
      </w:r>
    </w:p>
    <w:p>
      <w:pPr>
        <w:pStyle w:val="2"/>
        <w:spacing w:line="520" w:lineRule="exact"/>
        <w:ind w:right="18"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一季度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全区</w:t>
      </w:r>
      <w:r>
        <w:rPr>
          <w:rFonts w:hint="eastAsia" w:ascii="仿宋_GB2312" w:eastAsia="仿宋_GB2312"/>
          <w:sz w:val="28"/>
          <w:szCs w:val="28"/>
        </w:rPr>
        <w:t>销售商品房22.2万平方米，比上年同期下降9.6%，其中住宅10.8万平方米，下降3.4%。</w:t>
      </w:r>
    </w:p>
    <w:p>
      <w:pPr>
        <w:tabs>
          <w:tab w:val="left" w:pos="5760"/>
        </w:tabs>
        <w:spacing w:line="520" w:lineRule="exact"/>
        <w:ind w:right="-15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六、消费品市场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一季度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全区实现社会消费品零售总额219亿元，比上年同期下降4%。其中，</w:t>
      </w:r>
      <w:r>
        <w:rPr>
          <w:rFonts w:hint="eastAsia" w:ascii="仿宋_GB2312" w:hAnsi="仿宋_GB2312" w:eastAsia="仿宋_GB2312" w:cs="仿宋_GB2312"/>
          <w:sz w:val="28"/>
          <w:szCs w:val="28"/>
        </w:rPr>
        <w:t>限额以上批发零售业和住宿餐饮业</w:t>
      </w:r>
      <w:r>
        <w:rPr>
          <w:rFonts w:hint="eastAsia" w:ascii="仿宋_GB2312" w:eastAsia="仿宋_GB2312"/>
          <w:sz w:val="28"/>
          <w:szCs w:val="28"/>
        </w:rPr>
        <w:t>实现网上零售额35.3亿元，增长3.4%。按消费形态分，商品零售189.2亿元，比上年同期下降3.1%；餐饮收入29.8亿元，下降9.2%。</w:t>
      </w:r>
    </w:p>
    <w:p>
      <w:pPr>
        <w:pStyle w:val="2"/>
        <w:spacing w:line="52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七、居民收支</w:t>
      </w:r>
    </w:p>
    <w:p>
      <w:pPr>
        <w:pStyle w:val="2"/>
        <w:spacing w:line="520" w:lineRule="exact"/>
        <w:ind w:right="18" w:firstLine="560" w:firstLineChars="200"/>
      </w:pPr>
      <w:r>
        <w:rPr>
          <w:rFonts w:hint="eastAsia" w:ascii="仿宋_GB2312" w:eastAsia="仿宋_GB2312"/>
          <w:sz w:val="28"/>
          <w:szCs w:val="28"/>
        </w:rPr>
        <w:t>一季度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全区居民人均可支配收入23871元，比上年同期增长4%。人均消费支出13859元，下降0.3%。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C"/>
    <w:rsid w:val="00012C25"/>
    <w:rsid w:val="000147ED"/>
    <w:rsid w:val="000152EF"/>
    <w:rsid w:val="00026A23"/>
    <w:rsid w:val="00042138"/>
    <w:rsid w:val="000461D8"/>
    <w:rsid w:val="00061738"/>
    <w:rsid w:val="00072011"/>
    <w:rsid w:val="000745D0"/>
    <w:rsid w:val="000755DC"/>
    <w:rsid w:val="00081D93"/>
    <w:rsid w:val="000835A3"/>
    <w:rsid w:val="000B6B29"/>
    <w:rsid w:val="000B6F51"/>
    <w:rsid w:val="000B7C69"/>
    <w:rsid w:val="000C1C9D"/>
    <w:rsid w:val="00104B41"/>
    <w:rsid w:val="00141144"/>
    <w:rsid w:val="00145693"/>
    <w:rsid w:val="001556E2"/>
    <w:rsid w:val="00172FB4"/>
    <w:rsid w:val="00183C75"/>
    <w:rsid w:val="001D638A"/>
    <w:rsid w:val="001E438C"/>
    <w:rsid w:val="00200E43"/>
    <w:rsid w:val="00204D8B"/>
    <w:rsid w:val="00221ADA"/>
    <w:rsid w:val="002431BD"/>
    <w:rsid w:val="00246755"/>
    <w:rsid w:val="00247DCC"/>
    <w:rsid w:val="002A0F8D"/>
    <w:rsid w:val="002B05F4"/>
    <w:rsid w:val="002B2610"/>
    <w:rsid w:val="002B40BF"/>
    <w:rsid w:val="002C0542"/>
    <w:rsid w:val="002C375E"/>
    <w:rsid w:val="00303E06"/>
    <w:rsid w:val="00322E70"/>
    <w:rsid w:val="00381E7C"/>
    <w:rsid w:val="003833B0"/>
    <w:rsid w:val="003F7243"/>
    <w:rsid w:val="00400FA9"/>
    <w:rsid w:val="00416616"/>
    <w:rsid w:val="00422EB0"/>
    <w:rsid w:val="0043019B"/>
    <w:rsid w:val="00450F6B"/>
    <w:rsid w:val="00452E3A"/>
    <w:rsid w:val="00482D3A"/>
    <w:rsid w:val="004A58D3"/>
    <w:rsid w:val="004F6259"/>
    <w:rsid w:val="00533798"/>
    <w:rsid w:val="005362E4"/>
    <w:rsid w:val="005429BC"/>
    <w:rsid w:val="00581FDF"/>
    <w:rsid w:val="005933F1"/>
    <w:rsid w:val="005C6C72"/>
    <w:rsid w:val="005E0B1A"/>
    <w:rsid w:val="00621EAB"/>
    <w:rsid w:val="00640EB6"/>
    <w:rsid w:val="00643F6D"/>
    <w:rsid w:val="00645BC8"/>
    <w:rsid w:val="00657BA0"/>
    <w:rsid w:val="006613BE"/>
    <w:rsid w:val="00694AB4"/>
    <w:rsid w:val="006E0A30"/>
    <w:rsid w:val="006F3162"/>
    <w:rsid w:val="00717111"/>
    <w:rsid w:val="0072294C"/>
    <w:rsid w:val="00752E86"/>
    <w:rsid w:val="00765135"/>
    <w:rsid w:val="00767F7F"/>
    <w:rsid w:val="0077298A"/>
    <w:rsid w:val="007925C4"/>
    <w:rsid w:val="007A55AC"/>
    <w:rsid w:val="007A7E1E"/>
    <w:rsid w:val="007B108A"/>
    <w:rsid w:val="007E02AD"/>
    <w:rsid w:val="008045D3"/>
    <w:rsid w:val="00822374"/>
    <w:rsid w:val="00846E1A"/>
    <w:rsid w:val="00852E8F"/>
    <w:rsid w:val="00871E1C"/>
    <w:rsid w:val="008B421F"/>
    <w:rsid w:val="008D664D"/>
    <w:rsid w:val="008F0169"/>
    <w:rsid w:val="008F71CC"/>
    <w:rsid w:val="00934C97"/>
    <w:rsid w:val="00946859"/>
    <w:rsid w:val="00957F77"/>
    <w:rsid w:val="00962A81"/>
    <w:rsid w:val="00971758"/>
    <w:rsid w:val="00976B9F"/>
    <w:rsid w:val="009928BF"/>
    <w:rsid w:val="00992D32"/>
    <w:rsid w:val="009C54A8"/>
    <w:rsid w:val="009E1727"/>
    <w:rsid w:val="009E7C97"/>
    <w:rsid w:val="009F3A91"/>
    <w:rsid w:val="00A117FF"/>
    <w:rsid w:val="00A5652A"/>
    <w:rsid w:val="00A70ED0"/>
    <w:rsid w:val="00A735EA"/>
    <w:rsid w:val="00A8399B"/>
    <w:rsid w:val="00AB5D90"/>
    <w:rsid w:val="00AE1F63"/>
    <w:rsid w:val="00AE5735"/>
    <w:rsid w:val="00AE6CFA"/>
    <w:rsid w:val="00AF7140"/>
    <w:rsid w:val="00B00D04"/>
    <w:rsid w:val="00B1536C"/>
    <w:rsid w:val="00B36B6E"/>
    <w:rsid w:val="00B719F5"/>
    <w:rsid w:val="00B91259"/>
    <w:rsid w:val="00B91627"/>
    <w:rsid w:val="00B959C7"/>
    <w:rsid w:val="00B96E88"/>
    <w:rsid w:val="00BB1291"/>
    <w:rsid w:val="00BB1DFC"/>
    <w:rsid w:val="00BF46EB"/>
    <w:rsid w:val="00BF5E7F"/>
    <w:rsid w:val="00C02450"/>
    <w:rsid w:val="00C16807"/>
    <w:rsid w:val="00C17935"/>
    <w:rsid w:val="00C51589"/>
    <w:rsid w:val="00C51A35"/>
    <w:rsid w:val="00C562B2"/>
    <w:rsid w:val="00C94A6A"/>
    <w:rsid w:val="00CB243C"/>
    <w:rsid w:val="00CB5812"/>
    <w:rsid w:val="00CD0D3E"/>
    <w:rsid w:val="00CD4D4F"/>
    <w:rsid w:val="00CE73F3"/>
    <w:rsid w:val="00CF20ED"/>
    <w:rsid w:val="00D07A68"/>
    <w:rsid w:val="00D219F2"/>
    <w:rsid w:val="00D271F5"/>
    <w:rsid w:val="00D47A0C"/>
    <w:rsid w:val="00D549DA"/>
    <w:rsid w:val="00D6187B"/>
    <w:rsid w:val="00D83A04"/>
    <w:rsid w:val="00DC77A0"/>
    <w:rsid w:val="00DD2BAC"/>
    <w:rsid w:val="00DE08CA"/>
    <w:rsid w:val="00DE2C5E"/>
    <w:rsid w:val="00DE2FD6"/>
    <w:rsid w:val="00E00EE7"/>
    <w:rsid w:val="00E03C4E"/>
    <w:rsid w:val="00E25D33"/>
    <w:rsid w:val="00E36608"/>
    <w:rsid w:val="00E419FE"/>
    <w:rsid w:val="00E93D6C"/>
    <w:rsid w:val="00EB418C"/>
    <w:rsid w:val="00ED53DF"/>
    <w:rsid w:val="00F0200B"/>
    <w:rsid w:val="00F558B5"/>
    <w:rsid w:val="00F675D5"/>
    <w:rsid w:val="00F76AE8"/>
    <w:rsid w:val="00F87595"/>
    <w:rsid w:val="00F96D26"/>
    <w:rsid w:val="00FB3E31"/>
    <w:rsid w:val="00FD1970"/>
    <w:rsid w:val="00FF4381"/>
    <w:rsid w:val="1A1E6093"/>
    <w:rsid w:val="53A9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135</Words>
  <Characters>776</Characters>
  <Lines>6</Lines>
  <Paragraphs>1</Paragraphs>
  <TotalTime>415</TotalTime>
  <ScaleCrop>false</ScaleCrop>
  <LinksUpToDate>false</LinksUpToDate>
  <CharactersWithSpaces>910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2019-04-24T02:06:00Z</dcterms:created>
  <dc:creator>hp</dc:creator>
  <cp:lastModifiedBy>信息员</cp:lastModifiedBy>
  <dcterms:modified xsi:type="dcterms:W3CDTF">2025-04-25T05:44:31Z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