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eastAsia="zh-CN"/>
        </w:rPr>
        <w:t>月</w:t>
      </w:r>
    </w:p>
    <w:p>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中关村</w:t>
      </w:r>
      <w:r>
        <w:rPr>
          <w:rFonts w:hint="eastAsia" w:ascii="方正小标宋_GBK" w:hAnsi="方正小标宋_GBK" w:eastAsia="方正小标宋_GBK" w:cs="方正小标宋_GBK"/>
          <w:sz w:val="44"/>
          <w:szCs w:val="44"/>
          <w:lang w:eastAsia="zh-CN"/>
        </w:rPr>
        <w:t>示范区</w:t>
      </w:r>
      <w:r>
        <w:rPr>
          <w:rFonts w:hint="eastAsia" w:ascii="方正小标宋_GBK" w:hAnsi="方正小标宋_GBK" w:eastAsia="方正小标宋_GBK" w:cs="方正小标宋_GBK"/>
          <w:sz w:val="44"/>
          <w:szCs w:val="44"/>
        </w:rPr>
        <w:t>丰台园运行情况月度报告</w:t>
      </w:r>
    </w:p>
    <w:p>
      <w:pPr>
        <w:spacing w:line="600" w:lineRule="exact"/>
        <w:jc w:val="center"/>
        <w:outlineLvl w:val="0"/>
        <w:rPr>
          <w:rFonts w:ascii="楷体_GB2312" w:eastAsia="楷体_GB2312"/>
          <w:sz w:val="32"/>
          <w:szCs w:val="32"/>
        </w:rPr>
      </w:pPr>
      <w:r>
        <w:rPr>
          <w:rFonts w:hint="eastAsia" w:ascii="楷体_GB2312" w:eastAsia="楷体_GB2312"/>
          <w:sz w:val="32"/>
          <w:szCs w:val="32"/>
        </w:rPr>
        <w:t>丰台区统计局调查队园区统计所</w:t>
      </w:r>
    </w:p>
    <w:p>
      <w:pPr>
        <w:jc w:val="center"/>
        <w:outlineLvl w:val="0"/>
        <w:rPr>
          <w:rFonts w:hint="eastAsia" w:ascii="楷体_GB2312" w:eastAsia="楷体_GB2312"/>
          <w:sz w:val="32"/>
          <w:szCs w:val="32"/>
        </w:rPr>
      </w:pPr>
      <w:r>
        <w:rPr>
          <w:rFonts w:hint="eastAsia" w:ascii="楷体_GB2312" w:eastAsia="楷体_GB2312"/>
          <w:sz w:val="32"/>
          <w:szCs w:val="32"/>
        </w:rPr>
        <w:t>（二</w:t>
      </w:r>
      <w:r>
        <w:rPr>
          <w:rFonts w:hint="eastAsia" w:ascii="宋体" w:hAnsi="宋体" w:eastAsia="宋体" w:cs="宋体"/>
          <w:sz w:val="32"/>
          <w:szCs w:val="32"/>
        </w:rPr>
        <w:t>〇</w:t>
      </w:r>
      <w:r>
        <w:rPr>
          <w:rFonts w:hint="eastAsia" w:ascii="楷体_GB2312" w:eastAsia="楷体_GB2312"/>
          <w:sz w:val="32"/>
          <w:szCs w:val="32"/>
        </w:rPr>
        <w:t>二</w:t>
      </w:r>
      <w:r>
        <w:rPr>
          <w:rFonts w:hint="eastAsia" w:ascii="楷体" w:hAnsi="楷体" w:eastAsia="楷体" w:cs="宋体"/>
          <w:sz w:val="32"/>
          <w:szCs w:val="32"/>
          <w:lang w:eastAsia="zh-CN"/>
        </w:rPr>
        <w:t>五</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五</w:t>
      </w:r>
      <w:r>
        <w:rPr>
          <w:rFonts w:hint="eastAsia" w:ascii="楷体_GB2312" w:eastAsia="楷体_GB2312"/>
          <w:sz w:val="32"/>
          <w:szCs w:val="32"/>
        </w:rPr>
        <w:t>月</w:t>
      </w:r>
      <w:r>
        <w:rPr>
          <w:rFonts w:hint="eastAsia" w:ascii="楷体_GB2312" w:eastAsia="楷体_GB2312"/>
          <w:sz w:val="32"/>
          <w:szCs w:val="32"/>
          <w:lang w:eastAsia="zh-CN"/>
        </w:rPr>
        <w:t>十四</w:t>
      </w:r>
      <w:r>
        <w:rPr>
          <w:rFonts w:hint="eastAsia" w:ascii="楷体_GB2312" w:eastAsia="楷体_GB2312"/>
          <w:sz w:val="32"/>
          <w:szCs w:val="32"/>
        </w:rPr>
        <w:t>日）</w:t>
      </w:r>
    </w:p>
    <w:p>
      <w:pPr>
        <w:jc w:val="center"/>
        <w:rPr>
          <w:rFonts w:ascii="楷体_GB2312" w:eastAsia="楷体_GB2312"/>
          <w:sz w:val="32"/>
          <w:szCs w:val="32"/>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2025年</w:t>
      </w:r>
      <w:r>
        <w:rPr>
          <w:rFonts w:hint="eastAsia" w:ascii="仿宋_GB2312" w:eastAsia="仿宋_GB2312"/>
          <w:sz w:val="32"/>
          <w:szCs w:val="32"/>
          <w:lang w:eastAsia="zh-CN"/>
        </w:rPr>
        <w:t>1-3月</w:t>
      </w:r>
      <w:r>
        <w:rPr>
          <w:rFonts w:hint="eastAsia" w:ascii="仿宋_GB2312" w:eastAsia="仿宋_GB2312"/>
          <w:sz w:val="32"/>
          <w:szCs w:val="32"/>
        </w:rPr>
        <w:t>，</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424</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重点</w:t>
      </w:r>
      <w:r>
        <w:rPr>
          <w:rFonts w:ascii="仿宋_GB2312" w:eastAsia="仿宋_GB2312"/>
          <w:sz w:val="32"/>
          <w:szCs w:val="32"/>
        </w:rPr>
        <w:t>企业</w:t>
      </w:r>
      <w:r>
        <w:rPr>
          <w:rFonts w:hint="eastAsia" w:ascii="仿宋_GB2312" w:eastAsia="仿宋_GB2312"/>
          <w:sz w:val="32"/>
          <w:szCs w:val="32"/>
          <w:lang w:eastAsia="zh-CN"/>
        </w:rPr>
        <w:t>（以下简称中关村丰台园企业）</w:t>
      </w:r>
      <w:r>
        <w:rPr>
          <w:rFonts w:ascii="仿宋_GB2312" w:eastAsia="仿宋_GB2312"/>
          <w:sz w:val="32"/>
          <w:szCs w:val="32"/>
        </w:rPr>
        <w:t>实现总收入</w:t>
      </w:r>
      <w:r>
        <w:rPr>
          <w:rFonts w:hint="eastAsia" w:ascii="仿宋_GB2312" w:eastAsia="仿宋_GB2312"/>
          <w:snapToGrid w:val="0"/>
          <w:kern w:val="0"/>
          <w:sz w:val="32"/>
          <w:szCs w:val="32"/>
          <w:lang w:val="en-US" w:eastAsia="zh-CN"/>
        </w:rPr>
        <w:t>1168.2</w:t>
      </w:r>
      <w:r>
        <w:rPr>
          <w:rFonts w:hint="eastAsia" w:ascii="仿宋_GB2312" w:hAnsi="宋体" w:eastAsia="仿宋_GB2312" w:cs="Times New Roman"/>
          <w:sz w:val="32"/>
          <w:szCs w:val="32"/>
        </w:rPr>
        <w:t>亿元，同比</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7.9</w:t>
      </w:r>
      <w:r>
        <w:rPr>
          <w:rFonts w:hint="eastAsia" w:ascii="仿宋_GB2312" w:eastAsia="仿宋_GB2312"/>
          <w:snapToGrid w:val="0"/>
          <w:kern w:val="0"/>
          <w:sz w:val="32"/>
          <w:szCs w:val="32"/>
        </w:rPr>
        <w:t>%</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2025年1-2月相比，降幅扩大6.9个百分点。</w:t>
      </w:r>
      <w:r>
        <w:rPr>
          <w:rFonts w:hint="eastAsia" w:ascii="仿宋_GB2312" w:hAnsi="宋体" w:eastAsia="仿宋_GB2312" w:cs="宋体"/>
          <w:kern w:val="0"/>
          <w:sz w:val="32"/>
          <w:szCs w:val="32"/>
        </w:rPr>
        <w:t>实现技术收入</w:t>
      </w:r>
      <w:r>
        <w:rPr>
          <w:rFonts w:hint="eastAsia" w:ascii="仿宋_GB2312" w:eastAsia="仿宋_GB2312"/>
          <w:sz w:val="32"/>
          <w:szCs w:val="32"/>
          <w:lang w:val="en-US" w:eastAsia="zh-CN"/>
        </w:rPr>
        <w:t>233.3</w:t>
      </w:r>
      <w:r>
        <w:rPr>
          <w:rFonts w:ascii="仿宋_GB2312" w:eastAsia="仿宋_GB2312"/>
          <w:sz w:val="32"/>
          <w:szCs w:val="32"/>
        </w:rPr>
        <w:t>亿元，</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0.7</w:t>
      </w:r>
      <w:r>
        <w:rPr>
          <w:rFonts w:hint="eastAsia" w:ascii="仿宋_GB2312" w:eastAsia="仿宋_GB2312"/>
          <w:sz w:val="32"/>
          <w:szCs w:val="32"/>
        </w:rPr>
        <w:t>%</w:t>
      </w:r>
      <w:r>
        <w:rPr>
          <w:rFonts w:hint="eastAsia" w:ascii="仿宋_GB2312" w:eastAsia="仿宋_GB2312"/>
          <w:sz w:val="32"/>
          <w:szCs w:val="32"/>
          <w:lang w:eastAsia="zh-CN"/>
        </w:rPr>
        <w:t>，技术收入占总收入比重为</w:t>
      </w:r>
      <w:r>
        <w:rPr>
          <w:rFonts w:hint="eastAsia" w:ascii="仿宋_GB2312" w:eastAsia="仿宋_GB2312"/>
          <w:sz w:val="32"/>
          <w:szCs w:val="32"/>
          <w:lang w:val="en-US" w:eastAsia="zh-CN"/>
        </w:rPr>
        <w:t>20.0%。</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1-3月，</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265</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国家高新技术重点</w:t>
      </w:r>
      <w:r>
        <w:rPr>
          <w:rFonts w:ascii="仿宋_GB2312" w:eastAsia="仿宋_GB2312"/>
          <w:sz w:val="32"/>
          <w:szCs w:val="32"/>
        </w:rPr>
        <w:t>企业</w:t>
      </w:r>
      <w:r>
        <w:rPr>
          <w:rFonts w:hint="eastAsia" w:ascii="仿宋_GB2312" w:eastAsia="仿宋_GB2312"/>
          <w:sz w:val="32"/>
          <w:szCs w:val="32"/>
          <w:lang w:eastAsia="zh-CN"/>
        </w:rPr>
        <w:t>实现总收入503.1亿元，同比下降</w:t>
      </w:r>
      <w:r>
        <w:rPr>
          <w:rFonts w:hint="eastAsia" w:ascii="仿宋_GB2312" w:eastAsia="仿宋_GB2312"/>
          <w:sz w:val="32"/>
          <w:szCs w:val="32"/>
          <w:lang w:val="en-US" w:eastAsia="zh-CN"/>
        </w:rPr>
        <w:t>1.3%。</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1-3月</w:t>
      </w:r>
      <w:r>
        <w:rPr>
          <w:rFonts w:hint="eastAsia" w:ascii="仿宋_GB2312" w:eastAsia="仿宋_GB2312"/>
          <w:sz w:val="32"/>
          <w:szCs w:val="32"/>
        </w:rPr>
        <w:t>，</w:t>
      </w:r>
      <w:r>
        <w:rPr>
          <w:rFonts w:hint="eastAsia" w:ascii="仿宋_GB2312" w:eastAsia="仿宋_GB2312"/>
          <w:sz w:val="32"/>
          <w:szCs w:val="32"/>
          <w:lang w:eastAsia="zh-CN"/>
        </w:rPr>
        <w:t>中关村丰台园企业研究开发人员合计</w:t>
      </w:r>
      <w:r>
        <w:rPr>
          <w:rFonts w:hint="eastAsia" w:ascii="仿宋_GB2312" w:eastAsia="仿宋_GB2312"/>
          <w:sz w:val="32"/>
          <w:szCs w:val="32"/>
          <w:lang w:val="en-US" w:eastAsia="zh-CN"/>
        </w:rPr>
        <w:t>2.2万人，同比增长0.3%；研究开发费用合计21.0亿元，同比下降0.5%，与2025年1-2月相比，降幅收窄5.1个百分点。</w:t>
      </w:r>
      <w:bookmarkStart w:id="0" w:name="_GoBack"/>
      <w:bookmarkEnd w:id="0"/>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中关村示范区丰台园规模以上重点企业总收入、研究开发费用合计同比增速</w:t>
      </w:r>
    </w:p>
    <w:p>
      <w:pPr>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单位：%</w:t>
      </w:r>
    </w:p>
    <w:p>
      <w:pPr>
        <w:jc w:val="right"/>
        <w:rPr>
          <w:rFonts w:hint="eastAsia" w:asciiTheme="minorEastAsia" w:hAnsiTheme="minorEastAsia" w:cstheme="minorEastAsia"/>
          <w:sz w:val="24"/>
          <w:szCs w:val="24"/>
          <w:lang w:val="en-US" w:eastAsia="zh-CN"/>
        </w:rPr>
      </w:pPr>
      <w:r>
        <w:rPr>
          <w:rFonts w:hint="eastAsia" w:ascii="仿宋_GB2312" w:hAnsi="仿宋_GB2312" w:eastAsia="仿宋_GB2312" w:cs="仿宋_GB2312"/>
          <w:i w:val="0"/>
          <w:caps w:val="0"/>
          <w:color w:val="232930"/>
          <w:spacing w:val="0"/>
          <w:sz w:val="32"/>
          <w:szCs w:val="32"/>
          <w:shd w:val="clear" w:fill="FFFFFF"/>
          <w:lang w:eastAsia="zh-CN"/>
        </w:rPr>
        <w:drawing>
          <wp:anchor distT="0" distB="0" distL="114300" distR="114300" simplePos="0" relativeHeight="251658240" behindDoc="1" locked="0" layoutInCell="1" allowOverlap="1">
            <wp:simplePos x="0" y="0"/>
            <wp:positionH relativeFrom="column">
              <wp:posOffset>-608330</wp:posOffset>
            </wp:positionH>
            <wp:positionV relativeFrom="paragraph">
              <wp:posOffset>13335</wp:posOffset>
            </wp:positionV>
            <wp:extent cx="6400165" cy="2058670"/>
            <wp:effectExtent l="0" t="0" r="635" b="17780"/>
            <wp:wrapTight wrapText="bothSides">
              <wp:wrapPolygon>
                <wp:start x="0" y="0"/>
                <wp:lineTo x="0" y="21387"/>
                <wp:lineTo x="21538" y="21387"/>
                <wp:lineTo x="21538"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附注</w:t>
      </w:r>
    </w:p>
    <w:p>
      <w:pPr>
        <w:numPr>
          <w:ilvl w:val="0"/>
          <w:numId w:val="1"/>
        </w:num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统计范围</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采集渠道</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由注册在中关村国家自主创新示范区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内的规模（限额）以上重点企业法人单位通过北京统计联网直报系统报送。</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主要统计指标解释</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其他</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lang w:val="en-US" w:eastAsia="zh-CN"/>
        </w:rPr>
        <w:t>1.</w:t>
      </w:r>
      <w:r>
        <w:rPr>
          <w:rFonts w:hint="eastAsia" w:ascii="仿宋_GB2312" w:hAnsi="仿宋_GB2312" w:eastAsia="仿宋_GB2312" w:cs="仿宋_GB2312"/>
          <w:i w:val="0"/>
          <w:caps w:val="0"/>
          <w:color w:val="232930"/>
          <w:spacing w:val="0"/>
          <w:sz w:val="32"/>
          <w:szCs w:val="32"/>
          <w:shd w:val="clear" w:fill="FFFFFF"/>
        </w:rPr>
        <w:t>按照工业和信息化部《国家高新区和高新技术企业统计调查制度》规定，国家重点支持的高新技术领域包括电子信息、生物与新医药、航空航天、新材料、高技术服务、新能源与节能、资源与环境、先进制造与自动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32930"/>
          <w:spacing w:val="0"/>
          <w:sz w:val="32"/>
          <w:szCs w:val="32"/>
          <w:shd w:val="clear" w:fill="FFFFFF"/>
          <w:lang w:val="en-US" w:eastAsia="zh-CN"/>
        </w:rPr>
        <w:t>2.</w:t>
      </w:r>
      <w:r>
        <w:rPr>
          <w:rFonts w:hint="eastAsia" w:ascii="仿宋_GB2312" w:hAnsi="仿宋_GB2312" w:eastAsia="仿宋_GB2312" w:cs="仿宋_GB2312"/>
          <w:i w:val="0"/>
          <w:caps w:val="0"/>
          <w:color w:val="232930"/>
          <w:spacing w:val="0"/>
          <w:sz w:val="32"/>
          <w:szCs w:val="32"/>
          <w:shd w:val="clear" w:fill="FFFFFF"/>
        </w:rPr>
        <w:t>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45"/>
    <w:multiLevelType w:val="singleLevel"/>
    <w:tmpl w:val="06AA4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A"/>
    <w:rsid w:val="000E2F97"/>
    <w:rsid w:val="00367A25"/>
    <w:rsid w:val="003A604B"/>
    <w:rsid w:val="009E0805"/>
    <w:rsid w:val="009E4105"/>
    <w:rsid w:val="00B805C3"/>
    <w:rsid w:val="00DC084F"/>
    <w:rsid w:val="00E20E9A"/>
    <w:rsid w:val="00E24F27"/>
    <w:rsid w:val="00F728A4"/>
    <w:rsid w:val="01CC4CBD"/>
    <w:rsid w:val="03302B60"/>
    <w:rsid w:val="058B713F"/>
    <w:rsid w:val="07487424"/>
    <w:rsid w:val="074A00FD"/>
    <w:rsid w:val="09B25007"/>
    <w:rsid w:val="0F107FC8"/>
    <w:rsid w:val="114C2D74"/>
    <w:rsid w:val="150B3B44"/>
    <w:rsid w:val="1764570F"/>
    <w:rsid w:val="1D9C5F2D"/>
    <w:rsid w:val="229A56BE"/>
    <w:rsid w:val="255D09EC"/>
    <w:rsid w:val="2598225C"/>
    <w:rsid w:val="25C73497"/>
    <w:rsid w:val="25EB5C39"/>
    <w:rsid w:val="26385756"/>
    <w:rsid w:val="26995DBC"/>
    <w:rsid w:val="2AD43A1D"/>
    <w:rsid w:val="2D6012E8"/>
    <w:rsid w:val="30F10FA3"/>
    <w:rsid w:val="342F5CC7"/>
    <w:rsid w:val="347519C0"/>
    <w:rsid w:val="34D12F4C"/>
    <w:rsid w:val="391B4D13"/>
    <w:rsid w:val="39CB18AB"/>
    <w:rsid w:val="3A113820"/>
    <w:rsid w:val="3B2C7E35"/>
    <w:rsid w:val="3DD4601E"/>
    <w:rsid w:val="3E0F0D4A"/>
    <w:rsid w:val="4096190C"/>
    <w:rsid w:val="423E7660"/>
    <w:rsid w:val="425F7A1B"/>
    <w:rsid w:val="44324D0E"/>
    <w:rsid w:val="44552155"/>
    <w:rsid w:val="482945D8"/>
    <w:rsid w:val="49494FD8"/>
    <w:rsid w:val="4D261988"/>
    <w:rsid w:val="51B36046"/>
    <w:rsid w:val="528B441D"/>
    <w:rsid w:val="543E4192"/>
    <w:rsid w:val="547E2B67"/>
    <w:rsid w:val="549A1149"/>
    <w:rsid w:val="57C21666"/>
    <w:rsid w:val="5AAA2E19"/>
    <w:rsid w:val="5FE963B0"/>
    <w:rsid w:val="655321C6"/>
    <w:rsid w:val="66163474"/>
    <w:rsid w:val="6D6B5657"/>
    <w:rsid w:val="6E9B7DA0"/>
    <w:rsid w:val="6ECE4627"/>
    <w:rsid w:val="78021482"/>
    <w:rsid w:val="793F179E"/>
    <w:rsid w:val="7A3E68B2"/>
    <w:rsid w:val="7B531C40"/>
    <w:rsid w:val="7C653980"/>
    <w:rsid w:val="7DC9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总收入同比增速</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Sheet1!$A$2:$A$13</c:f>
              <c:strCache>
                <c:ptCount val="12"/>
                <c:pt idx="0">
                  <c:v>2024年
1-2月</c:v>
                </c:pt>
                <c:pt idx="1">
                  <c:v>2024年
1-3月</c:v>
                </c:pt>
                <c:pt idx="2">
                  <c:v>2024年
1-4月</c:v>
                </c:pt>
                <c:pt idx="3">
                  <c:v>2024年
1-5月</c:v>
                </c:pt>
                <c:pt idx="4">
                  <c:v>2024年
1-6月</c:v>
                </c:pt>
                <c:pt idx="5">
                  <c:v>2024年
1-7月</c:v>
                </c:pt>
                <c:pt idx="6">
                  <c:v>2024年
1-8月</c:v>
                </c:pt>
                <c:pt idx="7">
                  <c:v>2024年
1-9月</c:v>
                </c:pt>
                <c:pt idx="8">
                  <c:v>2024年
1-10月</c:v>
                </c:pt>
                <c:pt idx="9">
                  <c:v>2024年
1-11月</c:v>
                </c:pt>
                <c:pt idx="10">
                  <c:v>2025年
1-2月</c:v>
                </c:pt>
                <c:pt idx="11">
                  <c:v>2025年
1-3月</c:v>
                </c:pt>
              </c:strCache>
            </c:strRef>
          </c:cat>
          <c:val>
            <c:numRef>
              <c:f>Sheet1!$B$2:$B$13</c:f>
              <c:numCache>
                <c:formatCode>0.0_ </c:formatCode>
                <c:ptCount val="12"/>
                <c:pt idx="0">
                  <c:v>-3.153</c:v>
                </c:pt>
                <c:pt idx="1">
                  <c:v>-3.6823</c:v>
                </c:pt>
                <c:pt idx="2">
                  <c:v>-5.8035</c:v>
                </c:pt>
                <c:pt idx="3">
                  <c:v>-5.8901</c:v>
                </c:pt>
                <c:pt idx="4">
                  <c:v>-4.8429</c:v>
                </c:pt>
                <c:pt idx="5">
                  <c:v>-2.4251</c:v>
                </c:pt>
                <c:pt idx="6">
                  <c:v>-4.4438</c:v>
                </c:pt>
                <c:pt idx="7">
                  <c:v>-4.3666</c:v>
                </c:pt>
                <c:pt idx="8">
                  <c:v>-5.4471</c:v>
                </c:pt>
                <c:pt idx="9">
                  <c:v>-4.852</c:v>
                </c:pt>
                <c:pt idx="10">
                  <c:v>-1.0473</c:v>
                </c:pt>
                <c:pt idx="11">
                  <c:v>-7.9217</c:v>
                </c:pt>
              </c:numCache>
            </c:numRef>
          </c:val>
          <c:smooth val="0"/>
        </c:ser>
        <c:ser>
          <c:idx val="1"/>
          <c:order val="1"/>
          <c:tx>
            <c:strRef>
              <c:f>Sheet1!$C$1</c:f>
              <c:strCache>
                <c:ptCount val="1"/>
                <c:pt idx="0">
                  <c:v>研究开发费用合计同比增速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Sheet1!$A$2:$A$13</c:f>
              <c:strCache>
                <c:ptCount val="12"/>
                <c:pt idx="0">
                  <c:v>2024年
1-2月</c:v>
                </c:pt>
                <c:pt idx="1">
                  <c:v>2024年
1-3月</c:v>
                </c:pt>
                <c:pt idx="2">
                  <c:v>2024年
1-4月</c:v>
                </c:pt>
                <c:pt idx="3">
                  <c:v>2024年
1-5月</c:v>
                </c:pt>
                <c:pt idx="4">
                  <c:v>2024年
1-6月</c:v>
                </c:pt>
                <c:pt idx="5">
                  <c:v>2024年
1-7月</c:v>
                </c:pt>
                <c:pt idx="6">
                  <c:v>2024年
1-8月</c:v>
                </c:pt>
                <c:pt idx="7">
                  <c:v>2024年
1-9月</c:v>
                </c:pt>
                <c:pt idx="8">
                  <c:v>2024年
1-10月</c:v>
                </c:pt>
                <c:pt idx="9">
                  <c:v>2024年
1-11月</c:v>
                </c:pt>
                <c:pt idx="10">
                  <c:v>2025年
1-2月</c:v>
                </c:pt>
                <c:pt idx="11">
                  <c:v>2025年
1-3月</c:v>
                </c:pt>
              </c:strCache>
            </c:strRef>
          </c:cat>
          <c:val>
            <c:numRef>
              <c:f>Sheet1!$C$2:$C$13</c:f>
              <c:numCache>
                <c:formatCode>0.0_ </c:formatCode>
                <c:ptCount val="12"/>
                <c:pt idx="0">
                  <c:v>-9.2341</c:v>
                </c:pt>
                <c:pt idx="1">
                  <c:v>-12.1117</c:v>
                </c:pt>
                <c:pt idx="2">
                  <c:v>-11.3278</c:v>
                </c:pt>
                <c:pt idx="3">
                  <c:v>-11.8698</c:v>
                </c:pt>
                <c:pt idx="4">
                  <c:v>-9.2926</c:v>
                </c:pt>
                <c:pt idx="5">
                  <c:v>-8.4012</c:v>
                </c:pt>
                <c:pt idx="6">
                  <c:v>-10.3132</c:v>
                </c:pt>
                <c:pt idx="7">
                  <c:v>-9.723</c:v>
                </c:pt>
                <c:pt idx="8">
                  <c:v>-12.4085</c:v>
                </c:pt>
                <c:pt idx="9">
                  <c:v>-11.2152</c:v>
                </c:pt>
                <c:pt idx="10">
                  <c:v>-5.6412</c:v>
                </c:pt>
                <c:pt idx="11">
                  <c:v>-0.5092</c:v>
                </c:pt>
              </c:numCache>
            </c:numRef>
          </c:val>
          <c:smooth val="0"/>
        </c:ser>
        <c:dLbls>
          <c:showLegendKey val="0"/>
          <c:showVal val="0"/>
          <c:showCatName val="0"/>
          <c:showSerName val="0"/>
          <c:showPercent val="0"/>
          <c:showBubbleSize val="0"/>
        </c:dLbls>
        <c:marker val="1"/>
        <c:smooth val="0"/>
        <c:axId val="208888119"/>
        <c:axId val="772063503"/>
      </c:lineChart>
      <c:catAx>
        <c:axId val="208888119"/>
        <c:scaling>
          <c:orientation val="minMax"/>
        </c:scaling>
        <c:delete val="0"/>
        <c:axPos val="b"/>
        <c:numFmt formatCode="_ &quot;€&quot;* #,##0.00_ ;_ &quot;€&quot;* \-#,##0.00_ ;_ &quot;€&quot;* &quot;-&quot;??_ ;_ @_ " sourceLinked="0"/>
        <c:majorTickMark val="none"/>
        <c:minorTickMark val="none"/>
        <c:tickLblPos val="low"/>
        <c:spPr>
          <a:noFill/>
          <a:ln w="9525" cap="flat" cmpd="sng" algn="ctr">
            <a:solidFill>
              <a:schemeClr val="bg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063503"/>
        <c:crosses val="autoZero"/>
        <c:auto val="1"/>
        <c:lblAlgn val="ctr"/>
        <c:lblOffset val="400"/>
        <c:tickLblSkip val="1"/>
        <c:noMultiLvlLbl val="0"/>
      </c:catAx>
      <c:valAx>
        <c:axId val="772063503"/>
        <c:scaling>
          <c:orientation val="minMax"/>
        </c:scaling>
        <c:delete val="0"/>
        <c:axPos val="l"/>
        <c:majorGridlines>
          <c:spPr>
            <a:ln w="9525" cap="flat" cmpd="sng" algn="ctr">
              <a:solidFill>
                <a:schemeClr val="bg1"/>
              </a:solidFill>
              <a:round/>
            </a:ln>
            <a:effectLst/>
          </c:spPr>
        </c:majorGridlines>
        <c:numFmt formatCode="0.0_ " sourceLinked="1"/>
        <c:majorTickMark val="out"/>
        <c:minorTickMark val="none"/>
        <c:tickLblPos val="nextTo"/>
        <c:spPr>
          <a:noFill/>
          <a:ln w="6350">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88119"/>
        <c:crosses val="autoZero"/>
        <c:crossBetween val="between"/>
        <c:majorUnit val="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164D3-5163-4991-9B8C-CB659D0693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34</Words>
  <Characters>198</Characters>
  <Lines>1</Lines>
  <Paragraphs>1</Paragraphs>
  <TotalTime>53</TotalTime>
  <ScaleCrop>false</ScaleCrop>
  <LinksUpToDate>false</LinksUpToDate>
  <CharactersWithSpaces>231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祁晶</dc:creator>
  <cp:lastModifiedBy>a</cp:lastModifiedBy>
  <dcterms:modified xsi:type="dcterms:W3CDTF">2025-05-09T08:59:30Z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