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ind w:left="140" w:leftChars="0" w:hanging="140" w:hangingChars="32"/>
        <w:jc w:val="center"/>
        <w:textAlignment w:val="auto"/>
        <w:rPr>
          <w:rFonts w:ascii="方正小标宋简体" w:eastAsia="方正小标宋简体"/>
          <w:sz w:val="44"/>
          <w:szCs w:val="44"/>
        </w:rPr>
      </w:pPr>
      <w:r>
        <w:rPr>
          <w:rFonts w:hint="eastAsia" w:ascii="方正小标宋简体" w:eastAsia="方正小标宋简体"/>
          <w:sz w:val="44"/>
          <w:szCs w:val="44"/>
        </w:rPr>
        <w:t>丰台街道2023年法治政府建设年度情况报告</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14:ligatures w14:val="none"/>
        </w:rPr>
      </w:pPr>
      <w:r>
        <w:rPr>
          <w:rFonts w:hint="eastAsia" w:ascii="仿宋_GB2312" w:hAnsi="仿宋" w:eastAsia="仿宋_GB2312" w:cs="仿宋"/>
          <w:sz w:val="32"/>
          <w:szCs w:val="32"/>
          <w14:ligatures w14:val="none"/>
        </w:rPr>
        <w:t>2023年是实施《法治政府建设实施纲要（2021—2025年）》承上启下的</w:t>
      </w:r>
      <w:r>
        <w:rPr>
          <w:rFonts w:hint="eastAsia" w:ascii="仿宋_GB2312" w:hAnsi="仿宋" w:eastAsia="仿宋_GB2312" w:cs="仿宋"/>
          <w:sz w:val="32"/>
          <w:szCs w:val="32"/>
          <w:lang w:eastAsia="zh-CN"/>
          <w14:ligatures w14:val="none"/>
        </w:rPr>
        <w:t>关键</w:t>
      </w:r>
      <w:r>
        <w:rPr>
          <w:rFonts w:hint="eastAsia" w:ascii="仿宋_GB2312" w:hAnsi="仿宋" w:eastAsia="仿宋_GB2312" w:cs="仿宋"/>
          <w:sz w:val="32"/>
          <w:szCs w:val="32"/>
          <w14:ligatures w14:val="none"/>
        </w:rPr>
        <w:t>一年，丰台街道在区委、区政府的正确领导下，坚持以习近平新时代中国特色社会主义思想为指导，积极落实区委、区政府关于法治政府建设的决策部署，逐步完善依法行政各项制度，认真履行法定职责，依法治街工作取得了积极成效。现将丰台街道2023年法治政府建设情况报告如下：</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643" w:leftChars="0"/>
        <w:jc w:val="both"/>
        <w:textAlignment w:val="auto"/>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一、</w:t>
      </w:r>
      <w:r>
        <w:rPr>
          <w:rFonts w:hint="eastAsia" w:ascii="黑体" w:hAnsi="黑体" w:eastAsia="黑体" w:cs="Calibri"/>
          <w:kern w:val="2"/>
          <w:sz w:val="32"/>
          <w:szCs w:val="32"/>
        </w:rPr>
        <w:t>20</w:t>
      </w:r>
      <w:r>
        <w:rPr>
          <w:rFonts w:hint="eastAsia" w:ascii="黑体" w:hAnsi="黑体" w:eastAsia="黑体" w:cs="Calibri"/>
          <w:kern w:val="2"/>
          <w:sz w:val="32"/>
          <w:szCs w:val="32"/>
          <w:lang w:val="en-US" w:eastAsia="zh-CN"/>
        </w:rPr>
        <w:t>23</w:t>
      </w:r>
      <w:r>
        <w:rPr>
          <w:rFonts w:hint="eastAsia" w:ascii="黑体" w:hAnsi="黑体" w:eastAsia="黑体" w:cs="Calibri"/>
          <w:kern w:val="2"/>
          <w:sz w:val="32"/>
          <w:szCs w:val="32"/>
        </w:rPr>
        <w:t>年法治政府建设主要</w:t>
      </w:r>
      <w:r>
        <w:rPr>
          <w:rFonts w:hint="eastAsia" w:ascii="黑体" w:hAnsi="黑体" w:eastAsia="黑体" w:cs="Calibri"/>
          <w:kern w:val="2"/>
          <w:sz w:val="32"/>
          <w:szCs w:val="32"/>
          <w:lang w:eastAsia="zh-CN"/>
        </w:rPr>
        <w:t>举措和</w:t>
      </w:r>
      <w:r>
        <w:rPr>
          <w:rFonts w:hint="eastAsia" w:ascii="黑体" w:hAnsi="黑体" w:eastAsia="黑体" w:cs="Calibri"/>
          <w:kern w:val="2"/>
          <w:sz w:val="32"/>
          <w:szCs w:val="32"/>
        </w:rPr>
        <w:t>成效</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（一）深入学习贯彻习近平法治思想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1.深入开展学习习近平法治思想。为学习贯彻习近平新时代中国特色社会主义思想，丰台街道各机关党支部、各社区（村）和“两新”党组织紧紧围绕“学思想、强党性、重实践、建新功”总要求，牢牢把握主题主线和根本任务，着力在“以学铸魂、以学增智、以学正风、以学促干”上下功夫，学习效果显著。启动以“学习贯彻党的二十大精神，共创基层工作新篇章”、“汲取真理力量，踔厉奋勇前行，推动高质量发展”等为题的专题培训，旨在真正使党的先进理论、党中央精神入脑入心，以提高认识，武装头脑，提升履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2.全面贯彻落实习近平法治思想理论研究与实践。丰台街道始终把深入学习贯彻习近平法治思想作为重大政治任务，坚持将习近平法治思想和党的二十大精神作为学习教育的主要内容，抓好干部职工法治思维和依法行政能力，力求做到对习近平新时代中国特色社会主义思想和习近平法治思想学深悟透。结合实际切实把学习成效转化为推进法治政府建设的生动实践，不断推动“离案走动工作法”，发扬理论联系实际的学风，学深学透马克思主义理论，学实学活党的创新理论，着力提升法治促进治理体系和治理能力现代化的效能，不断增强人民群众的获得感、幸福感、安全感。</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（二）深入推进法治政府建设工作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1.认真开展法治建设工作。2023年，丰台街道坚持全面贯彻习近平法治思想“十一个坚持”的核心要义，推动落实进一步加强街道法治建设的任务分工方案，明确法治建设各项任务责任部门，为加大力度开展街道法治建设工作提供了指南和抓手，通过适时掌握新情况、把握新动向、调整新策略，有效推动了全年法治工作任务的落实落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 xml:space="preserve">2.深入推进“放管服”改革。一是梳理政务服务事项。扎实推进街道、社区两级政务服务中心、站综窗建设，按照“早晚弹性办、午间不休息、周末预约办”的要求开展政务服务中心延时服务。二是重点关注投资建设领域。做到配合相关部门做好规范中介服务管理工作，使用财政性资金且需委托中介服务机构完成的项目，及时在北京市中介服务网上交易平台选取中介服务机构或公开选取结果。继续完善政务服务“好差评”标准规范，深化“好差评”结果应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 xml:space="preserve">3.持续优化营商环境。一是成立丰台街道合作发展联合会。联合会坚持以党建为引领，由丰台街道党工委、办事处牵头成立，涵盖辖区国有、合资、私营、集体所有制等各类企业，及街道区域化党建协调委员会共建单位。旨在搭建凝聚地区合作发展共识的平台，搭建地区企业交流合作的平台，搭建产业链、行业孵化发展的平台。二是持续建好用好北京市公共资源交易平台体系。按照北京市信用分级分类监管机制建设要求，推进各行业领域事前事中事后全流程信用监管落地实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Calibri"/>
          <w:color w:val="FF0000"/>
          <w:kern w:val="0"/>
          <w:sz w:val="32"/>
          <w:szCs w:val="32"/>
        </w:rPr>
      </w:pPr>
      <w:r>
        <w:rPr>
          <w:rFonts w:hint="eastAsia" w:ascii="仿宋_GB2312" w:hAnsi="仿宋" w:eastAsia="仿宋_GB2312" w:cs="仿宋"/>
          <w:sz w:val="32"/>
          <w:szCs w:val="32"/>
          <w:lang w:val="en-US" w:eastAsia="zh-CN"/>
          <w14:ligatures w14:val="none"/>
        </w:rPr>
        <w:t xml:space="preserve"> 4.提升基层治理效能。2023年丰台街道继续深化落实接诉即办工作条例，不断建立完善工作机制，进一步提升基层治理和服务群众能力。一是强化一把手责任。坚持主要领导亲办、班子成员领办，对于焦点问题和高频诉求，街道主要领导牵头分析，共同商定处理措施，现场指导办理案件。二是强化集体会商机制。每日集体调度，前日“回头看”案件、当日回访单双否案件、当日新接即办类形成调度闭环。三是落实专班工作机制。丰台街道成立“接诉即办”工作专班，形成组长盯问题、盯闭环、盯干部，科室负责人、社区专员重点攻关，组员接诉立办的工作机制，大大提高了解决率。四是建立社会监督工作机制。通过完善社区网格体系，用好楼门长、街巷长、志愿者等群众力量，利用社区议事协商平台等途径畅通沟通民意的渠道，努力提高服务内容与市民需求的匹配度，做到民生问题“有求必应、未诉即办”。</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（三）健全依法行政制度体系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1.落实重大行政决策程序。丰台街道对作出重大行政决策的风险评估、合法性审查和责任追究等程序进一步细化。对于街道重大决策从多方面入手，统筹考量，力求科学合理开展工作。一是征求群众意见，让居民群众发声、参与、共建，努力提升利益相关群体的安全感和满意度。二是引入专家评估。对涉及专业性、技术性较强的决策事项积极组织相关领域专家进行咨询论证、科学评估决策风险。三是科学评判风险。对相关风险详尽分析评判，确保决策执行过程安全合法，保障人民群众的合法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2.严格规范性文件合法性审核和备案监督。2023年丰台街道深入贯彻落实《北京市各级人民代表大会常务委员会规范性文件备案审查条例》，规范履行行政规范性文件合法性审核职责。一是坚持审核原则。严格依据法律法规规定的审核程序、职责权限履行审核职责，确保审核程序相互衔接、运行顺畅。二是全面梳理行政规范性文件。积极开展行政规范性文件自查工作，对相关规范性文件进行清理和备案。</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（四）加大力度规范行政执法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1.持续推进行政执法“三项制度”全面落实。丰台街道严格根据《丰台街道办事处执法公示制度》、《丰台街道办事处执法全过程记录规定》、《丰台街道办事处重大行政决定执法审核制度》的相关规定，规范事前、事中、事后公开机制，积极、主动、及时地向社会公开执法信息，接受监督，保证每件行政执法案件有记录、有案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2.完善司法执法工作衔接制度建设。2023年，丰台街道根据法治政府建设的相关要求研究制定了《丰台街道倍增追赶执法规范保障活动年度组织实施方案》，并根据该方案严格落实了学习会、专题讲座等培训工作，进一步提升执法人员主动履职意识和执法业务工作水平。针对行政执法重点领域，通过制定方案、定期开展培训学习等措施不断加强对执法人员的培训指导，不断提升执法人员证据意识和程序意识，保证严格执法。</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（五）强化内外监督工作合力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1.自觉接受司法和纪检监察监督。2023年丰台街道积极支持法院依法受理和审理行政案件，严格执行行政机关负责人出庭应诉制度，尊重并执行法院生效裁判。丰台街道主动接受检察和纪检监察机关监督，聚焦落实党中央、国务院、市委市政府和区委区政府重大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2.深化政府信息公开和政务公开。丰台街道严格按照上级要求全面推进决策、执行、管理、服务、结果“五公开”，认真梳理汇总政务公开全清单，依法依规办理政府信息公开申请。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3.完善社会监督和舆论监督机制。健全“12345”政务服务平台与投诉举报平台，提供政务服务咨询、消费维权申诉、经济违法举报和行政效能投诉等一站式综合服务，方便群众投诉举报、反映问题。</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（六）健全矛盾纠纷行政预防化解体系</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kern w:val="2"/>
          <w:sz w:val="32"/>
          <w:szCs w:val="32"/>
          <w:lang w:val="en-US" w:eastAsia="zh-CN" w:bidi="ar-SA"/>
          <w14:ligatures w14:val="none"/>
        </w:rPr>
      </w:pPr>
      <w:r>
        <w:rPr>
          <w:rFonts w:hint="eastAsia" w:ascii="仿宋_GB2312" w:hAnsi="仿宋" w:eastAsia="仿宋_GB2312" w:cs="仿宋"/>
          <w:kern w:val="2"/>
          <w:sz w:val="32"/>
          <w:szCs w:val="32"/>
          <w:lang w:val="en-US" w:eastAsia="zh-CN" w:bidi="ar-SA"/>
          <w14:ligatures w14:val="none"/>
        </w:rPr>
        <w:t>1.深化推动行政调解工作。2023年丰台街道深化诉调对接、警调对接、访调对接机制，加强行政复议调解，特别针对重点行政管理领域和群体性行政复议案件, 按照“应调尽调”原则，积极开展案前、案中调解工作，真正做到“案结事了”。</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kern w:val="2"/>
          <w:sz w:val="32"/>
          <w:szCs w:val="32"/>
          <w:lang w:val="en-US" w:eastAsia="zh-CN" w:bidi="ar-SA"/>
          <w14:ligatures w14:val="none"/>
        </w:rPr>
      </w:pPr>
      <w:r>
        <w:rPr>
          <w:rFonts w:hint="eastAsia" w:ascii="仿宋_GB2312" w:hAnsi="仿宋" w:eastAsia="仿宋_GB2312" w:cs="仿宋"/>
          <w:kern w:val="2"/>
          <w:sz w:val="32"/>
          <w:szCs w:val="32"/>
          <w:lang w:val="en-US" w:eastAsia="zh-CN" w:bidi="ar-SA"/>
          <w14:ligatures w14:val="none"/>
        </w:rPr>
        <w:t>2.推进公共法律服务网络全覆盖。深入开展“民主法治示范村（社区）”建设，注重培养乡村“法律明白人”。丰台街道积极实施“法治带头人”、“法律明白人”培育工程，持续加强“法律明白人”规范化、动态化管理，按时组织“法律明白人”参加相关培训考核，建立台账并及时更新，及时了解和掌握乡村“法律明白人”开展法治宣传、参与法治实践等工作情况。</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（七）统筹协调法治政府建设各环节</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kern w:val="2"/>
          <w:sz w:val="32"/>
          <w:szCs w:val="32"/>
          <w:lang w:val="en-US" w:eastAsia="zh-CN" w:bidi="ar-SA"/>
          <w14:ligatures w14:val="none"/>
        </w:rPr>
      </w:pPr>
      <w:r>
        <w:rPr>
          <w:rFonts w:hint="eastAsia" w:ascii="仿宋_GB2312" w:hAnsi="仿宋" w:eastAsia="仿宋_GB2312" w:cs="仿宋"/>
          <w:kern w:val="2"/>
          <w:sz w:val="32"/>
          <w:szCs w:val="32"/>
          <w:lang w:val="en-US" w:eastAsia="zh-CN" w:bidi="ar-SA"/>
          <w14:ligatures w14:val="none"/>
        </w:rPr>
        <w:t>1.深入贯彻落实相关文件精神和要求。丰台街道深入贯彻实施《法治政府建设实施纲要（2021-2025年）》、《北京市法治政府建设实施意见（2021-2025年）》和《丰台区法治政府建设实施方案（2021-2025年）》。丰台街道积极参加法治政府建设示范项目创建评审活动，统筹推进法治政府建设工作，努力以示范创建带动法治政府建设水平整体提升。</w:t>
      </w:r>
    </w:p>
    <w:p>
      <w:pPr>
        <w:pStyle w:val="2"/>
        <w:spacing w:line="560" w:lineRule="exact"/>
        <w:ind w:left="0" w:leftChars="0" w:firstLine="640" w:firstLineChars="200"/>
        <w:rPr>
          <w:rFonts w:hint="eastAsia" w:ascii="仿宋_GB2312" w:hAnsi="仿宋" w:eastAsia="仿宋_GB2312" w:cs="仿宋"/>
          <w:kern w:val="2"/>
          <w:sz w:val="32"/>
          <w:szCs w:val="32"/>
          <w:lang w:val="en-US" w:eastAsia="zh-CN" w:bidi="ar-SA"/>
          <w14:ligatures w14:val="none"/>
        </w:rPr>
      </w:pPr>
      <w:r>
        <w:rPr>
          <w:rFonts w:hint="eastAsia" w:ascii="仿宋_GB2312" w:hAnsi="仿宋" w:eastAsia="仿宋_GB2312" w:cs="仿宋"/>
          <w:kern w:val="2"/>
          <w:sz w:val="32"/>
          <w:szCs w:val="32"/>
          <w:lang w:val="en-US" w:eastAsia="zh-CN" w:bidi="ar-SA"/>
          <w14:ligatures w14:val="none"/>
        </w:rPr>
        <w:t>2.强化基层法治工作队伍能力建设。丰台街道进一步明确了司法所工作任务，并努力保障人员、经费等资源与专业化工作相适应，</w:t>
      </w:r>
      <w:r>
        <w:rPr>
          <w:rFonts w:hint="eastAsia" w:ascii="仿宋_GB2312" w:hAnsi="仿宋_GB2312" w:eastAsia="仿宋_GB2312" w:cs="仿宋_GB2312"/>
          <w:color w:val="000000" w:themeColor="text1"/>
          <w:sz w:val="32"/>
          <w:szCs w:val="32"/>
          <w14:textFill>
            <w14:solidFill>
              <w14:schemeClr w14:val="tx1"/>
            </w14:solidFill>
          </w14:textFill>
        </w:rPr>
        <w:t>将政治强、业务精、素质高的人员配备到相关工作岗位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
          <w:kern w:val="2"/>
          <w:sz w:val="32"/>
          <w:szCs w:val="32"/>
          <w:lang w:val="en-US" w:eastAsia="zh-CN" w:bidi="ar-SA"/>
          <w14:ligatures w14:val="none"/>
        </w:rPr>
        <w:t>努力探索打造“枫桥式”司法所，提升司法所规范化履职能力，有效提高了基层法治建设能力，</w:t>
      </w:r>
      <w:r>
        <w:rPr>
          <w:rFonts w:hint="eastAsia" w:ascii="仿宋_GB2312" w:hAnsi="仿宋_GB2312" w:eastAsia="仿宋_GB2312" w:cs="仿宋_GB2312"/>
          <w:color w:val="000000" w:themeColor="text1"/>
          <w:sz w:val="32"/>
          <w:szCs w:val="32"/>
          <w14:textFill>
            <w14:solidFill>
              <w14:schemeClr w14:val="tx1"/>
            </w14:solidFill>
          </w14:textFill>
        </w:rPr>
        <w:t>进一步推进基层法治工作队伍革命化、正规化、专业化、职业化。</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643" w:leftChars="0"/>
        <w:jc w:val="both"/>
        <w:textAlignment w:val="auto"/>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二、2023年法治政府建设存在的问题与不足</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kern w:val="2"/>
          <w:sz w:val="32"/>
          <w:szCs w:val="32"/>
          <w:lang w:val="en-US" w:eastAsia="zh-CN" w:bidi="ar-SA"/>
          <w14:ligatures w14:val="none"/>
        </w:rPr>
      </w:pPr>
      <w:r>
        <w:rPr>
          <w:rFonts w:hint="eastAsia" w:ascii="仿宋_GB2312" w:hAnsi="仿宋" w:eastAsia="仿宋_GB2312" w:cs="仿宋"/>
          <w:kern w:val="2"/>
          <w:sz w:val="32"/>
          <w:szCs w:val="32"/>
          <w:lang w:val="en-US" w:eastAsia="zh-CN" w:bidi="ar-SA"/>
          <w14:ligatures w14:val="none"/>
        </w:rPr>
        <w:t>1.思想理论学习和普法力度还需进一步加强。目前开展普法形式创新性不足，受技术手段局限等因素限制，线上线下普法一体化平台建设仍在进行中。因此存在部分干部对习近平法治思想和法治政府建设具体内容学习了解不够深入的问题，运用法治思维和法治方式解决问题的能力还有待提高。下一阶段将着力创新思路，通过探索普法新形式，真正使得领导干部均能够做到用理论武装头脑、用理论指导工作。</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kern w:val="2"/>
          <w:sz w:val="32"/>
          <w:szCs w:val="32"/>
          <w:lang w:val="en-US" w:eastAsia="zh-CN" w:bidi="ar-SA"/>
          <w14:ligatures w14:val="none"/>
        </w:rPr>
      </w:pPr>
      <w:r>
        <w:rPr>
          <w:rFonts w:hint="eastAsia" w:ascii="仿宋_GB2312" w:hAnsi="仿宋" w:eastAsia="仿宋_GB2312" w:cs="仿宋"/>
          <w:kern w:val="2"/>
          <w:sz w:val="32"/>
          <w:szCs w:val="32"/>
          <w:lang w:val="en-US" w:eastAsia="zh-CN" w:bidi="ar-SA"/>
          <w14:ligatures w14:val="none"/>
        </w:rPr>
        <w:t>2.行政执法规范化水平还需进一步提升。在行政执法三项制度持续推进过程中，仍暴露出存在的一些问题，如部分执法人员法律知识更新不及时、基层执法力量不足等，因此在下一阶段将持续大力推进相关培训学习，真正做到培训落实处、培训出实效。同时抓牢抓严规范行政执法的源头、过程、结果三个关键环节，以更高的标准促进严格监督保证公正文明执法，规范行政执法流程，提高行政执法质量。</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三、2023年党政主要负责人履行推进法治政府建设第一责任人职责情况</w:t>
      </w:r>
    </w:p>
    <w:p>
      <w:pPr>
        <w:pStyle w:val="2"/>
        <w:spacing w:line="560" w:lineRule="exact"/>
        <w:ind w:left="0" w:leftChars="0" w:firstLine="640" w:firstLineChars="200"/>
        <w:rPr>
          <w:rFonts w:hint="eastAsia" w:ascii="黑体" w:hAnsi="黑体" w:eastAsia="仿宋_GB2312" w:cs="黑体"/>
          <w:kern w:val="2"/>
          <w:sz w:val="32"/>
          <w:szCs w:val="32"/>
          <w:lang w:val="en-US" w:eastAsia="zh-CN" w:bidi="ar-SA"/>
          <w14:ligatures w14:val="none"/>
        </w:rPr>
      </w:pPr>
      <w:r>
        <w:rPr>
          <w:rFonts w:hint="eastAsia" w:ascii="仿宋_GB2312" w:eastAsia="仿宋_GB2312" w:cs="Calibri"/>
          <w:kern w:val="0"/>
          <w:sz w:val="32"/>
          <w:szCs w:val="32"/>
        </w:rPr>
        <w:t>丰台街道按照区委全面依法治区委员会有关法治政府建设的决策部署</w:t>
      </w:r>
      <w:r>
        <w:rPr>
          <w:rFonts w:hint="eastAsia" w:ascii="仿宋_GB2312" w:eastAsia="仿宋_GB2312" w:cs="Calibri"/>
          <w:kern w:val="0"/>
          <w:sz w:val="32"/>
          <w:szCs w:val="32"/>
          <w:lang w:eastAsia="zh-CN"/>
        </w:rPr>
        <w:t>及</w:t>
      </w:r>
      <w:r>
        <w:rPr>
          <w:rFonts w:hint="eastAsia" w:ascii="仿宋_GB2312" w:eastAsia="仿宋_GB2312" w:cs="Calibri"/>
          <w:kern w:val="0"/>
          <w:sz w:val="32"/>
          <w:szCs w:val="32"/>
        </w:rPr>
        <w:t>丰台区关于落实法治政府建设督察整改任务的工作要求，研究并制发了《中共丰台区委丰台街道工委党政主要负责人推进法治建设第一责任人职责清单》，2</w:t>
      </w:r>
      <w:r>
        <w:rPr>
          <w:rFonts w:ascii="仿宋_GB2312" w:eastAsia="仿宋_GB2312" w:cs="Calibri"/>
          <w:kern w:val="0"/>
          <w:sz w:val="32"/>
          <w:szCs w:val="32"/>
        </w:rPr>
        <w:t>02</w:t>
      </w:r>
      <w:r>
        <w:rPr>
          <w:rFonts w:hint="eastAsia" w:ascii="仿宋_GB2312" w:eastAsia="仿宋_GB2312" w:cs="Calibri"/>
          <w:kern w:val="0"/>
          <w:sz w:val="32"/>
          <w:szCs w:val="32"/>
          <w:lang w:val="en-US" w:eastAsia="zh-CN"/>
        </w:rPr>
        <w:t>3</w:t>
      </w:r>
      <w:r>
        <w:rPr>
          <w:rFonts w:ascii="仿宋_GB2312" w:eastAsia="仿宋_GB2312" w:cs="Calibri"/>
          <w:kern w:val="0"/>
          <w:sz w:val="32"/>
          <w:szCs w:val="32"/>
        </w:rPr>
        <w:t>年丰台街道</w:t>
      </w:r>
      <w:r>
        <w:rPr>
          <w:rFonts w:hint="eastAsia" w:ascii="仿宋_GB2312" w:eastAsia="仿宋_GB2312" w:cs="Calibri"/>
          <w:kern w:val="0"/>
          <w:sz w:val="32"/>
          <w:szCs w:val="32"/>
        </w:rPr>
        <w:t>党政主要负责人做到</w:t>
      </w:r>
      <w:r>
        <w:rPr>
          <w:rFonts w:ascii="仿宋_GB2312" w:eastAsia="仿宋_GB2312" w:cs="Calibri"/>
          <w:kern w:val="0"/>
          <w:sz w:val="32"/>
          <w:szCs w:val="32"/>
        </w:rPr>
        <w:t>严格按照清单要求履行职责</w:t>
      </w:r>
      <w:r>
        <w:rPr>
          <w:rFonts w:hint="eastAsia" w:ascii="仿宋_GB2312" w:eastAsia="仿宋_GB2312" w:cs="Calibri"/>
          <w:kern w:val="0"/>
          <w:sz w:val="32"/>
          <w:szCs w:val="32"/>
          <w:lang w:eastAsia="zh-CN"/>
        </w:rPr>
        <w:t>。</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（一）持续推动领导干部学法培训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丰台街道在本年度继续推行领导干部带头学法讲法制度，强化领导干部带头学法用法，坚持和完善党组理论学习中心组集体学法制度，不断提升领导干部法治意识和法治能力。一年来通过组织多次理论中心组学习、组织多场集体研讨等形式认真学习了习近平新时代中国特色社会主义思想、习近平法治思想等内容，就全面从严治党、依法治国等方面展开交流探讨，切实提升了干部职工法治思维和依法行政能力，力求做到对习近平新时代中国特色社会主义思想和习近平法治思想学深悟透。</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（二）充分发挥党政主要负责人对法治建设的带动作用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在依法决策方面，主要负责人针对街道重大公共政策、重要规划和重点项目，注重听取法律顾问、公职律师意见，加强合法合规性审查，注重高品质法治惠民建设、制定以优化营商环境为目的的多项政策性、制度性文件。在执法方面，主要负责人积极推动完善重大行政决策程序规定，健全重大行政决策过程记录制度，扎实开展重大决策社会稳定风险评估，持续推进市场监管领域“双随机、一公开”监管。</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（三）积极履行党政主要负责人普法责任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14:ligatures w14:val="none"/>
        </w:rPr>
      </w:pPr>
      <w:r>
        <w:rPr>
          <w:rFonts w:hint="eastAsia" w:ascii="仿宋_GB2312" w:hAnsi="仿宋" w:eastAsia="仿宋_GB2312" w:cs="仿宋"/>
          <w:sz w:val="32"/>
          <w:szCs w:val="32"/>
          <w:lang w:val="en-US" w:eastAsia="zh-CN"/>
          <w14:ligatures w14:val="none"/>
        </w:rPr>
        <w:t>丰台街道主要负责人领导各部门、社区、村积极开展法律援助、法律服务、法律宣传工作，持续推进“八五”普法规划。今年作为“八五”普法中期考核关键之年，丰台街道做好“回头看”中期普法评估验收工作，同时积极统筹规划下半程普法新举措，努力做到紧抓街道法治宣传教育，力求使街道法治氛围更加浓厚，街道治理法治化水平进一步提升。同时主要负责人重点关注本年推进辖区庄怡公园法治宣传阵地规划更新建设重大项目，项目建设为后续开展多样化法治活动打下良好的基础。</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643" w:leftChars="0"/>
        <w:jc w:val="both"/>
        <w:textAlignment w:val="auto"/>
        <w:rPr>
          <w:rFonts w:hint="eastAsia" w:ascii="黑体" w:hAnsi="黑体" w:eastAsia="黑体" w:cs="黑体"/>
          <w:sz w:val="32"/>
          <w:szCs w:val="36"/>
          <w:lang w:val="en-US" w:eastAsia="zh-CN"/>
        </w:rPr>
      </w:pPr>
      <w:r>
        <w:rPr>
          <w:rFonts w:hint="eastAsia" w:ascii="黑体" w:hAnsi="黑体" w:eastAsia="黑体" w:cs="黑体"/>
          <w:kern w:val="2"/>
          <w:sz w:val="32"/>
          <w:szCs w:val="32"/>
          <w:lang w:val="en-US" w:eastAsia="zh-CN" w:bidi="ar-SA"/>
          <w14:ligatures w14:val="none"/>
        </w:rPr>
        <w:t>四、</w:t>
      </w:r>
      <w:r>
        <w:rPr>
          <w:rFonts w:hint="eastAsia" w:ascii="黑体" w:hAnsi="黑体" w:eastAsia="黑体" w:cs="黑体"/>
          <w:sz w:val="32"/>
          <w:szCs w:val="36"/>
          <w:lang w:val="en-US" w:eastAsia="zh-CN"/>
        </w:rPr>
        <w:t>2024年法治政府建设工作初步安排</w:t>
      </w:r>
    </w:p>
    <w:p>
      <w:pPr>
        <w:spacing w:line="560" w:lineRule="exact"/>
        <w:ind w:firstLine="640" w:firstLineChars="200"/>
        <w:rPr>
          <w:rFonts w:hint="eastAsia" w:ascii="黑体" w:hAnsi="黑体" w:eastAsia="黑体" w:cs="黑体"/>
          <w:sz w:val="32"/>
          <w:szCs w:val="36"/>
          <w:lang w:val="en-US" w:eastAsia="zh-CN"/>
        </w:rPr>
      </w:pPr>
      <w:r>
        <w:rPr>
          <w:rFonts w:hint="eastAsia" w:ascii="仿宋_GB2312" w:eastAsia="仿宋_GB2312" w:cs="Calibri"/>
          <w:kern w:val="0"/>
          <w:sz w:val="32"/>
          <w:szCs w:val="32"/>
        </w:rPr>
        <w:t>202</w:t>
      </w:r>
      <w:r>
        <w:rPr>
          <w:rFonts w:hint="eastAsia" w:ascii="仿宋_GB2312" w:eastAsia="仿宋_GB2312" w:cs="Calibri"/>
          <w:kern w:val="0"/>
          <w:sz w:val="32"/>
          <w:szCs w:val="32"/>
          <w:lang w:val="en-US" w:eastAsia="zh-CN"/>
        </w:rPr>
        <w:t>4</w:t>
      </w:r>
      <w:r>
        <w:rPr>
          <w:rFonts w:hint="eastAsia" w:ascii="仿宋_GB2312" w:eastAsia="仿宋_GB2312" w:cs="Calibri"/>
          <w:kern w:val="0"/>
          <w:sz w:val="32"/>
          <w:szCs w:val="32"/>
        </w:rPr>
        <w:t>年，丰台街道将继续认真落实区党委、区政府关于法治政府建设的各项部署要求，明确202</w:t>
      </w:r>
      <w:r>
        <w:rPr>
          <w:rFonts w:hint="eastAsia" w:ascii="仿宋_GB2312" w:eastAsia="仿宋_GB2312" w:cs="Calibri"/>
          <w:kern w:val="0"/>
          <w:sz w:val="32"/>
          <w:szCs w:val="32"/>
          <w:lang w:val="en-US" w:eastAsia="zh-CN"/>
        </w:rPr>
        <w:t>4</w:t>
      </w:r>
      <w:r>
        <w:rPr>
          <w:rFonts w:hint="eastAsia" w:ascii="仿宋_GB2312" w:eastAsia="仿宋_GB2312" w:cs="Calibri"/>
          <w:kern w:val="0"/>
          <w:sz w:val="32"/>
          <w:szCs w:val="32"/>
        </w:rPr>
        <w:t>年丰台街道法治建设领域重点任务</w:t>
      </w:r>
      <w:r>
        <w:rPr>
          <w:rFonts w:hint="eastAsia" w:ascii="仿宋_GB2312" w:eastAsia="仿宋_GB2312" w:cs="Calibri"/>
          <w:kern w:val="0"/>
          <w:sz w:val="32"/>
          <w:szCs w:val="32"/>
          <w:lang w:eastAsia="zh-CN"/>
        </w:rPr>
        <w:t>。</w:t>
      </w:r>
      <w:r>
        <w:rPr>
          <w:rFonts w:hint="eastAsia" w:ascii="仿宋_GB2312" w:eastAsia="仿宋_GB2312" w:cs="Calibri"/>
          <w:kern w:val="0"/>
          <w:sz w:val="32"/>
          <w:szCs w:val="32"/>
        </w:rPr>
        <w:t>以法治政府建设考核为抓手，加强依法行政能力建设，有效发挥法治在全街道中心工作中的保障作用</w:t>
      </w:r>
      <w:r>
        <w:rPr>
          <w:rFonts w:hint="eastAsia" w:ascii="仿宋_GB2312" w:eastAsia="仿宋_GB2312" w:cs="Calibri"/>
          <w:kern w:val="0"/>
          <w:sz w:val="32"/>
          <w:szCs w:val="32"/>
          <w:lang w:eastAsia="zh-CN"/>
        </w:rPr>
        <w:t>，坚持以</w:t>
      </w:r>
      <w:r>
        <w:rPr>
          <w:rFonts w:hint="eastAsia" w:ascii="仿宋_GB2312" w:eastAsia="仿宋_GB2312" w:cs="Calibri"/>
          <w:kern w:val="0"/>
          <w:sz w:val="32"/>
          <w:szCs w:val="32"/>
        </w:rPr>
        <w:t>“全面推进科学立法、严格执法、公正司法、全民守法，全面推进各</w:t>
      </w:r>
      <w:bookmarkStart w:id="0" w:name="_GoBack"/>
      <w:bookmarkEnd w:id="0"/>
      <w:r>
        <w:rPr>
          <w:rFonts w:hint="eastAsia" w:ascii="仿宋_GB2312" w:eastAsia="仿宋_GB2312" w:cs="Calibri"/>
          <w:kern w:val="0"/>
          <w:sz w:val="32"/>
          <w:szCs w:val="32"/>
        </w:rPr>
        <w:t>方面工作法治化”</w:t>
      </w:r>
      <w:r>
        <w:rPr>
          <w:rFonts w:hint="eastAsia" w:ascii="仿宋_GB2312" w:eastAsia="仿宋_GB2312" w:cs="Calibri"/>
          <w:kern w:val="0"/>
          <w:sz w:val="32"/>
          <w:szCs w:val="32"/>
          <w:lang w:eastAsia="zh-CN"/>
        </w:rPr>
        <w:t>的</w:t>
      </w:r>
      <w:r>
        <w:rPr>
          <w:rFonts w:hint="eastAsia" w:ascii="仿宋_GB2312" w:eastAsia="仿宋_GB2312" w:cs="Calibri"/>
          <w:kern w:val="0"/>
          <w:sz w:val="32"/>
          <w:szCs w:val="32"/>
        </w:rPr>
        <w:t>精神</w:t>
      </w:r>
      <w:r>
        <w:rPr>
          <w:rFonts w:hint="eastAsia" w:ascii="仿宋_GB2312" w:eastAsia="仿宋_GB2312" w:cs="Calibri"/>
          <w:kern w:val="0"/>
          <w:sz w:val="32"/>
          <w:szCs w:val="32"/>
          <w:lang w:eastAsia="zh-CN"/>
        </w:rPr>
        <w:t>统筹布局、细致谋划，</w:t>
      </w:r>
      <w:r>
        <w:rPr>
          <w:rFonts w:hint="eastAsia" w:ascii="仿宋_GB2312" w:eastAsia="仿宋_GB2312" w:cs="Calibri"/>
          <w:kern w:val="0"/>
          <w:sz w:val="32"/>
          <w:szCs w:val="32"/>
        </w:rPr>
        <w:t>深入推进法治政府建设取得更大成效。主要将做</w:t>
      </w:r>
      <w:r>
        <w:rPr>
          <w:rFonts w:hint="eastAsia" w:ascii="仿宋_GB2312" w:eastAsia="仿宋_GB2312" w:cs="Calibri"/>
          <w:kern w:val="0"/>
          <w:sz w:val="32"/>
          <w:szCs w:val="32"/>
          <w:lang w:eastAsia="zh-CN"/>
        </w:rPr>
        <w:t>好</w:t>
      </w:r>
      <w:r>
        <w:rPr>
          <w:rFonts w:hint="eastAsia" w:ascii="仿宋_GB2312" w:eastAsia="仿宋_GB2312" w:cs="Calibri"/>
          <w:kern w:val="0"/>
          <w:sz w:val="32"/>
          <w:szCs w:val="32"/>
        </w:rPr>
        <w:t>以下几点：</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kern w:val="2"/>
          <w:sz w:val="32"/>
          <w:szCs w:val="32"/>
          <w:lang w:val="en-US" w:eastAsia="zh-CN" w:bidi="ar-SA"/>
          <w14:ligatures w14:val="none"/>
        </w:rPr>
      </w:pPr>
      <w:r>
        <w:rPr>
          <w:rFonts w:hint="eastAsia" w:ascii="仿宋_GB2312" w:hAnsi="仿宋" w:eastAsia="仿宋_GB2312" w:cs="仿宋"/>
          <w:kern w:val="2"/>
          <w:sz w:val="32"/>
          <w:szCs w:val="32"/>
          <w:lang w:val="en-US" w:eastAsia="zh-CN" w:bidi="ar-SA"/>
          <w14:ligatures w14:val="none"/>
        </w:rPr>
        <w:t>一是提高思想认识。建立健全组织机制，按照法治工作领导小组分工，并结合街道实际情况，制定更加详实的工作计划和落实措施。完善决策方式，规范决策程序，强化决策责任，提高领导干部的思想认识。加强法制机构队伍建设，提高法制机构履职能力。</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kern w:val="2"/>
          <w:sz w:val="32"/>
          <w:szCs w:val="32"/>
          <w:lang w:val="en-US" w:eastAsia="zh-CN" w:bidi="ar-SA"/>
          <w14:ligatures w14:val="none"/>
        </w:rPr>
      </w:pPr>
      <w:r>
        <w:rPr>
          <w:rFonts w:hint="eastAsia" w:ascii="仿宋_GB2312" w:hAnsi="仿宋" w:eastAsia="仿宋_GB2312" w:cs="仿宋"/>
          <w:kern w:val="2"/>
          <w:sz w:val="32"/>
          <w:szCs w:val="32"/>
          <w:lang w:val="en-US" w:eastAsia="zh-CN" w:bidi="ar-SA"/>
          <w14:ligatures w14:val="none"/>
        </w:rPr>
        <w:t>二是创新普法思路。下一阶段将针对普法形式创新性不足的问题着力拓宽新思路，依托升级改造的法治文化阵地谋划大众接受度高、趣味性强、参与度广的普法新模式，例如线上平台开展法律知识竞赛、法治微视频制作大赛、法治小品评选大赛；线下平台开展法治文艺汇演、法律知识宣讲等活动，线上线下齐发力让法治宣传教育“落地开花”，绘就“法润丰街”新画卷。</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kern w:val="2"/>
          <w:sz w:val="32"/>
          <w:szCs w:val="32"/>
          <w:lang w:val="en-US" w:eastAsia="zh-CN" w:bidi="ar-SA"/>
          <w14:ligatures w14:val="none"/>
        </w:rPr>
      </w:pPr>
      <w:r>
        <w:rPr>
          <w:rFonts w:hint="eastAsia" w:ascii="仿宋_GB2312" w:hAnsi="仿宋" w:eastAsia="仿宋_GB2312" w:cs="仿宋"/>
          <w:kern w:val="2"/>
          <w:sz w:val="32"/>
          <w:szCs w:val="32"/>
          <w:lang w:val="en-US" w:eastAsia="zh-CN" w:bidi="ar-SA"/>
          <w14:ligatures w14:val="none"/>
        </w:rPr>
        <w:t>三是强化工作监督。</w:t>
      </w:r>
      <w:r>
        <w:rPr>
          <w:rFonts w:hint="eastAsia" w:ascii="仿宋_GB2312" w:hAnsi="仿宋" w:eastAsia="仿宋_GB2312" w:cs="仿宋"/>
          <w:kern w:val="2"/>
          <w:sz w:val="32"/>
          <w:szCs w:val="32"/>
          <w:lang w:val="en-US" w:eastAsia="zh-Hans" w:bidi="ar-SA"/>
          <w14:ligatures w14:val="none"/>
        </w:rPr>
        <w:t>一</w:t>
      </w:r>
      <w:r>
        <w:rPr>
          <w:rFonts w:hint="eastAsia" w:ascii="仿宋_GB2312" w:hAnsi="仿宋" w:eastAsia="仿宋_GB2312" w:cs="仿宋"/>
          <w:kern w:val="2"/>
          <w:sz w:val="32"/>
          <w:szCs w:val="32"/>
          <w:lang w:val="en-US" w:eastAsia="zh-CN" w:bidi="ar-SA"/>
          <w14:ligatures w14:val="none"/>
        </w:rPr>
        <w:t>是</w:t>
      </w:r>
      <w:r>
        <w:rPr>
          <w:rFonts w:hint="eastAsia" w:ascii="仿宋_GB2312" w:hAnsi="仿宋" w:eastAsia="仿宋_GB2312" w:cs="仿宋"/>
          <w:kern w:val="2"/>
          <w:sz w:val="32"/>
          <w:szCs w:val="32"/>
          <w:lang w:val="en-US" w:eastAsia="zh-Hans" w:bidi="ar-SA"/>
          <w14:ligatures w14:val="none"/>
        </w:rPr>
        <w:t>针对</w:t>
      </w:r>
      <w:r>
        <w:rPr>
          <w:rFonts w:hint="eastAsia" w:ascii="仿宋_GB2312" w:hAnsi="仿宋" w:eastAsia="仿宋_GB2312" w:cs="仿宋"/>
          <w:kern w:val="2"/>
          <w:sz w:val="32"/>
          <w:szCs w:val="32"/>
          <w:lang w:val="en-US" w:eastAsia="zh-CN" w:bidi="ar-SA"/>
          <w14:ligatures w14:val="none"/>
        </w:rPr>
        <w:t>关系群众切身利益的领域</w:t>
      </w:r>
      <w:r>
        <w:rPr>
          <w:rFonts w:hint="eastAsia" w:ascii="仿宋_GB2312" w:hAnsi="仿宋" w:eastAsia="仿宋_GB2312" w:cs="仿宋"/>
          <w:kern w:val="2"/>
          <w:sz w:val="32"/>
          <w:szCs w:val="32"/>
          <w:lang w:val="en-US" w:eastAsia="zh-Hans" w:bidi="ar-SA"/>
          <w14:ligatures w14:val="none"/>
        </w:rPr>
        <w:t>如环境污染、劳动保障等方面加强</w:t>
      </w:r>
      <w:r>
        <w:rPr>
          <w:rFonts w:hint="eastAsia" w:ascii="仿宋_GB2312" w:hAnsi="仿宋" w:eastAsia="仿宋_GB2312" w:cs="仿宋"/>
          <w:kern w:val="2"/>
          <w:sz w:val="32"/>
          <w:szCs w:val="32"/>
          <w:lang w:val="en-US" w:eastAsia="zh-CN" w:bidi="ar-SA"/>
          <w14:ligatures w14:val="none"/>
        </w:rPr>
        <w:t>执法监督检查，切实维护人民群众的合法权益。</w:t>
      </w:r>
      <w:r>
        <w:rPr>
          <w:rFonts w:hint="eastAsia" w:ascii="仿宋_GB2312" w:hAnsi="仿宋" w:eastAsia="仿宋_GB2312" w:cs="仿宋"/>
          <w:kern w:val="2"/>
          <w:sz w:val="32"/>
          <w:szCs w:val="32"/>
          <w:lang w:val="en-US" w:eastAsia="zh-Hans" w:bidi="ar-SA"/>
          <w14:ligatures w14:val="none"/>
        </w:rPr>
        <w:t>二</w:t>
      </w:r>
      <w:r>
        <w:rPr>
          <w:rFonts w:hint="eastAsia" w:ascii="仿宋_GB2312" w:hAnsi="仿宋" w:eastAsia="仿宋_GB2312" w:cs="仿宋"/>
          <w:kern w:val="2"/>
          <w:sz w:val="32"/>
          <w:szCs w:val="32"/>
          <w:lang w:val="en-US" w:eastAsia="zh-CN" w:bidi="ar-SA"/>
          <w14:ligatures w14:val="none"/>
        </w:rPr>
        <w:t>是加强深化改革的执法检查，明确执法主体和执法责任，加强执法协调，防止执法脱节。</w:t>
      </w:r>
    </w:p>
    <w:p>
      <w:pPr>
        <w:rPr>
          <w:rFonts w:hint="eastAsia" w:ascii="仿宋_GB2312" w:hAnsi="仿宋" w:eastAsia="仿宋_GB2312" w:cs="仿宋"/>
          <w:kern w:val="2"/>
          <w:sz w:val="32"/>
          <w:szCs w:val="32"/>
          <w:lang w:val="en-US" w:eastAsia="zh-CN" w:bidi="ar-SA"/>
          <w14:ligatures w14:val="none"/>
        </w:rPr>
      </w:pPr>
    </w:p>
    <w:p>
      <w:pPr>
        <w:pStyle w:val="2"/>
        <w:rPr>
          <w:rFonts w:hint="eastAsia" w:ascii="仿宋_GB2312" w:hAnsi="仿宋" w:eastAsia="仿宋_GB2312" w:cs="仿宋"/>
          <w:kern w:val="2"/>
          <w:sz w:val="32"/>
          <w:szCs w:val="32"/>
          <w:lang w:val="en-US" w:eastAsia="zh-CN" w:bidi="ar-SA"/>
          <w14:ligatures w14:val="none"/>
        </w:rPr>
      </w:pPr>
    </w:p>
    <w:p>
      <w:pPr>
        <w:rPr>
          <w:rFonts w:hint="eastAsia" w:ascii="仿宋_GB2312" w:hAnsi="仿宋" w:eastAsia="仿宋_GB2312" w:cs="仿宋"/>
          <w:kern w:val="2"/>
          <w:sz w:val="32"/>
          <w:szCs w:val="32"/>
          <w:lang w:val="en-US" w:eastAsia="zh-CN" w:bidi="ar-SA"/>
          <w14:ligatures w14:val="none"/>
        </w:rPr>
      </w:pPr>
    </w:p>
    <w:p>
      <w:pPr>
        <w:pStyle w:val="2"/>
        <w:rPr>
          <w:rFonts w:hint="eastAsia" w:ascii="仿宋_GB2312" w:hAnsi="仿宋" w:eastAsia="仿宋_GB2312" w:cs="仿宋"/>
          <w:kern w:val="2"/>
          <w:sz w:val="32"/>
          <w:szCs w:val="32"/>
          <w:lang w:val="en-US" w:eastAsia="zh-CN" w:bidi="ar-SA"/>
          <w14:ligatures w14:val="none"/>
        </w:rPr>
      </w:pPr>
    </w:p>
    <w:p>
      <w:pPr>
        <w:rPr>
          <w:rFonts w:hint="eastAsia"/>
          <w:lang w:val="en-US" w:eastAsia="zh-CN"/>
        </w:rPr>
      </w:pPr>
    </w:p>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ascii="仿宋_GB2312" w:hAnsi="仿宋_GB2312" w:eastAsia="仿宋_GB2312"/>
          <w:sz w:val="32"/>
        </w:rPr>
      </w:pPr>
      <w:r>
        <w:rPr>
          <w:rFonts w:hint="eastAsia" w:ascii="仿宋_GB2312" w:hAnsi="仿宋_GB2312" w:eastAsia="仿宋_GB2312"/>
          <w:sz w:val="32"/>
        </w:rPr>
        <w:t>丰台街道办事处</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pPr>
      <w:r>
        <w:rPr>
          <w:rFonts w:hint="eastAsia" w:ascii="仿宋_GB2312" w:hAnsi="仿宋_GB2312" w:eastAsia="仿宋_GB2312"/>
          <w:sz w:val="32"/>
        </w:rPr>
        <w:t xml:space="preserve">                               2023年</w:t>
      </w:r>
      <w:r>
        <w:rPr>
          <w:rFonts w:hint="eastAsia" w:ascii="仿宋_GB2312" w:hAnsi="仿宋_GB2312" w:eastAsia="仿宋_GB2312"/>
          <w:sz w:val="32"/>
          <w:lang w:val="en-US" w:eastAsia="zh-CN"/>
        </w:rPr>
        <w:t>11</w:t>
      </w:r>
      <w:r>
        <w:rPr>
          <w:rFonts w:hint="eastAsia" w:ascii="仿宋_GB2312" w:hAnsi="仿宋_GB2312" w:eastAsia="仿宋_GB2312"/>
          <w:sz w:val="32"/>
        </w:rPr>
        <w:t>月</w:t>
      </w:r>
      <w:r>
        <w:rPr>
          <w:rFonts w:hint="eastAsia" w:ascii="仿宋_GB2312" w:hAnsi="仿宋_GB2312" w:eastAsia="仿宋_GB2312"/>
          <w:sz w:val="32"/>
          <w:lang w:val="en-US" w:eastAsia="zh-CN"/>
        </w:rPr>
        <w:t>23</w:t>
      </w:r>
      <w:r>
        <w:rPr>
          <w:rFonts w:hint="eastAsia" w:ascii="仿宋_GB2312" w:hAnsi="仿宋_GB2312" w:eastAsia="仿宋_GB2312"/>
          <w:sz w:val="32"/>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3YjdkNTEzNDBhZWM5MzJiN2RmZmMyYTYwY2E1NjUifQ=="/>
  </w:docVars>
  <w:rsids>
    <w:rsidRoot w:val="00344FD4"/>
    <w:rsid w:val="000A226E"/>
    <w:rsid w:val="000C1E43"/>
    <w:rsid w:val="000E28B9"/>
    <w:rsid w:val="00162FFC"/>
    <w:rsid w:val="001B7549"/>
    <w:rsid w:val="001C36BC"/>
    <w:rsid w:val="001E059E"/>
    <w:rsid w:val="0023353F"/>
    <w:rsid w:val="00277B44"/>
    <w:rsid w:val="002C7082"/>
    <w:rsid w:val="00315337"/>
    <w:rsid w:val="00344FD4"/>
    <w:rsid w:val="003810CB"/>
    <w:rsid w:val="004B1E6E"/>
    <w:rsid w:val="004C507E"/>
    <w:rsid w:val="005B1AA4"/>
    <w:rsid w:val="005D0F22"/>
    <w:rsid w:val="005D1977"/>
    <w:rsid w:val="005F2CBC"/>
    <w:rsid w:val="00674FE6"/>
    <w:rsid w:val="007108E8"/>
    <w:rsid w:val="00745A64"/>
    <w:rsid w:val="007B2D4F"/>
    <w:rsid w:val="00882828"/>
    <w:rsid w:val="008914FC"/>
    <w:rsid w:val="00893D1D"/>
    <w:rsid w:val="008C373D"/>
    <w:rsid w:val="008D48A3"/>
    <w:rsid w:val="009E150E"/>
    <w:rsid w:val="00A136F4"/>
    <w:rsid w:val="00A20B0F"/>
    <w:rsid w:val="00A22954"/>
    <w:rsid w:val="00A57F5B"/>
    <w:rsid w:val="00AD2AC0"/>
    <w:rsid w:val="00B44565"/>
    <w:rsid w:val="00B96DE2"/>
    <w:rsid w:val="00BC5640"/>
    <w:rsid w:val="00BD5E42"/>
    <w:rsid w:val="00C27871"/>
    <w:rsid w:val="00C43E1C"/>
    <w:rsid w:val="00C56AED"/>
    <w:rsid w:val="00CB1F98"/>
    <w:rsid w:val="00CB2D78"/>
    <w:rsid w:val="00CD29FB"/>
    <w:rsid w:val="00CF5920"/>
    <w:rsid w:val="00D12F64"/>
    <w:rsid w:val="00D35AB2"/>
    <w:rsid w:val="00E11041"/>
    <w:rsid w:val="00F14A85"/>
    <w:rsid w:val="00F20171"/>
    <w:rsid w:val="00F5035D"/>
    <w:rsid w:val="00F96754"/>
    <w:rsid w:val="00FB0934"/>
    <w:rsid w:val="00FC4FDB"/>
    <w:rsid w:val="00FF262C"/>
    <w:rsid w:val="040C67D0"/>
    <w:rsid w:val="046B3792"/>
    <w:rsid w:val="051054C7"/>
    <w:rsid w:val="07750484"/>
    <w:rsid w:val="07761D8D"/>
    <w:rsid w:val="0A9E0BF3"/>
    <w:rsid w:val="0BAD47AA"/>
    <w:rsid w:val="0CD619C5"/>
    <w:rsid w:val="0D735465"/>
    <w:rsid w:val="126F08F1"/>
    <w:rsid w:val="12DA1AE3"/>
    <w:rsid w:val="1319085D"/>
    <w:rsid w:val="13F74781"/>
    <w:rsid w:val="177644D0"/>
    <w:rsid w:val="17BA74E6"/>
    <w:rsid w:val="18FD775E"/>
    <w:rsid w:val="1A330456"/>
    <w:rsid w:val="1C705992"/>
    <w:rsid w:val="1DD67A76"/>
    <w:rsid w:val="1EBD5FCB"/>
    <w:rsid w:val="1F63002C"/>
    <w:rsid w:val="209B6D55"/>
    <w:rsid w:val="20C31E08"/>
    <w:rsid w:val="21570ECE"/>
    <w:rsid w:val="21B300CF"/>
    <w:rsid w:val="2254540E"/>
    <w:rsid w:val="22715FC0"/>
    <w:rsid w:val="22910410"/>
    <w:rsid w:val="23A67EEB"/>
    <w:rsid w:val="24350880"/>
    <w:rsid w:val="259049AF"/>
    <w:rsid w:val="265170F2"/>
    <w:rsid w:val="276736FF"/>
    <w:rsid w:val="281416D6"/>
    <w:rsid w:val="294F3A85"/>
    <w:rsid w:val="2B312790"/>
    <w:rsid w:val="2F053358"/>
    <w:rsid w:val="2F4131BE"/>
    <w:rsid w:val="334E5EA9"/>
    <w:rsid w:val="33A8045F"/>
    <w:rsid w:val="35C44201"/>
    <w:rsid w:val="35CE6E2D"/>
    <w:rsid w:val="382D42DF"/>
    <w:rsid w:val="38AE254E"/>
    <w:rsid w:val="394F0285"/>
    <w:rsid w:val="39AF57F0"/>
    <w:rsid w:val="39B34CB8"/>
    <w:rsid w:val="3A481424"/>
    <w:rsid w:val="3C432323"/>
    <w:rsid w:val="3D000214"/>
    <w:rsid w:val="3EF77476"/>
    <w:rsid w:val="40063D93"/>
    <w:rsid w:val="41A25D3E"/>
    <w:rsid w:val="42E64AEA"/>
    <w:rsid w:val="434370AD"/>
    <w:rsid w:val="439B47F3"/>
    <w:rsid w:val="445057DF"/>
    <w:rsid w:val="45C07CB9"/>
    <w:rsid w:val="45E701C3"/>
    <w:rsid w:val="47E81697"/>
    <w:rsid w:val="484F3DFE"/>
    <w:rsid w:val="4A225C6E"/>
    <w:rsid w:val="4A8561FD"/>
    <w:rsid w:val="4B166E55"/>
    <w:rsid w:val="4B8D5369"/>
    <w:rsid w:val="4C8A6922"/>
    <w:rsid w:val="50377F99"/>
    <w:rsid w:val="51AC5C98"/>
    <w:rsid w:val="51B318A1"/>
    <w:rsid w:val="51F15F26"/>
    <w:rsid w:val="549F610D"/>
    <w:rsid w:val="54B90F7D"/>
    <w:rsid w:val="558477DD"/>
    <w:rsid w:val="579A1200"/>
    <w:rsid w:val="58575BCF"/>
    <w:rsid w:val="593714C1"/>
    <w:rsid w:val="5BCB20AB"/>
    <w:rsid w:val="5CB14C2F"/>
    <w:rsid w:val="5CCC1A69"/>
    <w:rsid w:val="5DB744C7"/>
    <w:rsid w:val="5E3B2A02"/>
    <w:rsid w:val="632919C3"/>
    <w:rsid w:val="64AC465A"/>
    <w:rsid w:val="64D3644C"/>
    <w:rsid w:val="64F22B98"/>
    <w:rsid w:val="65384168"/>
    <w:rsid w:val="681A18DB"/>
    <w:rsid w:val="6BE50451"/>
    <w:rsid w:val="6CE94E94"/>
    <w:rsid w:val="70877D29"/>
    <w:rsid w:val="71285068"/>
    <w:rsid w:val="71F31B1A"/>
    <w:rsid w:val="72355EC3"/>
    <w:rsid w:val="754461E9"/>
    <w:rsid w:val="75673409"/>
    <w:rsid w:val="788265F0"/>
    <w:rsid w:val="79CB43E5"/>
    <w:rsid w:val="79D815F5"/>
    <w:rsid w:val="7A4C61B9"/>
    <w:rsid w:val="7AF64429"/>
    <w:rsid w:val="7BC2255D"/>
    <w:rsid w:val="7C492337"/>
    <w:rsid w:val="7CC7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2"/>
      <w:lang w:val="en-US" w:eastAsia="zh-CN" w:bidi="ar-SA"/>
      <w14:ligatures w14:val="none"/>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ind w:left="840" w:leftChars="400"/>
    </w:pPr>
  </w:style>
  <w:style w:type="paragraph" w:styleId="3">
    <w:name w:val="Body Text"/>
    <w:basedOn w:val="1"/>
    <w:autoRedefine/>
    <w:unhideWhenUsed/>
    <w:qFormat/>
    <w:uiPriority w:val="0"/>
    <w:rPr>
      <w:sz w:val="30"/>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tabs>
        <w:tab w:val="center" w:pos="4153"/>
        <w:tab w:val="right" w:pos="8306"/>
      </w:tabs>
      <w:snapToGrid w:val="0"/>
      <w:jc w:val="center"/>
    </w:pPr>
    <w:rPr>
      <w:sz w:val="18"/>
      <w:szCs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eastAsiaTheme="minorEastAsia"/>
      <w:kern w:val="0"/>
      <w:sz w:val="24"/>
      <w:szCs w:val="24"/>
    </w:rPr>
  </w:style>
  <w:style w:type="paragraph" w:styleId="9">
    <w:name w:val="List Paragraph"/>
    <w:basedOn w:val="1"/>
    <w:autoRedefine/>
    <w:qFormat/>
    <w:uiPriority w:val="34"/>
    <w:pPr>
      <w:ind w:firstLine="420" w:firstLineChars="200"/>
    </w:pPr>
  </w:style>
  <w:style w:type="character" w:customStyle="1" w:styleId="10">
    <w:name w:val="页眉 字符"/>
    <w:basedOn w:val="8"/>
    <w:link w:val="5"/>
    <w:autoRedefine/>
    <w:qFormat/>
    <w:uiPriority w:val="99"/>
    <w:rPr>
      <w:rFonts w:ascii="Calibri" w:hAnsi="Calibri" w:eastAsia="宋体" w:cs="宋体"/>
      <w:sz w:val="18"/>
      <w:szCs w:val="18"/>
      <w14:ligatures w14:val="none"/>
    </w:rPr>
  </w:style>
  <w:style w:type="character" w:customStyle="1" w:styleId="11">
    <w:name w:val="页脚 字符"/>
    <w:basedOn w:val="8"/>
    <w:link w:val="4"/>
    <w:autoRedefine/>
    <w:qFormat/>
    <w:uiPriority w:val="99"/>
    <w:rPr>
      <w:rFonts w:ascii="Calibri" w:hAnsi="Calibri" w:eastAsia="宋体" w:cs="宋体"/>
      <w:sz w:val="18"/>
      <w:szCs w:val="18"/>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671</Words>
  <Characters>3827</Characters>
  <Lines>31</Lines>
  <Paragraphs>8</Paragraphs>
  <TotalTime>17</TotalTime>
  <ScaleCrop>false</ScaleCrop>
  <LinksUpToDate>false</LinksUpToDate>
  <CharactersWithSpaces>4490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2023-10-12T06:52:00Z</dcterms:created>
  <dc:creator>春雪 张</dc:creator>
  <cp:lastModifiedBy>好见闻</cp:lastModifiedBy>
  <dcterms:modified xsi:type="dcterms:W3CDTF">2024-03-20T02:22:39Z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BFC274B9B2864A4797C69D249529620A_12</vt:lpwstr>
  </property>
</Properties>
</file>