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rPr>
      </w:pPr>
      <w:r>
        <w:rPr>
          <w:rFonts w:hint="eastAsia" w:ascii="仿宋" w:hAnsi="仿宋" w:eastAsia="仿宋" w:cs="仿宋"/>
          <w:b/>
          <w:bCs/>
          <w:sz w:val="36"/>
          <w:szCs w:val="36"/>
        </w:rPr>
        <w:t>看丹街道</w:t>
      </w:r>
      <w:r>
        <w:rPr>
          <w:rFonts w:hint="eastAsia" w:ascii="仿宋" w:hAnsi="仿宋" w:eastAsia="仿宋" w:cs="仿宋"/>
          <w:b/>
          <w:bCs/>
          <w:sz w:val="36"/>
          <w:szCs w:val="36"/>
          <w:lang w:val="en-US" w:eastAsia="zh-CN"/>
        </w:rPr>
        <w:t>办事处2022</w:t>
      </w:r>
      <w:r>
        <w:rPr>
          <w:rFonts w:hint="eastAsia" w:ascii="仿宋" w:hAnsi="仿宋" w:eastAsia="仿宋" w:cs="仿宋"/>
          <w:b/>
          <w:bCs/>
          <w:sz w:val="36"/>
          <w:szCs w:val="36"/>
        </w:rPr>
        <w:t>年度法治政府建设</w:t>
      </w:r>
      <w:r>
        <w:rPr>
          <w:rFonts w:hint="eastAsia" w:ascii="仿宋" w:hAnsi="仿宋" w:eastAsia="仿宋" w:cs="仿宋"/>
          <w:b/>
          <w:bCs/>
          <w:sz w:val="36"/>
          <w:szCs w:val="36"/>
          <w:lang w:val="en-US" w:eastAsia="zh-CN"/>
        </w:rPr>
        <w:t>情况</w:t>
      </w:r>
      <w:r>
        <w:rPr>
          <w:rFonts w:hint="eastAsia" w:ascii="仿宋" w:hAnsi="仿宋" w:eastAsia="仿宋" w:cs="仿宋"/>
          <w:b/>
          <w:bCs/>
          <w:sz w:val="36"/>
          <w:szCs w:val="36"/>
        </w:rPr>
        <w:t>报告</w:t>
      </w:r>
    </w:p>
    <w:p>
      <w:pPr>
        <w:ind w:firstLine="600" w:firstLineChars="200"/>
        <w:rPr>
          <w:rFonts w:hint="eastAsia" w:ascii="仿宋" w:hAnsi="仿宋" w:eastAsia="仿宋" w:cs="仿宋"/>
          <w:color w:val="404040"/>
          <w:sz w:val="30"/>
          <w:szCs w:val="30"/>
          <w:lang w:val="en-US" w:eastAsia="zh-CN"/>
        </w:rPr>
      </w:pPr>
      <w:r>
        <w:rPr>
          <w:rFonts w:hint="eastAsia" w:ascii="仿宋" w:hAnsi="仿宋" w:eastAsia="仿宋" w:cs="仿宋"/>
          <w:color w:val="404040"/>
          <w:sz w:val="30"/>
          <w:szCs w:val="30"/>
        </w:rPr>
        <w:t>20</w:t>
      </w:r>
      <w:r>
        <w:rPr>
          <w:rFonts w:hint="eastAsia" w:ascii="仿宋" w:hAnsi="仿宋" w:eastAsia="仿宋" w:cs="仿宋"/>
          <w:color w:val="404040"/>
          <w:sz w:val="30"/>
          <w:szCs w:val="30"/>
          <w:lang w:val="en-US" w:eastAsia="zh-CN"/>
        </w:rPr>
        <w:t>22</w:t>
      </w:r>
      <w:r>
        <w:rPr>
          <w:rFonts w:hint="eastAsia" w:ascii="仿宋" w:hAnsi="仿宋" w:eastAsia="仿宋" w:cs="仿宋"/>
          <w:color w:val="404040"/>
          <w:sz w:val="30"/>
          <w:szCs w:val="30"/>
        </w:rPr>
        <w:t>年是</w:t>
      </w:r>
      <w:r>
        <w:rPr>
          <w:rFonts w:hint="eastAsia" w:ascii="仿宋" w:hAnsi="仿宋" w:eastAsia="仿宋" w:cs="仿宋"/>
          <w:color w:val="404040"/>
          <w:sz w:val="30"/>
          <w:szCs w:val="30"/>
          <w:lang w:eastAsia="zh-CN"/>
        </w:rPr>
        <w:t>党的二十大召开之年</w:t>
      </w:r>
      <w:r>
        <w:rPr>
          <w:rFonts w:hint="eastAsia" w:ascii="仿宋" w:hAnsi="仿宋" w:eastAsia="仿宋" w:cs="仿宋"/>
          <w:color w:val="404040"/>
          <w:sz w:val="30"/>
          <w:szCs w:val="30"/>
        </w:rPr>
        <w:t>，是</w:t>
      </w:r>
      <w:r>
        <w:rPr>
          <w:rFonts w:hint="eastAsia" w:ascii="仿宋" w:hAnsi="仿宋" w:eastAsia="仿宋" w:cs="仿宋"/>
          <w:color w:val="404040"/>
          <w:sz w:val="30"/>
          <w:szCs w:val="30"/>
          <w:lang w:eastAsia="zh-CN"/>
        </w:rPr>
        <w:t>实施</w:t>
      </w:r>
      <w:r>
        <w:rPr>
          <w:rFonts w:hint="eastAsia" w:ascii="仿宋" w:hAnsi="仿宋" w:eastAsia="仿宋" w:cs="仿宋"/>
          <w:color w:val="404040"/>
          <w:sz w:val="30"/>
          <w:szCs w:val="30"/>
        </w:rPr>
        <w:t>“十四五”规划</w:t>
      </w:r>
      <w:r>
        <w:rPr>
          <w:rFonts w:hint="eastAsia" w:ascii="仿宋" w:hAnsi="仿宋" w:eastAsia="仿宋" w:cs="仿宋"/>
          <w:color w:val="404040"/>
          <w:sz w:val="30"/>
          <w:szCs w:val="30"/>
          <w:lang w:eastAsia="zh-CN"/>
        </w:rPr>
        <w:t>关键</w:t>
      </w:r>
      <w:r>
        <w:rPr>
          <w:rFonts w:hint="eastAsia" w:ascii="仿宋" w:hAnsi="仿宋" w:eastAsia="仿宋" w:cs="仿宋"/>
          <w:color w:val="404040"/>
          <w:sz w:val="30"/>
          <w:szCs w:val="30"/>
        </w:rPr>
        <w:t>之年。</w:t>
      </w:r>
      <w:r>
        <w:rPr>
          <w:rFonts w:hint="eastAsia" w:ascii="仿宋" w:hAnsi="仿宋" w:eastAsia="仿宋" w:cs="仿宋"/>
          <w:color w:val="404040"/>
          <w:sz w:val="30"/>
          <w:szCs w:val="30"/>
          <w:lang w:eastAsia="zh-CN"/>
        </w:rPr>
        <w:t>看丹街道办事处坚持以习近平新时代中国特色社会主义思想为指导，深入学习贯彻习近平法治思想，</w:t>
      </w:r>
      <w:r>
        <w:rPr>
          <w:rFonts w:hint="eastAsia" w:ascii="仿宋" w:hAnsi="仿宋" w:eastAsia="仿宋" w:cs="仿宋"/>
          <w:color w:val="404040"/>
          <w:sz w:val="30"/>
          <w:szCs w:val="30"/>
        </w:rPr>
        <w:t>认真落实党中央、国务院、市委和区委关于法治政府建设的总体部署，围绕落实《法治中国建设规划（2020-2025年）》</w:t>
      </w:r>
      <w:r>
        <w:rPr>
          <w:rFonts w:hint="eastAsia" w:ascii="仿宋" w:hAnsi="仿宋" w:eastAsia="仿宋" w:cs="仿宋"/>
          <w:color w:val="404040"/>
          <w:sz w:val="30"/>
          <w:szCs w:val="30"/>
          <w:lang w:eastAsia="zh-CN"/>
        </w:rPr>
        <w:t>、</w:t>
      </w:r>
      <w:r>
        <w:rPr>
          <w:rFonts w:hint="eastAsia" w:ascii="仿宋" w:hAnsi="仿宋" w:eastAsia="仿宋" w:cs="仿宋"/>
          <w:color w:val="404040"/>
          <w:sz w:val="30"/>
          <w:szCs w:val="30"/>
        </w:rPr>
        <w:t>《北京市全面依法治市规划（2021 - 2025年）》和《法治政府建设实施纲要（2021-2025年）》的任务要求，结合我</w:t>
      </w:r>
      <w:r>
        <w:rPr>
          <w:rFonts w:hint="eastAsia" w:ascii="仿宋" w:hAnsi="仿宋" w:eastAsia="仿宋" w:cs="仿宋"/>
          <w:color w:val="404040"/>
          <w:sz w:val="30"/>
          <w:szCs w:val="30"/>
          <w:lang w:val="en-US" w:eastAsia="zh-CN"/>
        </w:rPr>
        <w:t>街道</w:t>
      </w:r>
      <w:r>
        <w:rPr>
          <w:rFonts w:hint="eastAsia" w:ascii="仿宋" w:hAnsi="仿宋" w:eastAsia="仿宋" w:cs="仿宋"/>
          <w:color w:val="404040"/>
          <w:sz w:val="30"/>
          <w:szCs w:val="30"/>
        </w:rPr>
        <w:t>实际，扎实推进法治政府建设各项工作，为促进</w:t>
      </w:r>
      <w:r>
        <w:rPr>
          <w:rFonts w:hint="eastAsia" w:ascii="仿宋" w:hAnsi="仿宋" w:eastAsia="仿宋" w:cs="仿宋"/>
          <w:color w:val="404040"/>
          <w:sz w:val="30"/>
          <w:szCs w:val="30"/>
          <w:lang w:eastAsia="zh-CN"/>
        </w:rPr>
        <w:t>辖区内</w:t>
      </w:r>
      <w:r>
        <w:rPr>
          <w:rFonts w:hint="eastAsia" w:ascii="仿宋" w:hAnsi="仿宋" w:eastAsia="仿宋" w:cs="仿宋"/>
          <w:color w:val="404040"/>
          <w:sz w:val="30"/>
          <w:szCs w:val="30"/>
        </w:rPr>
        <w:t>经济社会高质量发展提供坚实的法治保障。</w:t>
      </w:r>
      <w:r>
        <w:rPr>
          <w:rFonts w:hint="eastAsia" w:ascii="仿宋" w:hAnsi="仿宋" w:eastAsia="仿宋" w:cs="仿宋"/>
          <w:color w:val="404040"/>
          <w:sz w:val="30"/>
          <w:szCs w:val="30"/>
          <w:lang w:eastAsia="zh-CN"/>
        </w:rPr>
        <w:t>回望这一年，看丹街道在法治政府建设各项工作中取得新进展、新成效，</w:t>
      </w:r>
      <w:r>
        <w:rPr>
          <w:rFonts w:hint="eastAsia" w:ascii="仿宋" w:hAnsi="仿宋" w:eastAsia="仿宋" w:cs="仿宋"/>
          <w:color w:val="404040"/>
          <w:sz w:val="30"/>
          <w:szCs w:val="30"/>
          <w:lang w:val="en-US" w:eastAsia="zh-CN"/>
        </w:rPr>
        <w:t>现将有关情况报告如下：</w:t>
      </w:r>
    </w:p>
    <w:p>
      <w:pPr>
        <w:ind w:firstLine="602" w:firstLineChars="200"/>
        <w:rPr>
          <w:rFonts w:hint="eastAsia" w:ascii="仿宋" w:hAnsi="仿宋" w:eastAsia="仿宋" w:cs="仿宋"/>
          <w:b/>
          <w:bCs/>
          <w:color w:val="404040"/>
          <w:sz w:val="30"/>
          <w:szCs w:val="30"/>
          <w:lang w:val="en-US" w:eastAsia="zh-CN"/>
        </w:rPr>
      </w:pPr>
      <w:r>
        <w:rPr>
          <w:rFonts w:hint="eastAsia" w:ascii="仿宋" w:hAnsi="仿宋" w:eastAsia="仿宋" w:cs="仿宋"/>
          <w:b/>
          <w:bCs/>
          <w:color w:val="404040"/>
          <w:sz w:val="30"/>
          <w:szCs w:val="30"/>
          <w:lang w:val="en-US" w:eastAsia="zh-CN"/>
        </w:rPr>
        <w:t>一、2022年法治政府建设主要成效</w:t>
      </w:r>
    </w:p>
    <w:p>
      <w:pPr>
        <w:ind w:firstLine="602" w:firstLineChars="200"/>
        <w:rPr>
          <w:rFonts w:hint="eastAsia" w:ascii="仿宋" w:hAnsi="仿宋" w:eastAsia="仿宋" w:cs="仿宋"/>
          <w:b/>
          <w:bCs/>
          <w:color w:val="404040"/>
          <w:sz w:val="30"/>
          <w:szCs w:val="30"/>
          <w:lang w:val="en-US" w:eastAsia="zh-CN"/>
        </w:rPr>
      </w:pPr>
      <w:r>
        <w:rPr>
          <w:rFonts w:hint="eastAsia" w:ascii="仿宋" w:hAnsi="仿宋" w:eastAsia="仿宋" w:cs="仿宋"/>
          <w:b/>
          <w:bCs/>
          <w:color w:val="404040"/>
          <w:sz w:val="30"/>
          <w:szCs w:val="30"/>
          <w:lang w:val="en-US" w:eastAsia="zh-CN"/>
        </w:rPr>
        <w:t>（一）坚持政治导向，全面学习贯彻习近平法治思想</w:t>
      </w:r>
    </w:p>
    <w:p>
      <w:pPr>
        <w:numPr>
          <w:ilvl w:val="0"/>
          <w:numId w:val="0"/>
        </w:numPr>
        <w:ind w:firstLine="600" w:firstLineChars="200"/>
        <w:rPr>
          <w:rFonts w:hint="default"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1、学习贯彻习近平法治思想，参悟领会二十大精神核心要义。把习近平法治思想和党的二十大精神纳入看丹街道办事处会前学法学习内容，作为干部法治专题培训的必修课程，在干部法治讲座、培训轮训中开展学习，进一步创新培训方式，提高培训质量，增强培训效果。</w:t>
      </w:r>
    </w:p>
    <w:p>
      <w:pPr>
        <w:numPr>
          <w:ilvl w:val="0"/>
          <w:numId w:val="0"/>
        </w:numPr>
        <w:ind w:firstLine="600"/>
        <w:rPr>
          <w:rFonts w:hint="eastAsia"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2、坚持以习近平法治思想为指导，全面提升依法行政质效。针对依法行政实践中薄弱环节和问题短板，坚持以习近平法治思想和党的二十大精神为指导，研究制定有价值、可操作的政策措施。坚持用法治给行政权力定规矩、划界限，规范行政决策程序。加强行政执法协调监督工作体系建设，推进严格规范公正文明执法。深入推进政府职能转变，持续发力打造市场化、法治化营商环境。做好常态化疫情防控法治服务和保障工作。</w:t>
      </w:r>
    </w:p>
    <w:p>
      <w:pPr>
        <w:numPr>
          <w:ilvl w:val="0"/>
          <w:numId w:val="0"/>
        </w:numPr>
        <w:ind w:firstLine="600"/>
        <w:rPr>
          <w:rFonts w:hint="eastAsia" w:ascii="仿宋" w:hAnsi="仿宋" w:eastAsia="仿宋" w:cs="仿宋"/>
          <w:b/>
          <w:bCs/>
          <w:color w:val="404040"/>
          <w:sz w:val="30"/>
          <w:szCs w:val="30"/>
          <w:lang w:val="en-US" w:eastAsia="zh-CN"/>
        </w:rPr>
      </w:pPr>
      <w:r>
        <w:rPr>
          <w:rFonts w:hint="eastAsia" w:ascii="仿宋" w:hAnsi="仿宋" w:eastAsia="仿宋" w:cs="仿宋"/>
          <w:b/>
          <w:bCs/>
          <w:color w:val="404040"/>
          <w:sz w:val="30"/>
          <w:szCs w:val="30"/>
          <w:lang w:val="en-US" w:eastAsia="zh-CN"/>
        </w:rPr>
        <w:t>（二）深入推进政府职能转变</w:t>
      </w:r>
    </w:p>
    <w:p>
      <w:pPr>
        <w:ind w:firstLine="600" w:firstLineChars="200"/>
        <w:rPr>
          <w:rFonts w:hint="eastAsia"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3、</w:t>
      </w:r>
      <w:r>
        <w:rPr>
          <w:rFonts w:hint="default" w:ascii="仿宋" w:hAnsi="仿宋" w:eastAsia="仿宋" w:cs="仿宋"/>
          <w:color w:val="404040"/>
          <w:sz w:val="30"/>
          <w:szCs w:val="30"/>
          <w:lang w:val="en-US" w:eastAsia="zh-CN"/>
        </w:rPr>
        <w:t>深化行政体制改革。完善基层治理体制机制，推动构建简约高效的基层管理体制。深化综合行政执法体制改革，完善我</w:t>
      </w:r>
      <w:r>
        <w:rPr>
          <w:rFonts w:hint="eastAsia" w:ascii="仿宋" w:hAnsi="仿宋" w:eastAsia="仿宋" w:cs="仿宋"/>
          <w:color w:val="404040"/>
          <w:sz w:val="30"/>
          <w:szCs w:val="30"/>
          <w:lang w:val="en-US" w:eastAsia="zh-CN"/>
        </w:rPr>
        <w:t>街道</w:t>
      </w:r>
      <w:r>
        <w:rPr>
          <w:rFonts w:hint="default" w:ascii="仿宋" w:hAnsi="仿宋" w:eastAsia="仿宋" w:cs="仿宋"/>
          <w:color w:val="404040"/>
          <w:sz w:val="30"/>
          <w:szCs w:val="30"/>
          <w:lang w:val="en-US" w:eastAsia="zh-CN"/>
        </w:rPr>
        <w:t>综合执法体制机制。</w:t>
      </w:r>
      <w:r>
        <w:rPr>
          <w:rFonts w:hint="eastAsia" w:ascii="仿宋" w:hAnsi="仿宋" w:eastAsia="仿宋" w:cs="仿宋"/>
          <w:color w:val="404040"/>
          <w:sz w:val="30"/>
          <w:szCs w:val="30"/>
          <w:lang w:val="en-US" w:eastAsia="zh-CN"/>
        </w:rPr>
        <w:t>按照北京市司法局《关于落实部分行政执法权下放实行综合执法，加强司法所建设的指导意见》，为更好履行法治工作职责，街道法治工作人员认真参加市、区司法局法治业务培训，提高法治综合业务水平。同时，与综合执法队进行深入沟通交流，捋顺工作流程，推进各项工作顺利合法合规开展。</w:t>
      </w:r>
    </w:p>
    <w:p>
      <w:pPr>
        <w:numPr>
          <w:ilvl w:val="0"/>
          <w:numId w:val="0"/>
        </w:numPr>
        <w:ind w:firstLine="600"/>
        <w:rPr>
          <w:rFonts w:hint="eastAsia"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4、加大放管服改革力度。强化政务服务建设，深入推行“极简审批”，重点推进“全程网办”，全面升级“满满服务”，不断强化政策兑现，努力构建“智能政务”。</w:t>
      </w:r>
    </w:p>
    <w:p>
      <w:pPr>
        <w:ind w:firstLine="600" w:firstLineChars="200"/>
        <w:rPr>
          <w:rFonts w:hint="eastAsia"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5、持续优化营商环境。落实市区优化营商环境相关规划，巩固完善营商环境工作机制，扎实落实投资建设、市场准入、稳定就业、政务服务、法治保障等改革任务，进一步提升企业群众获得感，打造国际一流的营商环境高地。</w:t>
      </w:r>
    </w:p>
    <w:p>
      <w:pPr>
        <w:ind w:firstLine="600" w:firstLineChars="200"/>
        <w:rPr>
          <w:rFonts w:hint="eastAsia"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6、推进社会信用体系建设。加大社会信用体系建设的宣传力度，在全街道形成良好氛围。健全信用承诺、信用分级分类监管、信用奖惩、信用修复等机制，在教育、科技、住建、交通、水务、商务、文化旅游、卫生健康等领域率先实现全流程信用监管，推进“信用＋”应用。</w:t>
      </w:r>
    </w:p>
    <w:p>
      <w:pPr>
        <w:ind w:firstLine="602" w:firstLineChars="200"/>
        <w:rPr>
          <w:rFonts w:hint="default" w:ascii="仿宋" w:hAnsi="仿宋" w:eastAsia="仿宋" w:cs="仿宋"/>
          <w:b/>
          <w:bCs/>
          <w:color w:val="404040"/>
          <w:sz w:val="30"/>
          <w:szCs w:val="30"/>
          <w:lang w:val="en-US" w:eastAsia="zh-CN"/>
        </w:rPr>
      </w:pPr>
      <w:r>
        <w:rPr>
          <w:rFonts w:hint="eastAsia" w:ascii="仿宋" w:hAnsi="仿宋" w:eastAsia="仿宋" w:cs="仿宋"/>
          <w:b/>
          <w:bCs/>
          <w:color w:val="404040"/>
          <w:sz w:val="30"/>
          <w:szCs w:val="30"/>
          <w:lang w:val="en-US" w:eastAsia="zh-CN"/>
        </w:rPr>
        <w:t>（三）推进依法民主科学决策</w:t>
      </w:r>
    </w:p>
    <w:p>
      <w:pPr>
        <w:ind w:firstLine="600" w:firstLineChars="200"/>
        <w:rPr>
          <w:rFonts w:hint="eastAsia"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7、认真参与立法调研。对于立法调研和相关法律法规征求意见，高度重视，认真结合实际，提出反馈意见，为立法工作提供相应参考。</w:t>
      </w:r>
      <w:r>
        <w:rPr>
          <w:rFonts w:hint="eastAsia" w:ascii="仿宋" w:hAnsi="仿宋" w:eastAsia="仿宋"/>
          <w:color w:val="000000"/>
          <w:sz w:val="32"/>
          <w:szCs w:val="32"/>
        </w:rPr>
        <w:br w:type="textWrapping"/>
      </w:r>
      <w:r>
        <w:rPr>
          <w:rFonts w:hint="eastAsia" w:ascii="仿宋" w:hAnsi="仿宋" w:eastAsia="仿宋" w:cs="仿宋"/>
          <w:color w:val="404040"/>
          <w:sz w:val="30"/>
          <w:szCs w:val="30"/>
          <w:lang w:val="en-US" w:eastAsia="zh-CN"/>
        </w:rPr>
        <w:t xml:space="preserve">    8、落实重大行政决策程序。严格落实《重大行政决策程序暂行条例》，健全完善规范性文件合法性审核机制。贯彻落实中央依法治国委员会关于切实加强党政机关法律顾问工作相关意见要求，切实发挥法律顾问在重大决策、规范性文件合法合规性审查等工作中重要作用，对于联合执法及风险较大的决策进行法律评估，确保依法行政。2022年以来，法律顾问和法治工作人员提供合同审查等法律服</w:t>
      </w:r>
      <w:r>
        <w:rPr>
          <w:rFonts w:hint="eastAsia" w:ascii="仿宋" w:hAnsi="仿宋" w:eastAsia="仿宋" w:cs="仿宋"/>
          <w:color w:val="404040"/>
          <w:sz w:val="30"/>
          <w:szCs w:val="30"/>
          <w:highlight w:val="none"/>
          <w:lang w:val="en-US" w:eastAsia="zh-CN"/>
        </w:rPr>
        <w:t>务455件。</w:t>
      </w:r>
    </w:p>
    <w:p>
      <w:pPr>
        <w:ind w:firstLine="602" w:firstLineChars="200"/>
        <w:rPr>
          <w:rFonts w:hint="default" w:ascii="仿宋" w:hAnsi="仿宋" w:eastAsia="仿宋" w:cs="仿宋"/>
          <w:b/>
          <w:bCs/>
          <w:color w:val="404040"/>
          <w:sz w:val="30"/>
          <w:szCs w:val="30"/>
          <w:lang w:val="en-US" w:eastAsia="zh-CN"/>
        </w:rPr>
      </w:pPr>
      <w:r>
        <w:rPr>
          <w:rFonts w:hint="eastAsia" w:ascii="仿宋" w:hAnsi="仿宋" w:eastAsia="仿宋" w:cs="仿宋"/>
          <w:b/>
          <w:bCs/>
          <w:color w:val="404040"/>
          <w:sz w:val="30"/>
          <w:szCs w:val="30"/>
          <w:lang w:val="en-US" w:eastAsia="zh-CN"/>
        </w:rPr>
        <w:t>（四）严格规范公正文明执法</w:t>
      </w:r>
    </w:p>
    <w:p>
      <w:pPr>
        <w:ind w:firstLine="600" w:firstLineChars="200"/>
        <w:rPr>
          <w:rFonts w:hint="eastAsia"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9、着力提升执法水平和能力。一是加强制度建设，贯彻落实《看丹街道办事处重大行政执法决定法制审核制度》等六项工作制度和《看丹街道办事处重大行政执法决定法制审核及听证标准》。二是依据《看丹街道办事处行政执法公示制度》，进一步落实，按照“谁执法谁公示”的原则和相关制度要求开展行政执法公示工作。三是依据《看丹街道办事处执法全过程记录规定》，以是否“规范、完整、系统、可回溯”为质量和标准开展自查。四是严格按照《看丹街道办事处重大行政执法决定法制审核制度》开展法制审核。</w:t>
      </w:r>
    </w:p>
    <w:p>
      <w:pPr>
        <w:ind w:firstLine="602" w:firstLineChars="200"/>
        <w:rPr>
          <w:rFonts w:hint="eastAsia" w:ascii="仿宋" w:hAnsi="仿宋" w:eastAsia="仿宋" w:cs="仿宋"/>
          <w:b/>
          <w:bCs/>
          <w:color w:val="404040"/>
          <w:sz w:val="30"/>
          <w:szCs w:val="30"/>
          <w:lang w:val="en-US" w:eastAsia="zh-CN"/>
        </w:rPr>
      </w:pPr>
      <w:r>
        <w:rPr>
          <w:rFonts w:hint="eastAsia" w:ascii="仿宋" w:hAnsi="仿宋" w:eastAsia="仿宋" w:cs="仿宋"/>
          <w:b/>
          <w:bCs/>
          <w:color w:val="404040"/>
          <w:sz w:val="30"/>
          <w:szCs w:val="30"/>
          <w:lang w:val="en-US" w:eastAsia="zh-CN"/>
        </w:rPr>
        <w:t xml:space="preserve">（五）有效化解社会矛盾纠纷 </w:t>
      </w:r>
    </w:p>
    <w:p>
      <w:pPr>
        <w:ind w:firstLine="600" w:firstLineChars="200"/>
        <w:rPr>
          <w:rFonts w:hint="eastAsia"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10、夯实行政复议、应诉工作。坚持好答复、答辩、证据材料提交,做好案件报告工作。</w:t>
      </w:r>
      <w:r>
        <w:rPr>
          <w:rFonts w:hint="eastAsia" w:ascii="仿宋" w:hAnsi="仿宋" w:eastAsia="仿宋" w:cs="仿宋"/>
          <w:color w:val="404040"/>
          <w:sz w:val="30"/>
          <w:szCs w:val="30"/>
          <w:highlight w:val="none"/>
          <w:lang w:val="en-US" w:eastAsia="zh-CN"/>
        </w:rPr>
        <w:t>2022年,看丹街道共接受行政复议案件7起，行政应诉3件。</w:t>
      </w:r>
      <w:r>
        <w:rPr>
          <w:rFonts w:hint="eastAsia" w:ascii="仿宋" w:hAnsi="仿宋" w:eastAsia="仿宋" w:cs="仿宋"/>
          <w:color w:val="404040"/>
          <w:sz w:val="30"/>
          <w:szCs w:val="30"/>
          <w:lang w:val="en-US" w:eastAsia="zh-CN"/>
        </w:rPr>
        <w:t>同时,事后总结分析，及时报送行政复议、行政诉讼统计等工作,研析法治实情,形成工作经验。</w:t>
      </w:r>
    </w:p>
    <w:p>
      <w:pPr>
        <w:ind w:firstLine="600" w:firstLineChars="200"/>
        <w:rPr>
          <w:rFonts w:hint="default"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11、优化调解模式。调委会运用微信视频开展线上调解，开启“不见面”、“零接触”远程视频调解模式。对于疫情后期将会出现的因疫情而产生的经济纠纷进行提前预判，制定后期纠纷调处的方案，为特殊时期的矛盾纠纷化解做好充足准备。</w:t>
      </w:r>
    </w:p>
    <w:p>
      <w:pPr>
        <w:ind w:firstLine="600" w:firstLineChars="200"/>
        <w:rPr>
          <w:rFonts w:hint="eastAsia"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12、深化公共法律服务。全街道16社区、3个村，均有村居法律顾问定期开展法律咨询和法律服务。法律顾问通过承担起草、审查合同，出具律师函、法律意见书，参与非诉讼法律事务的办理，代理诉讼案件，不定期到办事处、村、社区坐班，为村民就法律问题释疑解惑，</w:t>
      </w:r>
      <w:r>
        <w:rPr>
          <w:rFonts w:hint="eastAsia" w:ascii="仿宋" w:hAnsi="仿宋" w:eastAsia="仿宋" w:cs="仿宋"/>
          <w:color w:val="404040"/>
          <w:sz w:val="30"/>
          <w:szCs w:val="30"/>
          <w:highlight w:val="none"/>
          <w:lang w:val="en-US" w:eastAsia="zh-CN"/>
        </w:rPr>
        <w:t>全年共开展法治讲座10余场次，解答法律咨询1200余次。</w:t>
      </w:r>
    </w:p>
    <w:p>
      <w:pPr>
        <w:ind w:firstLine="602" w:firstLineChars="200"/>
        <w:rPr>
          <w:rFonts w:hint="eastAsia" w:ascii="仿宋" w:hAnsi="仿宋" w:eastAsia="仿宋" w:cs="仿宋"/>
          <w:b/>
          <w:bCs/>
          <w:color w:val="404040"/>
          <w:sz w:val="30"/>
          <w:szCs w:val="30"/>
          <w:lang w:val="en-US" w:eastAsia="zh-CN"/>
        </w:rPr>
      </w:pPr>
      <w:r>
        <w:rPr>
          <w:rFonts w:hint="eastAsia" w:ascii="仿宋" w:hAnsi="仿宋" w:eastAsia="仿宋" w:cs="仿宋"/>
          <w:b/>
          <w:bCs/>
          <w:color w:val="404040"/>
          <w:sz w:val="30"/>
          <w:szCs w:val="30"/>
          <w:lang w:val="en-US" w:eastAsia="zh-CN"/>
        </w:rPr>
        <w:t>（六）法治宣传绘声绘色</w:t>
      </w:r>
    </w:p>
    <w:p>
      <w:pPr>
        <w:ind w:firstLine="600" w:firstLineChars="200"/>
        <w:rPr>
          <w:rFonts w:hint="default" w:ascii="仿宋" w:hAnsi="仿宋" w:eastAsia="仿宋" w:cs="仿宋"/>
          <w:b w:val="0"/>
          <w:bCs w:val="0"/>
          <w:color w:val="404040"/>
          <w:sz w:val="30"/>
          <w:szCs w:val="30"/>
          <w:highlight w:val="none"/>
          <w:lang w:val="en-US" w:eastAsia="zh-CN"/>
        </w:rPr>
      </w:pPr>
      <w:r>
        <w:rPr>
          <w:rFonts w:hint="eastAsia" w:ascii="仿宋" w:hAnsi="仿宋" w:eastAsia="仿宋" w:cs="仿宋"/>
          <w:color w:val="404040"/>
          <w:sz w:val="30"/>
          <w:szCs w:val="30"/>
          <w:lang w:val="en-US" w:eastAsia="zh-CN"/>
        </w:rPr>
        <w:t>13、特殊时期法律“云宣传”不掉线。从各阶段疫情防控实际出发，灵活开展线上为主的特色法治“云宣传”，打造云端开课法入民心、视频彩铃法治传音、线上竞答角逐激烈等特色宣传模式。在“12.4”宪法宣传日以及妇女节、重阳节等重要节点，通过张贴海报、举办法治讲座等方式宣传《宪法》、《民法典》等与群众密切相关的法律法规</w:t>
      </w:r>
      <w:r>
        <w:rPr>
          <w:rFonts w:hint="eastAsia" w:ascii="仿宋" w:hAnsi="仿宋" w:eastAsia="仿宋" w:cs="仿宋"/>
          <w:color w:val="404040"/>
          <w:sz w:val="30"/>
          <w:szCs w:val="30"/>
          <w:highlight w:val="none"/>
          <w:lang w:val="en-US" w:eastAsia="zh-CN"/>
        </w:rPr>
        <w:t>，开展法治宣传活动15余场次，发放宣传材料和宣传品3000余份。</w:t>
      </w:r>
    </w:p>
    <w:p>
      <w:pPr>
        <w:ind w:firstLine="602" w:firstLineChars="200"/>
        <w:rPr>
          <w:rFonts w:hint="eastAsia" w:ascii="仿宋" w:hAnsi="仿宋" w:eastAsia="仿宋" w:cs="仿宋"/>
          <w:b/>
          <w:bCs/>
          <w:color w:val="404040"/>
          <w:sz w:val="30"/>
          <w:szCs w:val="30"/>
          <w:lang w:val="en-US" w:eastAsia="zh-CN"/>
        </w:rPr>
      </w:pPr>
      <w:r>
        <w:rPr>
          <w:rFonts w:hint="eastAsia" w:ascii="仿宋" w:hAnsi="仿宋" w:eastAsia="仿宋" w:cs="仿宋"/>
          <w:b/>
          <w:bCs/>
          <w:color w:val="404040"/>
          <w:sz w:val="30"/>
          <w:szCs w:val="30"/>
          <w:lang w:val="en-US" w:eastAsia="zh-CN"/>
        </w:rPr>
        <w:t>二、2022年法治政府建设存在的问题与不足</w:t>
      </w:r>
    </w:p>
    <w:p>
      <w:pPr>
        <w:ind w:firstLine="600" w:firstLineChars="200"/>
        <w:rPr>
          <w:rFonts w:hint="default"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2022年，看丹街道法治政府建设工作在取得成效的同时，仍存在一些不足，主要表现在：一是法治政府建设机制有待进一步完善；二是政府工作人员和行政执法人员运用法治思维开展工作能力有待进一步增强；三是运用法治思维指导社区、村工作的能力和水平有待进一步提升。</w:t>
      </w:r>
    </w:p>
    <w:p>
      <w:pPr>
        <w:ind w:firstLine="602" w:firstLineChars="200"/>
        <w:rPr>
          <w:rFonts w:hint="eastAsia" w:ascii="仿宋" w:hAnsi="仿宋" w:eastAsia="仿宋" w:cs="仿宋"/>
          <w:b/>
          <w:bCs/>
          <w:color w:val="404040"/>
          <w:sz w:val="30"/>
          <w:szCs w:val="30"/>
          <w:lang w:val="en-US" w:eastAsia="zh-CN"/>
        </w:rPr>
      </w:pPr>
      <w:r>
        <w:rPr>
          <w:rFonts w:hint="eastAsia" w:ascii="仿宋" w:hAnsi="仿宋" w:eastAsia="仿宋" w:cs="仿宋"/>
          <w:b/>
          <w:bCs/>
          <w:color w:val="404040"/>
          <w:sz w:val="30"/>
          <w:szCs w:val="30"/>
          <w:lang w:val="en-US" w:eastAsia="zh-CN"/>
        </w:rPr>
        <w:t>三、2022年党政主要负责人履行推进法治政府建设第一责任人职责情况</w:t>
      </w:r>
    </w:p>
    <w:p>
      <w:pPr>
        <w:ind w:firstLine="600" w:firstLineChars="200"/>
        <w:rPr>
          <w:rFonts w:hint="eastAsia"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2022年，看丹街道党政主要负责人认真落实法治政府建设的要求，深入贯彻落实习近平总书记提出的“领导干部要做尊法学法守法用法的模范”讲话精神,街道党政主要负责人带头学法,模范用法，积极主动听取法治建设工作情况汇报,及时研究解决有关重大问题,充分发挥好在法治建设中的引领示范作用，有效推动各项责任落实、工作落地。一是推进街道工委会、主任办公会会前学法常态化，并推行分管领导和科室负责人讲法制度，提升学法讲法时效性，</w:t>
      </w:r>
      <w:r>
        <w:rPr>
          <w:rFonts w:hint="eastAsia" w:ascii="仿宋" w:hAnsi="仿宋" w:eastAsia="仿宋" w:cs="仿宋"/>
          <w:color w:val="404040"/>
          <w:sz w:val="30"/>
          <w:szCs w:val="30"/>
          <w:highlight w:val="none"/>
          <w:lang w:val="en-US" w:eastAsia="zh-CN"/>
        </w:rPr>
        <w:t>以《宪法》、《民法典》、习近平法治思想、党的二十大精神为主要内容进行学习。</w:t>
      </w:r>
      <w:r>
        <w:rPr>
          <w:rFonts w:hint="eastAsia" w:ascii="仿宋" w:hAnsi="仿宋" w:eastAsia="仿宋" w:cs="仿宋"/>
          <w:color w:val="404040"/>
          <w:sz w:val="30"/>
          <w:szCs w:val="30"/>
          <w:lang w:val="en-US" w:eastAsia="zh-CN"/>
        </w:rPr>
        <w:t>二是认真贯彻《重大行政决策程序暂行条例》，重大项目进行合法性审查，推进政府依法决策。三是制定看丹街道“八五”普法规划实施方案，从指导思想、突出宣传重点、提升公民法治素养、推动法治文化建设、推进依法治理以及强化工作保障等六个方面，落实地区法治建设工作。</w:t>
      </w:r>
    </w:p>
    <w:p>
      <w:pPr>
        <w:ind w:firstLine="602" w:firstLineChars="200"/>
        <w:rPr>
          <w:rFonts w:hint="eastAsia" w:ascii="仿宋" w:hAnsi="仿宋" w:eastAsia="仿宋" w:cs="仿宋"/>
          <w:b/>
          <w:bCs/>
          <w:color w:val="404040"/>
          <w:sz w:val="30"/>
          <w:szCs w:val="30"/>
          <w:highlight w:val="none"/>
          <w:lang w:val="en-US" w:eastAsia="zh-CN"/>
        </w:rPr>
      </w:pPr>
      <w:r>
        <w:rPr>
          <w:rFonts w:hint="eastAsia" w:ascii="仿宋" w:hAnsi="仿宋" w:eastAsia="仿宋" w:cs="仿宋"/>
          <w:b/>
          <w:bCs/>
          <w:color w:val="404040"/>
          <w:sz w:val="30"/>
          <w:szCs w:val="30"/>
          <w:highlight w:val="none"/>
          <w:lang w:val="en-US" w:eastAsia="zh-CN"/>
        </w:rPr>
        <w:t>四、2023年法治政府建设工作初步安排</w:t>
      </w:r>
    </w:p>
    <w:p>
      <w:pPr>
        <w:ind w:firstLine="600" w:firstLineChars="200"/>
        <w:rPr>
          <w:rFonts w:hint="eastAsia"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2023年，看丹街道将紧紧围绕区委、区政府的工作思路，充分发挥街道党工委、办事处的职能，通过加强法治建设和宣传培训、强化执法检查和监督，积极开展政策调研和综合协调工作，进一步建立完善工作制度，积极推进法治政府建设工作上一个新的台阶。</w:t>
      </w:r>
    </w:p>
    <w:p>
      <w:pPr>
        <w:numPr>
          <w:ilvl w:val="0"/>
          <w:numId w:val="0"/>
        </w:numPr>
        <w:ind w:firstLine="600" w:firstLineChars="200"/>
        <w:rPr>
          <w:rFonts w:hint="eastAsia"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（一）健全组织领导，完善机制建设</w:t>
      </w:r>
    </w:p>
    <w:p>
      <w:pPr>
        <w:numPr>
          <w:ilvl w:val="0"/>
          <w:numId w:val="0"/>
        </w:numPr>
        <w:ind w:firstLine="600"/>
        <w:rPr>
          <w:rFonts w:hint="eastAsia"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看丹街道将高度重视法治政府建设工作，进一步建立健全组织机制，按照法治工作领导小组分工，完善各项规章制度，并结合街道实际情况，制定更加详实的工作计划和落实措施。完善决策方式，规范决策程序，强化决策责任，创新决策形式，加强法治机构队伍建设，提高法治</w:t>
      </w:r>
      <w:bookmarkStart w:id="0" w:name="_GoBack"/>
      <w:bookmarkEnd w:id="0"/>
      <w:r>
        <w:rPr>
          <w:rFonts w:hint="eastAsia" w:ascii="仿宋" w:hAnsi="仿宋" w:eastAsia="仿宋" w:cs="仿宋"/>
          <w:color w:val="404040"/>
          <w:sz w:val="30"/>
          <w:szCs w:val="30"/>
          <w:lang w:val="en-US" w:eastAsia="zh-CN"/>
        </w:rPr>
        <w:t>机构履职能力。</w:t>
      </w:r>
    </w:p>
    <w:p>
      <w:pPr>
        <w:numPr>
          <w:ilvl w:val="0"/>
          <w:numId w:val="0"/>
        </w:numPr>
        <w:ind w:firstLine="600"/>
        <w:rPr>
          <w:rFonts w:hint="default"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（二）提高工作能力，增强法治意识</w:t>
      </w:r>
    </w:p>
    <w:p>
      <w:pPr>
        <w:ind w:firstLine="600" w:firstLineChars="200"/>
        <w:rPr>
          <w:rFonts w:hint="eastAsia"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看丹街道将进一步</w:t>
      </w:r>
      <w:r>
        <w:rPr>
          <w:rFonts w:hint="default" w:ascii="仿宋" w:hAnsi="仿宋" w:eastAsia="仿宋" w:cs="仿宋"/>
          <w:color w:val="404040"/>
          <w:sz w:val="30"/>
          <w:szCs w:val="30"/>
          <w:lang w:val="en-US" w:eastAsia="zh-CN"/>
        </w:rPr>
        <w:t>健全</w:t>
      </w:r>
      <w:r>
        <w:rPr>
          <w:rFonts w:hint="eastAsia" w:ascii="仿宋" w:hAnsi="仿宋" w:eastAsia="仿宋" w:cs="仿宋"/>
          <w:color w:val="404040"/>
          <w:sz w:val="30"/>
          <w:szCs w:val="30"/>
          <w:lang w:val="en-US" w:eastAsia="zh-CN"/>
        </w:rPr>
        <w:t>、</w:t>
      </w:r>
      <w:r>
        <w:rPr>
          <w:rFonts w:hint="default" w:ascii="仿宋" w:hAnsi="仿宋" w:eastAsia="仿宋" w:cs="仿宋"/>
          <w:color w:val="404040"/>
          <w:sz w:val="30"/>
          <w:szCs w:val="30"/>
          <w:lang w:val="en-US" w:eastAsia="zh-CN"/>
        </w:rPr>
        <w:t>完善领导干部学习培训、集中学法、考试考核等制度，着力提高</w:t>
      </w:r>
      <w:r>
        <w:rPr>
          <w:rFonts w:hint="eastAsia" w:ascii="仿宋" w:hAnsi="仿宋" w:eastAsia="仿宋" w:cs="仿宋"/>
          <w:color w:val="404040"/>
          <w:sz w:val="30"/>
          <w:szCs w:val="30"/>
          <w:lang w:val="en-US" w:eastAsia="zh-CN"/>
        </w:rPr>
        <w:t>领导干部</w:t>
      </w:r>
      <w:r>
        <w:rPr>
          <w:rFonts w:hint="default" w:ascii="仿宋" w:hAnsi="仿宋" w:eastAsia="仿宋" w:cs="仿宋"/>
          <w:color w:val="404040"/>
          <w:sz w:val="30"/>
          <w:szCs w:val="30"/>
          <w:lang w:val="en-US" w:eastAsia="zh-CN"/>
        </w:rPr>
        <w:t>运用法治思维和法治方式深化改革、推动发展、化解矛盾、维护稳定的能力</w:t>
      </w:r>
      <w:r>
        <w:rPr>
          <w:rFonts w:hint="eastAsia" w:ascii="仿宋" w:hAnsi="仿宋" w:eastAsia="仿宋" w:cs="仿宋"/>
          <w:color w:val="404040"/>
          <w:sz w:val="30"/>
          <w:szCs w:val="30"/>
          <w:lang w:val="en-US" w:eastAsia="zh-CN"/>
        </w:rPr>
        <w:t>，不断提高工作人员自身政治素质、业务素质、法治思维和工作能力，进一步增强行政执法人员严格规范公正文明执法，明确责任，做好行政复议及行政应诉工作，稳步推进行政执法工作。</w:t>
      </w:r>
    </w:p>
    <w:p>
      <w:pPr>
        <w:ind w:firstLine="600" w:firstLineChars="200"/>
        <w:rPr>
          <w:rFonts w:hint="eastAsia"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（三）增强社区指导，加强法治宣传</w:t>
      </w:r>
    </w:p>
    <w:p>
      <w:pPr>
        <w:numPr>
          <w:ilvl w:val="0"/>
          <w:numId w:val="0"/>
        </w:numPr>
        <w:ind w:firstLine="600" w:firstLineChars="200"/>
        <w:rPr>
          <w:rFonts w:hint="default"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看丹街道将进一步运用法治思维指导社区、村工作，充分发挥村居法律顾问机制作用，建设长效化公益法律服务平台。在日常法治教育的基础上继续增强法治宣传，利用重要节日和宣传节点，有针对性的开展法治宣传活动，充分调动社区、村积极性、主动性和创造性，提高法治工作意识。</w:t>
      </w:r>
    </w:p>
    <w:p>
      <w:pPr>
        <w:rPr>
          <w:rFonts w:hint="default" w:ascii="仿宋" w:hAnsi="仿宋" w:eastAsia="仿宋" w:cs="仿宋"/>
          <w:color w:val="404040"/>
          <w:sz w:val="30"/>
          <w:szCs w:val="30"/>
          <w:lang w:val="en-US" w:eastAsia="zh-CN"/>
        </w:rPr>
      </w:pPr>
    </w:p>
    <w:p>
      <w:pPr>
        <w:rPr>
          <w:rFonts w:hint="default" w:ascii="仿宋" w:hAnsi="仿宋" w:eastAsia="仿宋" w:cs="仿宋"/>
          <w:color w:val="404040"/>
          <w:sz w:val="30"/>
          <w:szCs w:val="30"/>
          <w:lang w:val="en-US" w:eastAsia="zh-CN"/>
        </w:rPr>
      </w:pPr>
    </w:p>
    <w:p>
      <w:pPr>
        <w:rPr>
          <w:rFonts w:hint="default" w:ascii="仿宋" w:hAnsi="仿宋" w:eastAsia="仿宋" w:cs="仿宋"/>
          <w:color w:val="404040"/>
          <w:sz w:val="30"/>
          <w:szCs w:val="30"/>
          <w:lang w:val="en-US" w:eastAsia="zh-CN"/>
        </w:rPr>
      </w:pPr>
    </w:p>
    <w:p>
      <w:pPr>
        <w:ind w:firstLine="600" w:firstLineChars="200"/>
        <w:rPr>
          <w:rFonts w:hint="default" w:ascii="仿宋" w:hAnsi="仿宋" w:eastAsia="仿宋" w:cs="仿宋"/>
          <w:color w:val="404040"/>
          <w:sz w:val="30"/>
          <w:szCs w:val="30"/>
          <w:lang w:val="en-US" w:eastAsia="zh-CN"/>
        </w:rPr>
      </w:pPr>
    </w:p>
    <w:p>
      <w:pPr>
        <w:ind w:firstLine="600" w:firstLineChars="200"/>
        <w:rPr>
          <w:rFonts w:hint="default" w:ascii="仿宋" w:hAnsi="仿宋" w:eastAsia="仿宋" w:cs="仿宋"/>
          <w:color w:val="404040"/>
          <w:sz w:val="30"/>
          <w:szCs w:val="30"/>
          <w:lang w:val="en-US" w:eastAsia="zh-CN"/>
        </w:rPr>
      </w:pPr>
    </w:p>
    <w:p>
      <w:pPr>
        <w:ind w:firstLine="600" w:firstLineChars="200"/>
        <w:rPr>
          <w:rFonts w:hint="default" w:ascii="仿宋" w:hAnsi="仿宋" w:eastAsia="仿宋" w:cs="仿宋"/>
          <w:color w:val="404040"/>
          <w:sz w:val="30"/>
          <w:szCs w:val="30"/>
          <w:lang w:val="en-US" w:eastAsia="zh-CN"/>
        </w:rPr>
      </w:pPr>
    </w:p>
    <w:p>
      <w:pPr>
        <w:ind w:firstLine="600" w:firstLineChars="200"/>
        <w:rPr>
          <w:rFonts w:hint="default" w:ascii="仿宋" w:hAnsi="仿宋" w:eastAsia="仿宋" w:cs="仿宋"/>
          <w:color w:val="404040"/>
          <w:sz w:val="30"/>
          <w:szCs w:val="30"/>
          <w:lang w:val="en-US" w:eastAsia="zh-CN"/>
        </w:rPr>
      </w:pPr>
    </w:p>
    <w:p>
      <w:pPr>
        <w:ind w:firstLine="600" w:firstLineChars="200"/>
        <w:rPr>
          <w:rFonts w:hint="default" w:ascii="仿宋" w:hAnsi="仿宋" w:eastAsia="仿宋" w:cs="仿宋"/>
          <w:color w:val="404040"/>
          <w:sz w:val="30"/>
          <w:szCs w:val="30"/>
          <w:lang w:val="en-US" w:eastAsia="zh-CN"/>
        </w:rPr>
      </w:pPr>
    </w:p>
    <w:p>
      <w:pPr>
        <w:ind w:firstLine="600" w:firstLineChars="200"/>
        <w:rPr>
          <w:rFonts w:hint="default" w:ascii="仿宋" w:hAnsi="仿宋" w:eastAsia="仿宋" w:cs="仿宋"/>
          <w:color w:val="404040"/>
          <w:sz w:val="30"/>
          <w:szCs w:val="30"/>
          <w:lang w:val="en-US" w:eastAsia="zh-CN"/>
        </w:rPr>
      </w:pPr>
    </w:p>
    <w:p>
      <w:pPr>
        <w:ind w:firstLine="600" w:firstLineChars="200"/>
        <w:rPr>
          <w:rFonts w:hint="default" w:ascii="仿宋" w:hAnsi="仿宋" w:eastAsia="仿宋" w:cs="仿宋"/>
          <w:color w:val="404040"/>
          <w:sz w:val="30"/>
          <w:szCs w:val="30"/>
          <w:lang w:val="en-US" w:eastAsia="zh-CN"/>
        </w:rPr>
      </w:pPr>
    </w:p>
    <w:p>
      <w:pPr>
        <w:ind w:firstLine="600" w:firstLineChars="200"/>
        <w:rPr>
          <w:rFonts w:hint="default" w:ascii="仿宋" w:hAnsi="仿宋" w:eastAsia="仿宋" w:cs="仿宋"/>
          <w:color w:val="404040"/>
          <w:sz w:val="30"/>
          <w:szCs w:val="30"/>
          <w:lang w:val="en-US" w:eastAsia="zh-CN"/>
        </w:rPr>
      </w:pPr>
    </w:p>
    <w:p>
      <w:pPr>
        <w:ind w:firstLine="600" w:firstLineChars="200"/>
        <w:jc w:val="right"/>
        <w:rPr>
          <w:rFonts w:hint="eastAsia"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看丹街道办事处</w:t>
      </w:r>
    </w:p>
    <w:p>
      <w:pPr>
        <w:ind w:firstLine="600" w:firstLineChars="200"/>
        <w:jc w:val="right"/>
        <w:rPr>
          <w:rFonts w:hint="default" w:ascii="仿宋" w:hAnsi="仿宋" w:eastAsia="仿宋" w:cs="仿宋"/>
          <w:color w:val="404040"/>
          <w:sz w:val="30"/>
          <w:szCs w:val="30"/>
          <w:lang w:val="en-US" w:eastAsia="zh-CN"/>
        </w:rPr>
      </w:pPr>
      <w:r>
        <w:rPr>
          <w:rFonts w:hint="eastAsia" w:ascii="仿宋" w:hAnsi="仿宋" w:eastAsia="仿宋" w:cs="仿宋"/>
          <w:color w:val="404040"/>
          <w:sz w:val="30"/>
          <w:szCs w:val="30"/>
          <w:lang w:val="en-US" w:eastAsia="zh-CN"/>
        </w:rPr>
        <w:t>2022年12月15日</w:t>
      </w:r>
    </w:p>
    <w:p>
      <w:pPr>
        <w:ind w:firstLine="420" w:firstLineChars="200"/>
        <w:rPr>
          <w:rFonts w:hint="eastAsia" w:eastAsia="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A0D0A"/>
    <w:rsid w:val="0277387C"/>
    <w:rsid w:val="02A23A3C"/>
    <w:rsid w:val="090E4468"/>
    <w:rsid w:val="09ED18D7"/>
    <w:rsid w:val="0AF92D0E"/>
    <w:rsid w:val="0C884A9F"/>
    <w:rsid w:val="0EB672B2"/>
    <w:rsid w:val="0F0D6331"/>
    <w:rsid w:val="127E3DE4"/>
    <w:rsid w:val="152C6320"/>
    <w:rsid w:val="18925B4B"/>
    <w:rsid w:val="250421AF"/>
    <w:rsid w:val="26693035"/>
    <w:rsid w:val="280B3FC1"/>
    <w:rsid w:val="2A8E045D"/>
    <w:rsid w:val="2E1A6430"/>
    <w:rsid w:val="31557E7B"/>
    <w:rsid w:val="35762CD8"/>
    <w:rsid w:val="38646D95"/>
    <w:rsid w:val="3B143E02"/>
    <w:rsid w:val="3C957A74"/>
    <w:rsid w:val="3CCC214C"/>
    <w:rsid w:val="3FF638FD"/>
    <w:rsid w:val="41142192"/>
    <w:rsid w:val="496120EC"/>
    <w:rsid w:val="4AF92037"/>
    <w:rsid w:val="525B0C71"/>
    <w:rsid w:val="52E94638"/>
    <w:rsid w:val="54376F96"/>
    <w:rsid w:val="55897D9F"/>
    <w:rsid w:val="5AA15BED"/>
    <w:rsid w:val="5E77028A"/>
    <w:rsid w:val="60C93F57"/>
    <w:rsid w:val="65A42ED0"/>
    <w:rsid w:val="69F56662"/>
    <w:rsid w:val="6BA16449"/>
    <w:rsid w:val="6D5806ED"/>
    <w:rsid w:val="73CD470A"/>
    <w:rsid w:val="75E108F2"/>
    <w:rsid w:val="7F5E3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2022-12-12T02:17:00Z</dcterms:created>
  <dc:creator>Administrator</dc:creator>
  <cp:lastModifiedBy>Administrator</cp:lastModifiedBy>
  <dcterms:modified xsi:type="dcterms:W3CDTF">2023-03-22T06:59:08Z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6D64A6EC74444C16986373BE4C03296B</vt:lpwstr>
  </property>
</Properties>
</file>