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六里桥街道办事处</w:t>
      </w:r>
    </w:p>
    <w:p>
      <w:pPr>
        <w:pStyle w:val="10"/>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2023年法治政府建设年度情况报告</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2023年，六里桥街道在区委、区政府的正确领导下，在区司法局的指导下，坚持以党的二十大精神为统领，以习近平法治思想为指引，紧密联系首都城市战略定位，深入贯彻落实市委全面依法治市、区委全</w:t>
      </w:r>
      <w:bookmarkStart w:id="0" w:name="_GoBack"/>
      <w:bookmarkEnd w:id="0"/>
      <w:r>
        <w:rPr>
          <w:rFonts w:hint="eastAsia" w:ascii="仿宋_GB2312" w:hAnsi="仿宋_GB2312" w:eastAsia="仿宋_GB2312" w:cs="仿宋_GB2312"/>
          <w:sz w:val="32"/>
          <w:szCs w:val="32"/>
        </w:rPr>
        <w:t>面依法治区各项决策部署，认真落实主体责任，扎实推进法治建设各项工作，坚持把制度建设贯穿始终，确保街道坚定不移推进法治政府持续稳步发展。</w:t>
      </w:r>
      <w:r>
        <w:rPr>
          <w:rFonts w:hint="eastAsia" w:ascii="仿宋_GB2312" w:hAnsi="仿宋_GB2312" w:eastAsia="仿宋_GB2312" w:cs="仿宋_GB2312"/>
          <w:color w:val="000000"/>
          <w:sz w:val="32"/>
          <w:szCs w:val="32"/>
        </w:rPr>
        <w:t>现将工作情况报告如下：</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一、2023年法治政府建设主要举措和成效</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w:t>
      </w:r>
      <w:r>
        <w:rPr>
          <w:rFonts w:hint="eastAsia" w:ascii="仿宋_GB2312" w:hAnsi="仿宋_GB2312" w:eastAsia="仿宋_GB2312" w:cs="仿宋_GB2312"/>
          <w:b/>
          <w:bCs/>
          <w:sz w:val="32"/>
          <w:szCs w:val="32"/>
        </w:rPr>
        <w:t>全面学习贯彻党的二十大精神和习近平法治思想</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lang w:eastAsia="zh-CN"/>
        </w:rPr>
        <w:t>深入学习贯彻习近平新时代中国特色社会主义思想</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sz w:val="32"/>
          <w:szCs w:val="32"/>
        </w:rPr>
        <w:t>建立理论中心组学习习近平法治思想常态化机制。将《习近平法治思想学习纲要》纳入学习计划，全年安排法治学习20余次。在今年7月份街道党校分校开展年度基层党组织书记及党务工作者培训班上，李岩书记就深入学习贯彻习近平新时代中国特色社会主义思想和党的二十大精神做了重要的讲话。</w:t>
      </w:r>
      <w:r>
        <w:rPr>
          <w:rFonts w:hint="eastAsia" w:ascii="仿宋_GB2312" w:hAnsi="仿宋_GB2312" w:eastAsia="仿宋_GB2312" w:cs="仿宋_GB2312"/>
          <w:color w:val="000000"/>
          <w:sz w:val="32"/>
          <w:szCs w:val="32"/>
        </w:rPr>
        <w:t>制订本街道法治政府建设年度工作要点，积极通过党支部学习日、党员活动日、党风廉政建设活动、组织生活会等党组织活动，深入开展学习习近平关于全面依法治国的重要论述，宪法、民法典、党章党规学习等活动，举办法治专题讲座进行法律、法规、政策学习培训。坚持干部职工学法制度，把习近平法治思想纳入机关、社区会前学法学习内容，作为机关、社区干部法治专题培训的必修课程。街道领导带头参加习近平法治思想学习，今年以来，</w:t>
      </w:r>
      <w:r>
        <w:rPr>
          <w:rFonts w:hint="eastAsia" w:ascii="仿宋_GB2312" w:hAnsi="仿宋_GB2312" w:eastAsia="仿宋_GB2312" w:cs="仿宋_GB2312"/>
          <w:sz w:val="32"/>
          <w:szCs w:val="32"/>
        </w:rPr>
        <w:t>多次</w:t>
      </w:r>
      <w:r>
        <w:rPr>
          <w:rFonts w:hint="eastAsia" w:ascii="仿宋_GB2312" w:hAnsi="仿宋_GB2312" w:eastAsia="仿宋_GB2312" w:cs="仿宋_GB2312"/>
          <w:color w:val="000000"/>
          <w:sz w:val="32"/>
          <w:szCs w:val="32"/>
        </w:rPr>
        <w:t>在干部职工会、党政班子会上传达学习习近平法治思想，带头落实党委理论学习中心组学习，把学习贯彻落实习近平法治思想同学习贯彻党的二十大精神、贯彻落实市第十三次党代会、市委十三届二次、三次全会部署要求和区委十三届五次全会精神结合起来，组织机关全体干部职工，围绕习近平总书记“十一个坚持”开展法治政府建设学习，真正把习近平法治思想作为党组理论学习中心组、党支部学习重点内容，持续提升党员和干部职工学法懂法守法用法水平。</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2、坚持以习近平法治思想为指导，全面提升依法行政工作质效。</w:t>
      </w:r>
      <w:r>
        <w:rPr>
          <w:rFonts w:hint="eastAsia" w:ascii="仿宋_GB2312" w:hAnsi="仿宋_GB2312" w:eastAsia="仿宋_GB2312" w:cs="仿宋_GB2312"/>
          <w:color w:val="000000"/>
          <w:sz w:val="32"/>
          <w:szCs w:val="32"/>
        </w:rPr>
        <w:t>针对依法行政实践中薄弱环节和问题短板，坚持以习近平法治思想为指导，研究提出有价值、可操作的政策措施。坚持抓住领导干部这个“关键少数”,把法治素养和依法履职情况纳入考核评价领导干部的重要内容，相关考核结果作为对领导干部综合考核评价的重要参考。坚持用法治给行政权力定规矩、划界限，规范行政决策程序。深入推进政府职能转变，持续发力打造市场化、法治化营商环境。</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（二）持续推进政府职能转变，加强法治政府建设</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kern w:val="0"/>
          <w:sz w:val="32"/>
          <w:szCs w:val="32"/>
        </w:rPr>
        <w:t>积极探索公共法律服务方式方法，努力助推法治政府建设。</w:t>
      </w:r>
      <w:r>
        <w:rPr>
          <w:rFonts w:hint="eastAsia" w:ascii="仿宋_GB2312" w:hAnsi="仿宋_GB2312" w:eastAsia="仿宋_GB2312" w:cs="仿宋_GB2312"/>
          <w:color w:val="000000"/>
          <w:kern w:val="0"/>
          <w:sz w:val="32"/>
          <w:szCs w:val="32"/>
        </w:rPr>
        <w:t>今年5月15日，成立国润商务大厦楼宇党群服务中心法律服务工作站，构建集中性法律服务平台、经常性教育平台、辐射性法治宣传平台等三大平台，理顺法律服务工作职能，建立健全日常法律服务分层按级管理机制，全年工作日时间安排1-2名专职律师负责对各“两新”党组织转交的企业或员工的法律咨询提供免费解答服务；对符合法律援助条件的员工引导其申请法律援助；对企业涉诉项目减收法律服务费用。同时，制定《关于建立六里桥街道商务楼宇法律服务工作站实施方案》，开设以常鸿律师事务所党支部为主体的“常鸿法律大讲堂”，深化“线上”+“线下”公益法律咨询。</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2、持续优化营商环境。</w:t>
      </w:r>
      <w:r>
        <w:rPr>
          <w:rFonts w:hint="eastAsia" w:ascii="仿宋_GB2312" w:hAnsi="仿宋_GB2312" w:eastAsia="仿宋_GB2312" w:cs="仿宋_GB2312"/>
          <w:sz w:val="32"/>
          <w:szCs w:val="32"/>
        </w:rPr>
        <w:t>建立“服务包”企业对口联系工作群，实现辖区“服务包”企业走访全覆盖。今年4月26日第23个世界知识产权日我街道市场监管所，落实普法责任制清单职责，联系辖区企业，在丽泽天地开展以“加强知识产权法治保障 有力支持全面创新”为主题的知识产权宣传活动，借助“普法进企业”方式，深入万丰路万开企业孵化中心、丰开望园科技孵化中心等地开展宣传，帮助企业了解知识产权相关政策，解答企业相关问题，指导企业完善知识产权制度建设。本次活动共发放各类普法宣传资料800余份，接待法律咨询50余人。积极宣传优化营商环境各项政策，开展“专科会诊”“专家问诊”活动，解决企业疑难问题。</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3、提高基层治理效能。</w:t>
      </w:r>
      <w:r>
        <w:rPr>
          <w:rFonts w:hint="eastAsia" w:ascii="仿宋_GB2312" w:hAnsi="仿宋_GB2312" w:eastAsia="仿宋_GB2312" w:cs="仿宋_GB2312"/>
          <w:color w:val="000000"/>
          <w:sz w:val="32"/>
          <w:szCs w:val="32"/>
        </w:rPr>
        <w:t xml:space="preserve">积极践行探索首都法治社会建设，紧紧围绕解决影响社区、村和谐稳定的源头性、根本性、基础性问题，紧紧围绕群众诉求，着力破解治理难点，集中力量解决高频共性诉求，不断提高“接诉即办”三率水平， </w:t>
      </w:r>
      <w:r>
        <w:rPr>
          <w:rFonts w:hint="eastAsia" w:ascii="仿宋_GB2312" w:hAnsi="仿宋_GB2312" w:eastAsia="仿宋_GB2312" w:cs="仿宋_GB2312"/>
          <w:sz w:val="32"/>
          <w:szCs w:val="32"/>
        </w:rPr>
        <w:t>共组织召开调度会40余次，利用“吹哨报到”机制累计吹哨20余次，诉求解决率和居民满意率不断提高。</w:t>
      </w:r>
      <w:r>
        <w:rPr>
          <w:rFonts w:hint="eastAsia" w:ascii="仿宋_GB2312" w:hAnsi="仿宋_GB2312" w:eastAsia="仿宋_GB2312" w:cs="仿宋_GB2312"/>
          <w:color w:val="000000"/>
          <w:sz w:val="32"/>
          <w:szCs w:val="32"/>
        </w:rPr>
        <w:t>最大限度地实现矛盾纠纷“发现得早、控制得住、化解得了、处理得好”，确保做到“小事不出社区、村，大事不出街道、矛盾不上交”，筑牢维护社会和谐稳定的坚固防线。</w:t>
      </w:r>
      <w:r>
        <w:rPr>
          <w:rFonts w:hint="eastAsia" w:ascii="仿宋_GB2312" w:hAnsi="仿宋_GB2312" w:eastAsia="仿宋_GB2312" w:cs="仿宋_GB2312"/>
          <w:sz w:val="32"/>
          <w:szCs w:val="32"/>
        </w:rPr>
        <w:t xml:space="preserve">  </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（三）加快提升科学民主、依法决策水平</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1、落实重大行政决策程序。</w:t>
      </w:r>
      <w:r>
        <w:rPr>
          <w:rFonts w:hint="eastAsia" w:ascii="仿宋_GB2312" w:hAnsi="仿宋_GB2312" w:eastAsia="仿宋_GB2312" w:cs="仿宋_GB2312"/>
          <w:color w:val="000000"/>
          <w:sz w:val="32"/>
          <w:szCs w:val="32"/>
        </w:rPr>
        <w:t xml:space="preserve">严格落实《重大行政决策程序暂行条例》，健全完善规范性文件合法性审核机制，加强工作统筹指导，推行风险管理制度，加大规范性文件备案监督力度。切实发挥法律顾问在重大决策、规范性文件合法合规性审查等工作中重要作用。始终贯彻全面从严治党总体要求，认真落实党中央、市委、区委关于维护党中央集中统一领导、加强党的政治建设有关制度规定。认真落实民主集中制，修订完善《“三重一大”制度》《四议一审两公开制度》，履行依法行政、政务公开和督察督办程序。严格落实安全生产责任制，每季度召开主任办公会研究安全生产工作，分析研判辖区安全生产形势，部署下一季度安全生产重点工作。 </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kern w:val="0"/>
          <w:sz w:val="32"/>
          <w:szCs w:val="32"/>
        </w:rPr>
        <w:t>严格规范性文件合法性审核和备案。</w:t>
      </w:r>
      <w:r>
        <w:rPr>
          <w:rFonts w:hint="eastAsia" w:ascii="仿宋_GB2312" w:hAnsi="仿宋_GB2312" w:eastAsia="仿宋_GB2312" w:cs="仿宋_GB2312"/>
          <w:color w:val="000000"/>
          <w:kern w:val="0"/>
          <w:sz w:val="32"/>
          <w:szCs w:val="32"/>
        </w:rPr>
        <w:t>切实履行本地区本部门行政规范性文件合法性审核工作第一责任人工作，定期清理规范性文件并及时报备，对本单位的行政规范性文件实行动态化、精细化管理。聘请专业律师就行政执法日常涉法文件进行合法性审核，做好事前监督，严防出现“越权文件”“违法文件”；邀请律师参与典型性行政执法案件讨论，就行政执法风险防控做出预判，做好过程监督；行政诉讼、行政复议案件中，执法队指派专人与代理律师建立“一对一”联系，做好事后监督工作。今年街道作为被告的行政诉讼案件2件，按时提交答复、答辩、证据材料，并聘请法律顾问积极参与应诉。目前被审判机关审结的案件，无败诉结果，无不履行情况发生。持续加强行政与司法的良性互动，截至目前，共收到检察建议书4份，针对检察建议，细化落实举措，取得积极成效。</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sz w:val="32"/>
          <w:szCs w:val="32"/>
        </w:rPr>
        <w:t>（四）</w:t>
      </w:r>
      <w:r>
        <w:rPr>
          <w:rFonts w:hint="eastAsia" w:ascii="仿宋_GB2312" w:hAnsi="仿宋_GB2312" w:eastAsia="仿宋_GB2312" w:cs="仿宋_GB2312"/>
          <w:b/>
          <w:bCs/>
          <w:color w:val="000000" w:themeColor="text1"/>
          <w:sz w:val="32"/>
          <w:szCs w:val="32"/>
        </w:rPr>
        <w:t>推进行政执法规范和效能</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1、持续治理占道经营、“开墙打洞”等行为。</w:t>
      </w:r>
      <w:r>
        <w:rPr>
          <w:rFonts w:hint="eastAsia" w:ascii="仿宋_GB2312" w:hAnsi="仿宋_GB2312" w:eastAsia="仿宋_GB2312" w:cs="仿宋_GB2312"/>
          <w:color w:val="000000"/>
          <w:kern w:val="0"/>
          <w:sz w:val="32"/>
          <w:szCs w:val="32"/>
        </w:rPr>
        <w:t>开展联合执法，查处并规范店外经营、乱堆物料等违规经营行为，查处并取缔无照经营。开展“疏解整治促提升”专项行动，摸排整治群租房。</w:t>
      </w:r>
      <w:r>
        <w:rPr>
          <w:rFonts w:hint="eastAsia" w:ascii="仿宋_GB2312" w:hAnsi="仿宋_GB2312" w:eastAsia="仿宋_GB2312" w:cs="仿宋_GB2312"/>
          <w:kern w:val="0"/>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2、坚决打好蓝天、碧水、净土三大保卫战。</w:t>
      </w:r>
      <w:r>
        <w:rPr>
          <w:rFonts w:hint="eastAsia" w:ascii="仿宋_GB2312" w:hAnsi="仿宋_GB2312" w:eastAsia="仿宋_GB2312" w:cs="仿宋_GB2312"/>
          <w:color w:val="000000"/>
          <w:kern w:val="0"/>
          <w:sz w:val="32"/>
          <w:szCs w:val="32"/>
        </w:rPr>
        <w:t>严格落实“街巷长”“河长制”“林长制”。招募“小巷管家”、垃圾分类桶站值守与背街小巷环境卫生志愿者，进行城市志愿者服务工作；修剪辖区无物业管理小区树木、道路未移交的无主树木。</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3、统筹部署创城、创卫、创无、创森、创无疫社区等七创工作。</w:t>
      </w:r>
      <w:r>
        <w:rPr>
          <w:rFonts w:hint="eastAsia" w:ascii="仿宋_GB2312" w:hAnsi="仿宋_GB2312" w:eastAsia="仿宋_GB2312" w:cs="仿宋_GB2312"/>
          <w:color w:val="000000"/>
          <w:kern w:val="0"/>
          <w:sz w:val="32"/>
          <w:szCs w:val="32"/>
        </w:rPr>
        <w:t>对辖区小区（包含平房区）拉网式排查。建立爱国卫生组织机构，组织辖区机关企事业单位、餐饮单位开展“光盘行动”“公筷行动”等群众实践活动。</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b/>
          <w:bCs/>
          <w:color w:val="000000"/>
          <w:kern w:val="0"/>
          <w:sz w:val="32"/>
          <w:szCs w:val="32"/>
        </w:rPr>
        <w:t>4、持续加强违规电动三四轮车综合治理工作。</w:t>
      </w:r>
      <w:r>
        <w:rPr>
          <w:rFonts w:hint="eastAsia" w:ascii="仿宋_GB2312" w:hAnsi="仿宋_GB2312" w:eastAsia="仿宋_GB2312" w:cs="仿宋_GB2312"/>
          <w:color w:val="000000"/>
          <w:kern w:val="0"/>
          <w:sz w:val="32"/>
          <w:szCs w:val="32"/>
        </w:rPr>
        <w:t xml:space="preserve">各职能部门协同发力，齐抓共管，牢固树立“一盘棋”思想。通过各类宣传、执法行动，对辖区内违规电动三四轮车进行全面整顿，将不符合规定的电动车统一清退到固定场所封存，进一步巩固治理成果，累计开展宣传活动13场、张贴海报377张、发放宣传品1500余份。 </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5、贯彻落实行政执法三项制度，提高行政效能。</w:t>
      </w:r>
      <w:r>
        <w:rPr>
          <w:rFonts w:hint="eastAsia" w:ascii="仿宋_GB2312" w:hAnsi="仿宋_GB2312" w:eastAsia="仿宋_GB2312" w:cs="仿宋_GB2312"/>
          <w:color w:val="000000"/>
          <w:kern w:val="0"/>
          <w:sz w:val="32"/>
          <w:szCs w:val="32"/>
        </w:rPr>
        <w:t>组织学习、贯彻落实北京市人民政府办公厅关于印发《北京市行政执法公示办法》《北京市行政执法全过程记录办法》《北京市重大行政执法决定法制审核办法》的通知（京政办发[2021]17号）等相关文件,</w:t>
      </w:r>
      <w:r>
        <w:rPr>
          <w:rFonts w:hint="eastAsia" w:ascii="仿宋_GB2312" w:hAnsi="仿宋_GB2312" w:eastAsia="仿宋_GB2312" w:cs="仿宋_GB2312"/>
          <w:sz w:val="32"/>
          <w:szCs w:val="32"/>
        </w:rPr>
        <w:t>今年3月份，制定了《六里桥街道行政执法公示工作制度》等制度,</w:t>
      </w:r>
      <w:r>
        <w:rPr>
          <w:rFonts w:hint="eastAsia" w:ascii="仿宋_GB2312" w:hAnsi="仿宋_GB2312" w:eastAsia="仿宋_GB2312" w:cs="仿宋_GB2312"/>
          <w:color w:val="000000"/>
          <w:kern w:val="0"/>
          <w:sz w:val="32"/>
          <w:szCs w:val="32"/>
        </w:rPr>
        <w:t>着力推进行政执法透明、规范、合法、公正。街道执法人员全部持证执法，出具相应的执法文书，告知行政相对人执法事由、执法依据等依法应当告知的事项；通过行政执法公示等相关平台，将执法信息按照国家和本市的有关规定公开。</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（五）健全矛盾纠纷行政预防化解体系</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1、发挥人民调解职能作用，加强矛盾纠纷排查化解。</w:t>
      </w:r>
      <w:r>
        <w:rPr>
          <w:rFonts w:hint="eastAsia" w:ascii="仿宋_GB2312" w:hAnsi="仿宋_GB2312" w:eastAsia="仿宋_GB2312" w:cs="仿宋_GB2312"/>
          <w:kern w:val="2"/>
          <w:sz w:val="32"/>
          <w:szCs w:val="32"/>
        </w:rPr>
        <w:t>以“保障农民工合法权益公共法律服务专项维权”，“维护残疾人合法权益公共法律服务专项维权”，“进一步推进基层坚持和发展新时代“枫桥经验”，筑牢人民调解‘第一道防线’，做好人民调解矛盾纠纷排查化解工作”等活动为契机，着力提升人民调解工作质效。在重大节假日，重大活动期间，聚焦重点地区、重点人群和矛盾纠纷集中领域，特别是涉婚姻家庭、邻里、房屋、宅基地、医患等常见纠纷，坚持抓早抓小、应调尽调、法理情相结合等方式方法，依法及时就地予以化解，切实把风险隐患解决在基层，化解在萌芽状态。今年以来共开展矛盾纠纷排查49次，发现矛盾纠纷17次，预防纠纷62次，取得了矛盾纠纷及时化解不激化、高效化解不反复、就地化解不上行的成效。严格落实领导干部定期接访制度，进一步畅通信访反映渠道，深入开展矛盾纠纷排查化解。</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2、积极落实“一社区一法律顾问”工作。</w:t>
      </w:r>
      <w:r>
        <w:rPr>
          <w:rFonts w:hint="eastAsia" w:ascii="仿宋_GB2312" w:hAnsi="仿宋_GB2312" w:eastAsia="仿宋_GB2312" w:cs="仿宋_GB2312"/>
          <w:kern w:val="2"/>
          <w:sz w:val="32"/>
          <w:szCs w:val="32"/>
        </w:rPr>
        <w:t>16个社区、3个村实现村居法律顾问全覆盖。目前，社区法律顾问年均为社区提供各类服务500余次，包括法律咨询、人民调解、法治宣传等各类法律服务。据不完全统计，今年社区法律顾问参与矛盾纠纷调解32起，开展服务律师对调解员培训活动25次，个别指导420人次，人民调解员专业能力显著提升；充分利用公共法律服务，安排专业律师开展法律法规宣讲25次，每周二由值班律师现场提供法律咨询及调解服务，总计服务时长达1986小时。为解决群众纠纷、调解矛盾，提供更专业的法律服务，切实将矛盾化解在萌芽阶段。</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二、2023年法治政府建设存在的问题与不足</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虽然街道在法治建设中取得了一定的成绩，但仍有以下几方面的工作亟待加强：</w:t>
      </w:r>
      <w:r>
        <w:rPr>
          <w:rFonts w:hint="eastAsia" w:ascii="仿宋_GB2312" w:hAnsi="仿宋_GB2312" w:eastAsia="仿宋_GB2312" w:cs="仿宋_GB2312"/>
          <w:b/>
          <w:bCs/>
          <w:sz w:val="32"/>
          <w:szCs w:val="32"/>
        </w:rPr>
        <w:t>一是基层法治建设工作力量薄弱。</w:t>
      </w:r>
      <w:r>
        <w:rPr>
          <w:rFonts w:hint="eastAsia" w:ascii="仿宋_GB2312" w:hAnsi="仿宋_GB2312" w:eastAsia="仿宋_GB2312" w:cs="仿宋_GB2312"/>
          <w:sz w:val="32"/>
          <w:szCs w:val="32"/>
        </w:rPr>
        <w:t>街道及社区工作人员大多需兼顾其他工作，在日常工作中存在顾此失彼的问题；</w:t>
      </w:r>
      <w:r>
        <w:rPr>
          <w:rFonts w:hint="eastAsia" w:ascii="仿宋_GB2312" w:hAnsi="仿宋_GB2312" w:eastAsia="仿宋_GB2312" w:cs="仿宋_GB2312"/>
          <w:b/>
          <w:bCs/>
          <w:sz w:val="32"/>
          <w:szCs w:val="32"/>
        </w:rPr>
        <w:t>二是法治宣传阵地建设存在薄弱环节，创新力度不够，普法教育形式较为单一。</w:t>
      </w:r>
      <w:r>
        <w:rPr>
          <w:rFonts w:hint="eastAsia" w:ascii="仿宋_GB2312" w:hAnsi="仿宋_GB2312" w:eastAsia="仿宋_GB2312" w:cs="仿宋_GB2312"/>
          <w:sz w:val="32"/>
          <w:szCs w:val="32"/>
        </w:rPr>
        <w:t>随着新媒体时代的到来，公众了解法律的途径越来越多元化，运用新媒体手段开展宣传工作有待加强；</w:t>
      </w:r>
      <w:r>
        <w:rPr>
          <w:rFonts w:hint="eastAsia" w:ascii="仿宋_GB2312" w:hAnsi="仿宋_GB2312" w:eastAsia="仿宋_GB2312" w:cs="仿宋_GB2312"/>
          <w:b/>
          <w:bCs/>
          <w:sz w:val="32"/>
          <w:szCs w:val="32"/>
        </w:rPr>
        <w:t>三是专业人员素质有待提高。</w:t>
      </w:r>
      <w:r>
        <w:rPr>
          <w:rFonts w:hint="eastAsia" w:ascii="仿宋_GB2312" w:hAnsi="仿宋_GB2312" w:eastAsia="仿宋_GB2312" w:cs="仿宋_GB2312"/>
          <w:sz w:val="32"/>
          <w:szCs w:val="32"/>
        </w:rPr>
        <w:t>行政执法职权下放乡镇街道，物业管理、垃圾分类、民法典等诸多法律法规相继颁布实施，面对新形势、新要求，行政执法、执法监督人员的业务素质有待进一步提高；</w:t>
      </w:r>
      <w:r>
        <w:rPr>
          <w:rFonts w:hint="eastAsia" w:ascii="仿宋_GB2312" w:hAnsi="仿宋_GB2312" w:eastAsia="仿宋_GB2312" w:cs="仿宋_GB2312"/>
          <w:b/>
          <w:bCs/>
          <w:sz w:val="32"/>
          <w:szCs w:val="32"/>
        </w:rPr>
        <w:t>四是司法所法制审核力量不够。</w:t>
      </w:r>
      <w:r>
        <w:rPr>
          <w:rFonts w:hint="eastAsia" w:ascii="仿宋_GB2312" w:hAnsi="仿宋_GB2312" w:eastAsia="仿宋_GB2312" w:cs="仿宋_GB2312"/>
          <w:sz w:val="32"/>
          <w:szCs w:val="32"/>
        </w:rPr>
        <w:t>年度执法案卷较多，仅有1名司法所工作人员通过司法考试。执法监督考核多，解决问题少，导致街道执法监督处于低效率运转状态。</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三、2023年党政主要负责人履行推进法治政府建设第一责任人职责情况</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在区委区政府的坚强领导下，在机关干部和社区村干部的大力支持下，我街道党政主要负责人坚持以习近平新时代中国特色社会主义思想为引领，全面贯彻执行市委、区委各项决策部署，团结带领街道全体干部增强“四个意识”、坚定“四个自信”、做到“两个维护”，切实履行街道党工委书记职责，较圆满地完成了年度工作任务。履职情况如下：</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（一）2023年履行职责情况</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 xml:space="preserve">一年来，街道党政主要负责人自觉坚定理想信念，弘扬伟大建党精神，锤炼政治品德、思想品德和职业道德。深入研读习近平新时代中国特色社会主义思想，学习贯彻党的二十大精神，学习习近平法治思想，用党的最新理论武装头脑、指导实践、推动工作，努力践行全面依法治国理论，深刻领会习近平总书记对北京的系列重要讲话和指示批示精神，立足丰台实际，适应新时代、对标新要求、掌握新方法。 </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1、持续狠抓四个建设，主体责任逐级深化。一是抓好政治建设。</w:t>
      </w:r>
      <w:r>
        <w:rPr>
          <w:rFonts w:hint="eastAsia" w:ascii="仿宋_GB2312" w:hAnsi="仿宋_GB2312" w:eastAsia="仿宋_GB2312" w:cs="仿宋_GB2312"/>
          <w:sz w:val="32"/>
          <w:szCs w:val="32"/>
        </w:rPr>
        <w:t>始终贯彻全面从严治党总体要求，认真落实第一责任，始终把政治建设摆在首位，</w:t>
      </w:r>
      <w:r>
        <w:rPr>
          <w:rFonts w:hint="eastAsia" w:ascii="仿宋_GB2312" w:hAnsi="仿宋_GB2312" w:eastAsia="仿宋_GB2312" w:cs="仿宋_GB2312"/>
          <w:color w:val="000000"/>
          <w:sz w:val="32"/>
          <w:szCs w:val="32"/>
        </w:rPr>
        <w:t>坚决落实街道工委和班子成员全面从严治党责任清单，明确责任分工。</w:t>
      </w:r>
      <w:r>
        <w:rPr>
          <w:rFonts w:hint="eastAsia" w:ascii="仿宋_GB2312" w:hAnsi="仿宋_GB2312" w:eastAsia="仿宋_GB2312" w:cs="仿宋_GB2312"/>
          <w:sz w:val="32"/>
          <w:szCs w:val="32"/>
        </w:rPr>
        <w:t>党建述职工作持续延伸、</w:t>
      </w:r>
      <w:r>
        <w:rPr>
          <w:rFonts w:hint="eastAsia" w:ascii="仿宋_GB2312" w:hAnsi="仿宋_GB2312" w:eastAsia="仿宋_GB2312" w:cs="仿宋_GB2312"/>
          <w:color w:val="000000"/>
          <w:sz w:val="32"/>
          <w:szCs w:val="32"/>
        </w:rPr>
        <w:t>主持集中学习12次，制定并落实党建重点任务清单</w:t>
      </w:r>
      <w:r>
        <w:rPr>
          <w:rFonts w:hint="eastAsia" w:ascii="仿宋_GB2312" w:hAnsi="仿宋_GB2312" w:eastAsia="仿宋_GB2312" w:cs="仿宋_GB2312"/>
          <w:sz w:val="32"/>
          <w:szCs w:val="32"/>
        </w:rPr>
        <w:t>57</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b/>
          <w:bCs/>
          <w:color w:val="000000"/>
          <w:sz w:val="32"/>
          <w:szCs w:val="32"/>
        </w:rPr>
        <w:t>。二是抓牢思想建设。</w:t>
      </w:r>
      <w:r>
        <w:rPr>
          <w:rFonts w:hint="eastAsia" w:ascii="仿宋_GB2312" w:hAnsi="仿宋_GB2312" w:eastAsia="仿宋_GB2312" w:cs="仿宋_GB2312"/>
          <w:color w:val="000000"/>
          <w:sz w:val="32"/>
          <w:szCs w:val="32"/>
        </w:rPr>
        <w:t>深入推进法治宣传教育，以学习宣传习近平总书记全面依法治国新理念新思想新战略为契机，广泛开展法治宣传活动。坚持依法治国和以德治国相结合，推动社会主义核心价值观融入法治建设。大力弘扬社会主义法治精神，推动全社会形成浓厚法治氛围。</w:t>
      </w:r>
      <w:r>
        <w:rPr>
          <w:rFonts w:hint="eastAsia" w:ascii="仿宋_GB2312" w:hAnsi="仿宋_GB2312" w:eastAsia="仿宋_GB2312" w:cs="仿宋_GB2312"/>
          <w:sz w:val="32"/>
          <w:szCs w:val="32"/>
        </w:rPr>
        <w:t>组织辖区居民、企事业单位集中开展“3.15消费普法”、“国家安全教育日”、“敬老月公共法律服务维权”等普法宣传活动。</w:t>
      </w:r>
      <w:r>
        <w:rPr>
          <w:rFonts w:hint="eastAsia" w:ascii="仿宋_GB2312" w:hAnsi="仿宋_GB2312" w:eastAsia="仿宋_GB2312" w:cs="仿宋_GB2312"/>
          <w:color w:val="000000"/>
          <w:sz w:val="32"/>
          <w:szCs w:val="32"/>
        </w:rPr>
        <w:t>强化理论武装，</w:t>
      </w:r>
      <w:r>
        <w:rPr>
          <w:rFonts w:hint="eastAsia" w:ascii="仿宋_GB2312" w:hAnsi="仿宋_GB2312" w:eastAsia="仿宋_GB2312" w:cs="仿宋_GB2312"/>
          <w:sz w:val="32"/>
          <w:szCs w:val="32"/>
        </w:rPr>
        <w:t>理论中心组学习和“三会一课”制度有效落实。</w:t>
      </w:r>
      <w:r>
        <w:rPr>
          <w:rFonts w:hint="eastAsia" w:ascii="仿宋_GB2312" w:hAnsi="仿宋_GB2312" w:eastAsia="仿宋_GB2312" w:cs="仿宋_GB2312"/>
          <w:color w:val="000000"/>
          <w:sz w:val="32"/>
          <w:szCs w:val="32"/>
        </w:rPr>
        <w:t>健全领导班子集体学法、中心组学法、领导干部任前法律知识考试等制度，加强党员领导干部法治教育培训，提升运用法治思维和法治方式推动工作的能力水平。</w:t>
      </w:r>
      <w:r>
        <w:rPr>
          <w:rFonts w:hint="eastAsia" w:ascii="仿宋_GB2312" w:hAnsi="仿宋_GB2312" w:eastAsia="仿宋_GB2312" w:cs="仿宋_GB2312"/>
          <w:sz w:val="32"/>
          <w:szCs w:val="32"/>
        </w:rPr>
        <w:t>围绕各项中心工作和重点任务，做大做强正面宣传。</w:t>
      </w:r>
      <w:r>
        <w:rPr>
          <w:rFonts w:hint="eastAsia" w:ascii="仿宋_GB2312" w:hAnsi="仿宋_GB2312" w:eastAsia="仿宋_GB2312" w:cs="仿宋_GB2312"/>
          <w:b/>
          <w:bCs/>
          <w:sz w:val="32"/>
          <w:szCs w:val="32"/>
        </w:rPr>
        <w:t>三是抓实组织建设。</w:t>
      </w:r>
      <w:r>
        <w:rPr>
          <w:rFonts w:hint="eastAsia" w:ascii="仿宋_GB2312" w:hAnsi="仿宋_GB2312" w:eastAsia="仿宋_GB2312" w:cs="仿宋_GB2312"/>
          <w:sz w:val="32"/>
          <w:szCs w:val="32"/>
        </w:rPr>
        <w:t>进一步夯实基层党建工作，持续推进党支部标准化规范化建设。推动基层党组织开展为民办实事项目42项。坚持党管干部原则，对照人民期盼和发展大局，注重在防汛抗洪等急难险重一线锤炼干部。依托街道党校、新时代基层干部主题课堂、社区书记工作室，累计培训机关社区干1286人次。</w:t>
      </w:r>
      <w:r>
        <w:rPr>
          <w:rFonts w:hint="eastAsia" w:ascii="仿宋_GB2312" w:hAnsi="仿宋_GB2312" w:eastAsia="仿宋_GB2312" w:cs="仿宋_GB2312"/>
          <w:color w:val="000000"/>
          <w:sz w:val="32"/>
          <w:szCs w:val="32"/>
        </w:rPr>
        <w:t>党工委将各部门、各社区主要负责人履行推进法治建设第一责任人职责情况纳入政绩考核指标体系，作为考察使用干部、推进干部能上能下的重要依据。</w:t>
      </w:r>
      <w:r>
        <w:rPr>
          <w:rFonts w:hint="eastAsia" w:ascii="仿宋_GB2312" w:hAnsi="仿宋_GB2312" w:eastAsia="仿宋_GB2312" w:cs="仿宋_GB2312"/>
          <w:b/>
          <w:bCs/>
          <w:sz w:val="32"/>
          <w:szCs w:val="32"/>
        </w:rPr>
        <w:t>四是抓细党风廉政建设。</w:t>
      </w:r>
      <w:r>
        <w:rPr>
          <w:rFonts w:hint="eastAsia" w:ascii="仿宋_GB2312" w:hAnsi="仿宋_GB2312" w:eastAsia="仿宋_GB2312" w:cs="仿宋_GB2312"/>
          <w:color w:val="000000" w:themeColor="text1"/>
          <w:sz w:val="32"/>
          <w:szCs w:val="32"/>
        </w:rPr>
        <w:t>严格监督执纪，针对重点工作开展专项督查46次，督促整改问题228个。坚持每季度组织召开党风廉政建设专题分析会，开展廉政教育4次、提醒谈话及预防性谈话23人次，提高廉政防控水平，筑牢拒腐防变思想防线。</w:t>
      </w:r>
      <w:r>
        <w:rPr>
          <w:rFonts w:hint="eastAsia" w:ascii="仿宋_GB2312" w:hAnsi="仿宋_GB2312" w:eastAsia="仿宋_GB2312" w:cs="仿宋_GB2312"/>
          <w:color w:val="000000"/>
          <w:sz w:val="32"/>
          <w:szCs w:val="32"/>
        </w:rPr>
        <w:t>落实法治建设重大事项向党工委报告制度，督促领导班子其他成员依法办事，不得违规干预司法活动、插手具体案件处理。党政主要负责人不履行或者不正确履行推进法治建设第一责任人职责的，应当依照《中国共产党问责条例》等有关党内法规和国家法律法规，及市、区有关规定予以问责。</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2、高站位突出党建引领，持续深化改革创新。</w:t>
      </w:r>
      <w:r>
        <w:rPr>
          <w:rFonts w:hint="eastAsia" w:ascii="仿宋_GB2312" w:hAnsi="仿宋_GB2312" w:eastAsia="仿宋_GB2312" w:cs="仿宋_GB2312"/>
          <w:sz w:val="32"/>
          <w:szCs w:val="32"/>
        </w:rPr>
        <w:t>充分发挥党员先锋模范作用和基层党组织战斗堡垒作用，引领多元主体积极参与基层社会治理，打造共建共治共享新格局。</w:t>
      </w:r>
      <w:r>
        <w:rPr>
          <w:rFonts w:hint="eastAsia" w:ascii="仿宋_GB2312" w:hAnsi="仿宋_GB2312" w:eastAsia="仿宋_GB2312" w:cs="仿宋_GB2312"/>
          <w:b/>
          <w:bCs/>
          <w:sz w:val="32"/>
          <w:szCs w:val="32"/>
        </w:rPr>
        <w:t>一是区域化党建作用发挥显著。</w:t>
      </w:r>
      <w:r>
        <w:rPr>
          <w:rFonts w:hint="eastAsia" w:ascii="仿宋_GB2312" w:hAnsi="仿宋_GB2312" w:eastAsia="仿宋_GB2312" w:cs="仿宋_GB2312"/>
          <w:color w:val="000000"/>
          <w:kern w:val="0"/>
          <w:sz w:val="32"/>
          <w:szCs w:val="32"/>
        </w:rPr>
        <w:t>成立国润商务大厦楼宇党群服务中心法律服务工作站，构建集中性法律服务平台、经常性教育平台、辐射性法治宣传平台等三大平台，开设以常鸿律师事务所党支部为主体的“常鸿法律大讲堂”，深化“线上”+“线下”公益法律咨询。</w:t>
      </w:r>
      <w:r>
        <w:rPr>
          <w:rFonts w:hint="eastAsia" w:ascii="仿宋_GB2312" w:hAnsi="仿宋_GB2312" w:eastAsia="仿宋_GB2312" w:cs="仿宋_GB2312"/>
          <w:sz w:val="32"/>
          <w:szCs w:val="32"/>
        </w:rPr>
        <w:t>引导社区以“党建+”探索共同管理新模式，发动社区党委“红色引擎”作用，带动物业公司“双轮驱动”齐抓共管，形成“党建引领物业服务”长效机制，改善社区居住环境，提升居民群众生活的获得感和满意度。</w:t>
      </w:r>
      <w:r>
        <w:rPr>
          <w:rFonts w:hint="eastAsia" w:ascii="仿宋_GB2312" w:hAnsi="仿宋_GB2312" w:eastAsia="仿宋_GB2312" w:cs="仿宋_GB2312"/>
          <w:b/>
          <w:bCs/>
          <w:sz w:val="32"/>
          <w:szCs w:val="32"/>
        </w:rPr>
        <w:t>二是党群服务中心蓬勃助力。</w:t>
      </w:r>
      <w:r>
        <w:rPr>
          <w:rFonts w:hint="eastAsia" w:ascii="仿宋_GB2312" w:hAnsi="仿宋_GB2312" w:eastAsia="仿宋_GB2312" w:cs="仿宋_GB2312"/>
          <w:sz w:val="32"/>
          <w:szCs w:val="32"/>
        </w:rPr>
        <w:t>开办市首家街道“托儿所”—北京市社区儿童中心，提供全天、半天托育，临时托管，周末亲子课、绘本借阅、走进社区活动等服务，共设18个托位。针对新就业群体，党群服务中心强化暖“新”服务，加强对外卖员、快递员群体服务保障，推动其融入基层社会治理。在紧贴基层党员群众实际需求的前提下，不断提升党群服务中心的服务能力。以党组织建设为核心，充分利用纽带作用，整合资源，服务党员群众，实现服务资源与需求“无缝对接”。</w:t>
      </w:r>
      <w:r>
        <w:rPr>
          <w:rFonts w:hint="eastAsia" w:ascii="仿宋_GB2312" w:hAnsi="仿宋_GB2312" w:eastAsia="仿宋_GB2312" w:cs="仿宋_GB2312"/>
          <w:b/>
          <w:bCs/>
          <w:sz w:val="32"/>
          <w:szCs w:val="32"/>
        </w:rPr>
        <w:t>三是将主题教育与改善民生“同频共振”。</w:t>
      </w:r>
      <w:r>
        <w:rPr>
          <w:rFonts w:hint="eastAsia" w:ascii="仿宋_GB2312" w:hAnsi="仿宋_GB2312" w:eastAsia="仿宋_GB2312" w:cs="仿宋_GB2312"/>
          <w:sz w:val="32"/>
          <w:szCs w:val="32"/>
        </w:rPr>
        <w:t>在“议事会”“会客厅”中倾听民意，以“共享花架”“绿色楼门”汇聚民心。融合共建多元力量凸显，“四共五联”机制初步形成，京铁家园“五治融合”、冠京大厦“暖新计划”、企业服务“先丰站”、12个社区“环四环”联盟影响力不断扩大，党建特色品牌成为服务企业居民的闪亮名片。</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3、高质量强化综合治理，稳步提升群众满意度。</w:t>
      </w:r>
      <w:r>
        <w:rPr>
          <w:rFonts w:hint="eastAsia" w:ascii="仿宋_GB2312" w:hAnsi="仿宋_GB2312" w:eastAsia="仿宋_GB2312" w:cs="仿宋_GB2312"/>
          <w:bCs/>
          <w:sz w:val="32"/>
          <w:szCs w:val="32"/>
        </w:rPr>
        <w:t xml:space="preserve">科学运用“枫桥经验”，街道干部1人荣获全国模范人民调解员，八一厂社区获评市级民主法治示范社区，街道获得市级街镇劳动保障监察工作先进单位称号。织密汛期巡查网格，出动力量900余人次，实现安稳度汛。推进城市治理有机更新，怡靛园989平方米城市微公园建成开放。着力改善环境乱点，2-10月生活垃圾分类排名全区第三。顺利通过创建国家卫生区市、区各阶段验收，并完成国家级评估工作。 </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4.回应诉求促治理，民生福祉不断增进。一是在解决群众诉求呼声上下功夫。</w:t>
      </w:r>
      <w:r>
        <w:rPr>
          <w:rFonts w:hint="eastAsia" w:ascii="仿宋_GB2312" w:hAnsi="仿宋_GB2312" w:eastAsia="仿宋_GB2312" w:cs="仿宋_GB2312"/>
          <w:sz w:val="32"/>
          <w:szCs w:val="32"/>
        </w:rPr>
        <w:t>“接诉即办”降量提率成效显著，受理诉求量同比下降39.34%，1-9月区内综合成绩第11名，同比上升7名。聚焦多物业管理老旧小区难题，打造望园西里北区、六里桥北里小区改造样板间，探索以环境设施升级驱动物业服务升级。依托党群服务中心开办全市首家街道“托儿所”，新建5家养老驿站（公寓）拓展助老覆盖面，破解一老一小育养难题。建成“莲怡园—京港澳生活圈”，市商务局验收通过并获评优秀等级。</w:t>
      </w:r>
      <w:r>
        <w:rPr>
          <w:rFonts w:hint="eastAsia" w:ascii="仿宋_GB2312" w:hAnsi="仿宋_GB2312" w:eastAsia="仿宋_GB2312" w:cs="仿宋_GB2312"/>
          <w:b/>
          <w:bCs/>
          <w:sz w:val="32"/>
          <w:szCs w:val="32"/>
        </w:rPr>
        <w:t>二是在优化民生保障水平上下功夫。</w:t>
      </w:r>
      <w:r>
        <w:rPr>
          <w:rFonts w:hint="eastAsia" w:ascii="仿宋_GB2312" w:hAnsi="仿宋_GB2312" w:eastAsia="仿宋_GB2312" w:cs="仿宋_GB2312"/>
          <w:sz w:val="32"/>
          <w:szCs w:val="32"/>
        </w:rPr>
        <w:t>大力落实社会救助政策。</w:t>
      </w:r>
      <w:r>
        <w:rPr>
          <w:rFonts w:hint="eastAsia" w:ascii="仿宋_GB2312" w:hAnsi="仿宋_GB2312" w:eastAsia="仿宋_GB2312" w:cs="仿宋_GB2312"/>
          <w:bCs/>
          <w:sz w:val="32"/>
          <w:szCs w:val="32"/>
        </w:rPr>
        <w:t>用足用好政策资金，截止今年10月累计对低保对象核发低保金232.84万元。</w:t>
      </w:r>
      <w:r>
        <w:rPr>
          <w:rFonts w:hint="eastAsia" w:ascii="仿宋_GB2312" w:hAnsi="仿宋_GB2312" w:eastAsia="仿宋_GB2312" w:cs="仿宋_GB2312"/>
          <w:bCs/>
          <w:color w:val="000000" w:themeColor="text1"/>
          <w:sz w:val="32"/>
          <w:szCs w:val="32"/>
        </w:rPr>
        <w:t>辖区1100人实现灵活就业，城镇登记失业人员指标完成62.85%，全区排名第17，农村劳动力就业参保145人，全区排名第3。</w:t>
      </w:r>
      <w:r>
        <w:rPr>
          <w:rFonts w:hint="eastAsia" w:ascii="仿宋_GB2312" w:hAnsi="仿宋_GB2312" w:eastAsia="仿宋_GB2312" w:cs="仿宋_GB2312"/>
          <w:b/>
          <w:color w:val="000000" w:themeColor="text1"/>
          <w:sz w:val="32"/>
          <w:szCs w:val="32"/>
        </w:rPr>
        <w:t>三是在推动经济快速发展上下功夫。</w:t>
      </w:r>
      <w:r>
        <w:rPr>
          <w:rFonts w:hint="eastAsia" w:ascii="仿宋_GB2312" w:hAnsi="仿宋_GB2312" w:eastAsia="仿宋_GB2312" w:cs="仿宋_GB2312"/>
          <w:bCs/>
          <w:color w:val="000000" w:themeColor="text1"/>
          <w:sz w:val="32"/>
          <w:szCs w:val="32"/>
        </w:rPr>
        <w:t>建立健全街道招商引资机制，成立合作发展办公室，提高精细化服务水平，严格落实“四议一审两公开”制度，持续做好农村集体经济组织管理工作。打造新的财税增长点，12家企业成功迁入我街道。</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19"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6"/>
          <w:sz w:val="32"/>
          <w:szCs w:val="32"/>
        </w:rPr>
        <w:t>5、时刻紧绷安全之弦，筑牢安全意识防线。</w:t>
      </w:r>
      <w:r>
        <w:rPr>
          <w:rFonts w:hint="eastAsia" w:ascii="仿宋_GB2312" w:hAnsi="仿宋_GB2312" w:eastAsia="仿宋_GB2312" w:cs="仿宋_GB2312"/>
          <w:b/>
          <w:bCs/>
          <w:sz w:val="32"/>
          <w:szCs w:val="32"/>
        </w:rPr>
        <w:t>一是深刻汲取“4·18”事故教训，坚决筑牢安全底线。</w:t>
      </w:r>
      <w:r>
        <w:rPr>
          <w:rFonts w:hint="eastAsia" w:ascii="仿宋_GB2312" w:hAnsi="仿宋_GB2312" w:eastAsia="仿宋_GB2312" w:cs="仿宋_GB2312"/>
          <w:sz w:val="32"/>
          <w:szCs w:val="32"/>
        </w:rPr>
        <w:t>全面开展安全生产大排查大整治行动。截至10月30日累积检查12892次,隐患发现率排名全区第二，整改率99.64%。紧抓平房区百日攻坚重点，补齐平房区消防短板，筑牢安全屏障。二</w:t>
      </w:r>
      <w:r>
        <w:rPr>
          <w:rFonts w:hint="eastAsia" w:ascii="仿宋_GB2312" w:hAnsi="仿宋_GB2312" w:eastAsia="仿宋_GB2312" w:cs="仿宋_GB2312"/>
          <w:b/>
          <w:bCs/>
          <w:sz w:val="32"/>
          <w:szCs w:val="32"/>
        </w:rPr>
        <w:t>是深入推进社会矛盾有效调处。</w:t>
      </w:r>
      <w:r>
        <w:rPr>
          <w:rFonts w:hint="eastAsia" w:ascii="仿宋_GB2312" w:hAnsi="仿宋_GB2312" w:eastAsia="仿宋_GB2312" w:cs="仿宋_GB2312"/>
          <w:sz w:val="32"/>
          <w:szCs w:val="32"/>
        </w:rPr>
        <w:t>信访事项受理率100%、按时办结率100%。开展法治讲座25场，提供法律援助6件。</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严格依法依规决策，落实法律顾问制度，加强对党工委文件、重大决策的合法合规性审查。</w:t>
      </w:r>
      <w:r>
        <w:rPr>
          <w:rFonts w:hint="eastAsia" w:ascii="仿宋_GB2312" w:hAnsi="仿宋_GB2312" w:eastAsia="仿宋_GB2312" w:cs="仿宋_GB2312"/>
          <w:sz w:val="32"/>
          <w:szCs w:val="32"/>
        </w:rPr>
        <w:t>法律顾问在本年度的工作中，共计开展现场法律咨询420人次；合同审查</w:t>
      </w:r>
      <w:r>
        <w:rPr>
          <w:rFonts w:hint="eastAsia" w:ascii="仿宋_GB2312" w:hAnsi="仿宋_GB2312" w:eastAsia="仿宋_GB2312" w:cs="仿宋_GB2312"/>
          <w:color w:val="000000" w:themeColor="text1"/>
          <w:sz w:val="32"/>
          <w:szCs w:val="32"/>
        </w:rPr>
        <w:t>100余</w:t>
      </w:r>
      <w:r>
        <w:rPr>
          <w:rFonts w:hint="eastAsia" w:ascii="仿宋_GB2312" w:hAnsi="仿宋_GB2312" w:eastAsia="仿宋_GB2312" w:cs="仿宋_GB2312"/>
          <w:sz w:val="32"/>
          <w:szCs w:val="32"/>
        </w:rPr>
        <w:t>份；参与纠纷调解32次，行政诉讼案件2件。</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健全党内法规制度建设体制机制，坚持全面从严治党、依规治党，加强党内法规制度建设，提高党内法规制度执行力。把党内法规制度建设纳入党的建设总体安排。</w:t>
      </w:r>
      <w:r>
        <w:rPr>
          <w:rFonts w:hint="eastAsia" w:ascii="仿宋_GB2312" w:hAnsi="仿宋_GB2312" w:eastAsia="仿宋_GB2312" w:cs="仿宋_GB2312"/>
          <w:sz w:val="32"/>
          <w:szCs w:val="32"/>
        </w:rPr>
        <w:t>坚持把制度建设摆在工作的全过程，以身作则，率先垂范，推动各项政策决策规范落实。严格贯彻执行中央八项规定，认真落实民主集中制和“三重一大”“四议一审两公开”“党政领导干部选拔任用”等制度规定。</w:t>
      </w:r>
      <w:r>
        <w:rPr>
          <w:rFonts w:hint="eastAsia" w:ascii="仿宋_GB2312" w:hAnsi="仿宋_GB2312" w:eastAsia="仿宋_GB2312" w:cs="仿宋_GB2312"/>
          <w:color w:val="000000"/>
          <w:sz w:val="32"/>
          <w:szCs w:val="32"/>
        </w:rPr>
        <w:t>街道党工委</w:t>
      </w:r>
      <w:r>
        <w:rPr>
          <w:rFonts w:hint="eastAsia" w:ascii="仿宋_GB2312" w:hAnsi="仿宋_GB2312" w:eastAsia="仿宋_GB2312" w:cs="仿宋_GB2312"/>
          <w:color w:val="282828"/>
          <w:sz w:val="32"/>
          <w:szCs w:val="32"/>
          <w:shd w:val="clear" w:color="auto" w:fill="FFFFFF"/>
        </w:rPr>
        <w:t>会议定期听取法治建设工作汇报，及时研究解决有关重大问题。</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sz w:val="32"/>
          <w:szCs w:val="32"/>
        </w:rPr>
        <w:t>督促主管领导、相关部门持续优化街道意识形态、安全生产等工作制度，严格落实“一岗双责”，协调完善责任目标考核体系，</w:t>
      </w:r>
      <w:r>
        <w:rPr>
          <w:rFonts w:hint="eastAsia" w:ascii="仿宋_GB2312" w:hAnsi="仿宋_GB2312" w:eastAsia="仿宋_GB2312" w:cs="仿宋_GB2312"/>
          <w:color w:val="000000" w:themeColor="text1"/>
          <w:kern w:val="0"/>
          <w:sz w:val="32"/>
          <w:szCs w:val="32"/>
        </w:rPr>
        <w:t>细化敏感时期、重大事件、重要节点安全防范和舆论引领。</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认真落实《处级领导干部直接联系群众工作制度》和《党员干部谈心谈话》制度，自觉深入联系点走访，广泛开展交心活动，与街道机关干部、社区主要领导经常进行谈心交心，着力增强街道制度管理的实效性。</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color w:val="000000"/>
          <w:sz w:val="32"/>
          <w:szCs w:val="32"/>
        </w:rPr>
        <w:t>（二）</w:t>
      </w:r>
      <w:r>
        <w:rPr>
          <w:rFonts w:hint="eastAsia" w:ascii="仿宋_GB2312" w:hAnsi="仿宋_GB2312" w:eastAsia="仿宋_GB2312" w:cs="仿宋_GB2312"/>
          <w:b/>
          <w:bCs/>
          <w:sz w:val="32"/>
          <w:szCs w:val="32"/>
        </w:rPr>
        <w:t>2023</w:t>
      </w:r>
      <w:r>
        <w:rPr>
          <w:rFonts w:hint="eastAsia" w:ascii="仿宋_GB2312" w:hAnsi="仿宋_GB2312" w:eastAsia="仿宋_GB2312" w:cs="仿宋_GB2312"/>
          <w:b/>
          <w:sz w:val="32"/>
          <w:szCs w:val="32"/>
        </w:rPr>
        <w:t>年存在的问题和不足</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sz w:val="32"/>
          <w:szCs w:val="32"/>
        </w:rPr>
        <w:t>一是党建责任落实落细落到位的从严性全面性还不够强劲。</w:t>
      </w:r>
      <w:r>
        <w:rPr>
          <w:rFonts w:hint="eastAsia" w:ascii="仿宋_GB2312" w:hAnsi="仿宋_GB2312" w:eastAsia="仿宋_GB2312" w:cs="仿宋_GB2312"/>
          <w:sz w:val="32"/>
          <w:szCs w:val="32"/>
        </w:rPr>
        <w:t>基层党务干部队伍依法行政能力素质还存在不均衡的情况，在推动党建主体责任层层落实方面还需进一步提质增效。</w:t>
      </w:r>
      <w:r>
        <w:rPr>
          <w:rFonts w:hint="eastAsia" w:ascii="仿宋_GB2312" w:hAnsi="仿宋_GB2312" w:eastAsia="仿宋_GB2312" w:cs="仿宋_GB2312"/>
          <w:b/>
          <w:bCs/>
          <w:sz w:val="32"/>
          <w:szCs w:val="32"/>
        </w:rPr>
        <w:t>二是谋划街道城市建设依法发展的整体性长远性还不够深细，</w:t>
      </w:r>
      <w:r>
        <w:rPr>
          <w:rFonts w:hint="eastAsia" w:ascii="仿宋_GB2312" w:hAnsi="仿宋_GB2312" w:eastAsia="仿宋_GB2312" w:cs="仿宋_GB2312"/>
          <w:sz w:val="32"/>
          <w:szCs w:val="32"/>
        </w:rPr>
        <w:t>工作中面对一些客观条件导致的历史遗留问题，还缺乏有效谋划举措，尤其体现在12345市民诉求上，我们的工作距离居民群众的实际需要还有差距。</w:t>
      </w:r>
      <w:r>
        <w:rPr>
          <w:rFonts w:hint="eastAsia" w:ascii="仿宋_GB2312" w:hAnsi="仿宋_GB2312" w:eastAsia="仿宋_GB2312" w:cs="仿宋_GB2312"/>
          <w:b/>
          <w:sz w:val="32"/>
          <w:szCs w:val="32"/>
        </w:rPr>
        <w:t>三是普法措施不多，效果不明显。</w:t>
      </w:r>
      <w:r>
        <w:rPr>
          <w:rFonts w:hint="eastAsia" w:ascii="仿宋_GB2312" w:hAnsi="仿宋_GB2312" w:eastAsia="仿宋_GB2312" w:cs="仿宋_GB2312"/>
          <w:bCs/>
          <w:sz w:val="32"/>
          <w:szCs w:val="32"/>
        </w:rPr>
        <w:t>法治宣传存在盲区死角，缺乏针对性、有效性，普法形式单一，运用新媒体少，不具备吸引力，对领导干部、青少年、致富带头人、农民等重点学法对象没有做到“分类别、多层次、全覆盖”，法治宣传教育效果不明显。</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（三）2024年工作主要思路和重点目标任务</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一是力求在深化党建引领法治建设上取得新成效。</w:t>
      </w:r>
      <w:r>
        <w:rPr>
          <w:rFonts w:hint="eastAsia" w:ascii="仿宋_GB2312" w:hAnsi="仿宋_GB2312" w:eastAsia="仿宋_GB2312" w:cs="仿宋_GB2312"/>
          <w:sz w:val="32"/>
          <w:szCs w:val="32"/>
        </w:rPr>
        <w:t>深入学习贯彻党的二十大精神，弘扬伟大建党精神，纵深推进全面从严治党，推进法治建设，层层压实责任，夯实基层党组织建设，抓实党员法治教育管理，以实干实效做到“两个维护”，为高质量发展提供坚强政治保证。</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二是力求在依法拓展民生福祉上打开新局面。</w:t>
      </w:r>
      <w:r>
        <w:rPr>
          <w:rFonts w:hint="eastAsia" w:ascii="仿宋_GB2312" w:hAnsi="仿宋_GB2312" w:eastAsia="仿宋_GB2312" w:cs="仿宋_GB2312"/>
          <w:sz w:val="32"/>
          <w:szCs w:val="32"/>
        </w:rPr>
        <w:t>进一步强化宗旨意识，拓宽民意反映渠道，主动倾听群众的意见和心声，掌握群众所思所想所盼，依法切实解决群众关注的热点难点问题。</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三是力求在依法统筹高质量发展上书写新篇章。</w:t>
      </w:r>
      <w:r>
        <w:rPr>
          <w:rFonts w:hint="eastAsia" w:ascii="仿宋_GB2312" w:hAnsi="仿宋_GB2312" w:eastAsia="仿宋_GB2312" w:cs="仿宋_GB2312"/>
          <w:sz w:val="32"/>
          <w:szCs w:val="32"/>
        </w:rPr>
        <w:t>坚持问题导向、树立系统思维、强化责任意识，在接诉即办、服务民生、城乡治理、“七创”联动方面依法纵深发力，加强培养具备自生能力的产业经济，优化营商环境，创造良好法治氛围，为丰台高质量发展谱写六里桥篇章。</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四、2024年法治政府建设工作初步安排</w:t>
      </w:r>
    </w:p>
    <w:p>
      <w:pPr>
        <w:pStyle w:val="6"/>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2024年，我街道将坚持以习近平新时代中国特色社会主义思想为指导，全面贯彻党的二十大精神，紧扣深入学习宣传贯彻习近平法治思想主题，按照依法治区工作要求，深入开展法治宣传教育，扎实推进基层民主法治建设，进一步提升辖区群众法治意识，提高全社会法治化管理水平，营造平安稳定的良好法治环境。</w:t>
      </w:r>
    </w:p>
    <w:p>
      <w:pPr>
        <w:pStyle w:val="6"/>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bCs/>
          <w:color w:val="000000"/>
          <w:kern w:val="0"/>
          <w:sz w:val="32"/>
          <w:szCs w:val="32"/>
        </w:rPr>
        <w:t>持续开展普法学习，提高依法行政水平。</w:t>
      </w:r>
      <w:r>
        <w:rPr>
          <w:rFonts w:hint="eastAsia" w:ascii="仿宋_GB2312" w:hAnsi="仿宋_GB2312" w:eastAsia="仿宋_GB2312" w:cs="仿宋_GB2312"/>
          <w:color w:val="000000"/>
          <w:kern w:val="0"/>
          <w:sz w:val="32"/>
          <w:szCs w:val="32"/>
        </w:rPr>
        <w:t>继续将法治学习纳入街道党委中心组学习内容，深入学习党的十九大，二十大精神和依法治国基本方略，通过专题学习、第一学习议题等形式，加强《习近平法治思想学习纲要》等权威读本的学习宣传工作,推动街道领导干部带头学习，模范践行，深化理论联系实际，加快提升领导干部的依法行政能力。</w:t>
      </w:r>
    </w:p>
    <w:p>
      <w:pPr>
        <w:pStyle w:val="6"/>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w:t>
      </w:r>
      <w:r>
        <w:rPr>
          <w:rFonts w:hint="eastAsia" w:ascii="仿宋_GB2312" w:hAnsi="仿宋_GB2312" w:eastAsia="仿宋_GB2312" w:cs="仿宋_GB2312"/>
          <w:b/>
          <w:bCs/>
          <w:color w:val="000000"/>
          <w:kern w:val="0"/>
          <w:sz w:val="32"/>
          <w:szCs w:val="32"/>
        </w:rPr>
        <w:t>拓宽法治建设宣传，提升社会法治观念。</w:t>
      </w:r>
      <w:r>
        <w:rPr>
          <w:rFonts w:hint="eastAsia" w:ascii="仿宋_GB2312" w:hAnsi="仿宋_GB2312" w:eastAsia="仿宋_GB2312" w:cs="仿宋_GB2312"/>
          <w:color w:val="000000"/>
          <w:kern w:val="0"/>
          <w:sz w:val="32"/>
          <w:szCs w:val="32"/>
        </w:rPr>
        <w:t>按照依法治国基本方略的要求，大力开展常态化、重点化、多样化的法治宣传教育活动，普及宣传法律法规知识，营造学法、用法、懂法，守法的良好社会氛围。</w:t>
      </w:r>
    </w:p>
    <w:p>
      <w:pPr>
        <w:keepNext w:val="0"/>
        <w:keepLines w:val="0"/>
        <w:pageBreakBefore w:val="0"/>
        <w:tabs>
          <w:tab w:val="left" w:pos="440"/>
        </w:tabs>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sz w:val="32"/>
          <w:szCs w:val="32"/>
        </w:rPr>
        <w:t>3、</w:t>
      </w:r>
      <w:r>
        <w:rPr>
          <w:rFonts w:hint="eastAsia" w:ascii="仿宋_GB2312" w:hAnsi="仿宋_GB2312" w:eastAsia="仿宋_GB2312" w:cs="仿宋_GB2312"/>
          <w:b/>
          <w:bCs/>
          <w:color w:val="000000"/>
          <w:kern w:val="0"/>
          <w:sz w:val="32"/>
          <w:szCs w:val="32"/>
        </w:rPr>
        <w:t>深化政府法治服务，提升群众依法信访意识。</w:t>
      </w:r>
      <w:r>
        <w:rPr>
          <w:rFonts w:hint="eastAsia" w:ascii="仿宋_GB2312" w:hAnsi="仿宋_GB2312" w:eastAsia="仿宋_GB2312" w:cs="仿宋_GB2312"/>
          <w:color w:val="000000"/>
          <w:kern w:val="0"/>
          <w:sz w:val="32"/>
          <w:szCs w:val="32"/>
        </w:rPr>
        <w:t>把群众满意当作第一目标，聚焦初信、初访办理和信访积案化解，不断探索信访问题及时就地化解新机制，积极教育和引导群众正确履行公民权利和义务，依法进行信访活动，自觉维护信访秩序，推动信访工作健康发展。</w:t>
      </w:r>
    </w:p>
    <w:p>
      <w:pPr>
        <w:pStyle w:val="16"/>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textAlignment w:val="auto"/>
        <w:rPr>
          <w:rFonts w:hint="eastAsia" w:ascii="仿宋_GB2312" w:hAnsi="仿宋_GB2312" w:eastAsia="仿宋_GB2312" w:cs="仿宋_GB2312"/>
          <w:b/>
          <w:sz w:val="32"/>
          <w:szCs w:val="32"/>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120" w:firstLineChars="16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六里桥街道办事处</w:t>
      </w:r>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二〇二三年十二月三十日</w:t>
      </w:r>
    </w:p>
    <w:p>
      <w:pPr>
        <w:rPr>
          <w:rFonts w:ascii="仿宋" w:hAnsi="仿宋" w:eastAsia="仿宋" w:cs="仿宋"/>
          <w:sz w:val="32"/>
          <w:szCs w:val="32"/>
        </w:rPr>
      </w:pPr>
      <w:r>
        <w:rPr>
          <w:rFonts w:hint="eastAsia" w:ascii="仿宋" w:hAnsi="仿宋" w:eastAsia="仿宋" w:cs="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Raavi">
    <w:panose1 w:val="020B0502040204020203"/>
    <w:charset w:val="00"/>
    <w:family w:val="auto"/>
    <w:pitch w:val="default"/>
    <w:sig w:usb0="00020003"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Y0ZjRkY2U0MTc0ZTQ5YjI2ZWYyODgzYTIxMTE2MjMifQ=="/>
  </w:docVars>
  <w:rsids>
    <w:rsidRoot w:val="23C4666F"/>
    <w:rsid w:val="002E01C1"/>
    <w:rsid w:val="00660AAB"/>
    <w:rsid w:val="00773C1C"/>
    <w:rsid w:val="00C23F0A"/>
    <w:rsid w:val="00DE4209"/>
    <w:rsid w:val="00EC0BB2"/>
    <w:rsid w:val="00F854A6"/>
    <w:rsid w:val="02105DD0"/>
    <w:rsid w:val="02714395"/>
    <w:rsid w:val="02750329"/>
    <w:rsid w:val="02BE0D65"/>
    <w:rsid w:val="03086AA8"/>
    <w:rsid w:val="0332621A"/>
    <w:rsid w:val="03BB6210"/>
    <w:rsid w:val="04A3117E"/>
    <w:rsid w:val="04A56E5D"/>
    <w:rsid w:val="04F85928"/>
    <w:rsid w:val="05002B6F"/>
    <w:rsid w:val="05412745"/>
    <w:rsid w:val="05EA4235"/>
    <w:rsid w:val="060078E9"/>
    <w:rsid w:val="06717C65"/>
    <w:rsid w:val="06B34F7C"/>
    <w:rsid w:val="076D3C67"/>
    <w:rsid w:val="07B216D8"/>
    <w:rsid w:val="07C27951"/>
    <w:rsid w:val="07CF62EF"/>
    <w:rsid w:val="07FE2B6F"/>
    <w:rsid w:val="08294536"/>
    <w:rsid w:val="086A3D60"/>
    <w:rsid w:val="08FE41F4"/>
    <w:rsid w:val="094C5B8E"/>
    <w:rsid w:val="097C663E"/>
    <w:rsid w:val="09B5725D"/>
    <w:rsid w:val="0A64315D"/>
    <w:rsid w:val="0AA03A6A"/>
    <w:rsid w:val="0AD6392F"/>
    <w:rsid w:val="0B9837F8"/>
    <w:rsid w:val="0CF06F2A"/>
    <w:rsid w:val="0D1F511A"/>
    <w:rsid w:val="0D4679F1"/>
    <w:rsid w:val="0E7E366C"/>
    <w:rsid w:val="10FE7D21"/>
    <w:rsid w:val="12FE7EC7"/>
    <w:rsid w:val="130B7EEE"/>
    <w:rsid w:val="14A5684C"/>
    <w:rsid w:val="14B5332E"/>
    <w:rsid w:val="15783F61"/>
    <w:rsid w:val="15842905"/>
    <w:rsid w:val="1688488C"/>
    <w:rsid w:val="17B15508"/>
    <w:rsid w:val="17D631C0"/>
    <w:rsid w:val="189A1485"/>
    <w:rsid w:val="18A84B5D"/>
    <w:rsid w:val="18B21538"/>
    <w:rsid w:val="18CD6371"/>
    <w:rsid w:val="19166D99"/>
    <w:rsid w:val="199624B8"/>
    <w:rsid w:val="19E95742"/>
    <w:rsid w:val="1A3D12D5"/>
    <w:rsid w:val="1A903AFB"/>
    <w:rsid w:val="1AA2382E"/>
    <w:rsid w:val="1AC4394F"/>
    <w:rsid w:val="1BF65BDF"/>
    <w:rsid w:val="1D9E2F6D"/>
    <w:rsid w:val="1DEF6D8A"/>
    <w:rsid w:val="1E524ABE"/>
    <w:rsid w:val="1EBB7078"/>
    <w:rsid w:val="1F1C595D"/>
    <w:rsid w:val="1F406AD1"/>
    <w:rsid w:val="1F4E188E"/>
    <w:rsid w:val="20CA2518"/>
    <w:rsid w:val="216435EB"/>
    <w:rsid w:val="228D26CE"/>
    <w:rsid w:val="23C4666F"/>
    <w:rsid w:val="242A28CA"/>
    <w:rsid w:val="246F29D3"/>
    <w:rsid w:val="248F6BD1"/>
    <w:rsid w:val="24E80F1F"/>
    <w:rsid w:val="24EE7D9B"/>
    <w:rsid w:val="250B2AF0"/>
    <w:rsid w:val="254774AC"/>
    <w:rsid w:val="25565C47"/>
    <w:rsid w:val="271C2272"/>
    <w:rsid w:val="27343A60"/>
    <w:rsid w:val="27FB47B4"/>
    <w:rsid w:val="28772FD2"/>
    <w:rsid w:val="29223568"/>
    <w:rsid w:val="296323DA"/>
    <w:rsid w:val="296F5223"/>
    <w:rsid w:val="2972384F"/>
    <w:rsid w:val="2A73381A"/>
    <w:rsid w:val="2B146082"/>
    <w:rsid w:val="2C962C9B"/>
    <w:rsid w:val="2C972AC7"/>
    <w:rsid w:val="2D59777F"/>
    <w:rsid w:val="2D671AAB"/>
    <w:rsid w:val="2EC41B6D"/>
    <w:rsid w:val="2F43032D"/>
    <w:rsid w:val="2F5729E1"/>
    <w:rsid w:val="30E81B43"/>
    <w:rsid w:val="321317DD"/>
    <w:rsid w:val="329C3440"/>
    <w:rsid w:val="32BF3AE8"/>
    <w:rsid w:val="32DD4FAB"/>
    <w:rsid w:val="33727DEA"/>
    <w:rsid w:val="33C341A1"/>
    <w:rsid w:val="34747D14"/>
    <w:rsid w:val="34781430"/>
    <w:rsid w:val="34D56612"/>
    <w:rsid w:val="35586B6B"/>
    <w:rsid w:val="359C114E"/>
    <w:rsid w:val="35F920FC"/>
    <w:rsid w:val="36426FC2"/>
    <w:rsid w:val="36E3011C"/>
    <w:rsid w:val="37C54278"/>
    <w:rsid w:val="384D4981"/>
    <w:rsid w:val="38E075A3"/>
    <w:rsid w:val="3A5B15D7"/>
    <w:rsid w:val="3A6374E1"/>
    <w:rsid w:val="3BA70186"/>
    <w:rsid w:val="3C7E335B"/>
    <w:rsid w:val="3CB11983"/>
    <w:rsid w:val="3CC71547"/>
    <w:rsid w:val="3D2D6B2F"/>
    <w:rsid w:val="3DE14071"/>
    <w:rsid w:val="3EF7492C"/>
    <w:rsid w:val="3FD96707"/>
    <w:rsid w:val="3FDA11F0"/>
    <w:rsid w:val="400E2984"/>
    <w:rsid w:val="40575BCB"/>
    <w:rsid w:val="446E63AB"/>
    <w:rsid w:val="44A45929"/>
    <w:rsid w:val="44BE5DD5"/>
    <w:rsid w:val="45322F35"/>
    <w:rsid w:val="45763769"/>
    <w:rsid w:val="461A0599"/>
    <w:rsid w:val="469344A1"/>
    <w:rsid w:val="46B300A5"/>
    <w:rsid w:val="46D87B0C"/>
    <w:rsid w:val="46E24C8C"/>
    <w:rsid w:val="481908AA"/>
    <w:rsid w:val="486712E8"/>
    <w:rsid w:val="49865F45"/>
    <w:rsid w:val="49AD702E"/>
    <w:rsid w:val="4A1D0657"/>
    <w:rsid w:val="4A802994"/>
    <w:rsid w:val="4AA2290B"/>
    <w:rsid w:val="4AEB61C1"/>
    <w:rsid w:val="4B472048"/>
    <w:rsid w:val="4B6978CC"/>
    <w:rsid w:val="4B7E045A"/>
    <w:rsid w:val="4CE27936"/>
    <w:rsid w:val="4CFB1DE6"/>
    <w:rsid w:val="4D106251"/>
    <w:rsid w:val="4E2D2E33"/>
    <w:rsid w:val="4E4372D5"/>
    <w:rsid w:val="4E742810"/>
    <w:rsid w:val="4EDE2193"/>
    <w:rsid w:val="4F656FD4"/>
    <w:rsid w:val="50714FD3"/>
    <w:rsid w:val="5095081C"/>
    <w:rsid w:val="50AA076B"/>
    <w:rsid w:val="51505A58"/>
    <w:rsid w:val="51954A02"/>
    <w:rsid w:val="52097713"/>
    <w:rsid w:val="52770B21"/>
    <w:rsid w:val="528F5286"/>
    <w:rsid w:val="5294763D"/>
    <w:rsid w:val="52BD2F9B"/>
    <w:rsid w:val="536C1D08"/>
    <w:rsid w:val="539A4AC7"/>
    <w:rsid w:val="541A1191"/>
    <w:rsid w:val="55436A98"/>
    <w:rsid w:val="56927CD7"/>
    <w:rsid w:val="56DA7D27"/>
    <w:rsid w:val="57B10631"/>
    <w:rsid w:val="57E427B4"/>
    <w:rsid w:val="587873A1"/>
    <w:rsid w:val="58C6010C"/>
    <w:rsid w:val="5943175D"/>
    <w:rsid w:val="5ADA7E9F"/>
    <w:rsid w:val="5C3B2BBF"/>
    <w:rsid w:val="5D0C19F1"/>
    <w:rsid w:val="5D3C6BEF"/>
    <w:rsid w:val="5D8A2CFB"/>
    <w:rsid w:val="5DA84550"/>
    <w:rsid w:val="5E850121"/>
    <w:rsid w:val="5EE4753E"/>
    <w:rsid w:val="5EF05EE3"/>
    <w:rsid w:val="5FE315A4"/>
    <w:rsid w:val="5FEA0B84"/>
    <w:rsid w:val="5FEB66AA"/>
    <w:rsid w:val="605F28A6"/>
    <w:rsid w:val="607B7A2E"/>
    <w:rsid w:val="60DB671F"/>
    <w:rsid w:val="614C732A"/>
    <w:rsid w:val="61BA07B9"/>
    <w:rsid w:val="6305399C"/>
    <w:rsid w:val="64030466"/>
    <w:rsid w:val="64134E27"/>
    <w:rsid w:val="641F4B74"/>
    <w:rsid w:val="66171FA7"/>
    <w:rsid w:val="66A55198"/>
    <w:rsid w:val="66EC3434"/>
    <w:rsid w:val="66FB5425"/>
    <w:rsid w:val="67544B35"/>
    <w:rsid w:val="67955879"/>
    <w:rsid w:val="67DF6AF4"/>
    <w:rsid w:val="686B482C"/>
    <w:rsid w:val="68BE2BAE"/>
    <w:rsid w:val="68C006D4"/>
    <w:rsid w:val="69821E2D"/>
    <w:rsid w:val="6A587C04"/>
    <w:rsid w:val="6A7F636D"/>
    <w:rsid w:val="6B39476E"/>
    <w:rsid w:val="6B3B04E6"/>
    <w:rsid w:val="6D564FAA"/>
    <w:rsid w:val="6D611D5A"/>
    <w:rsid w:val="6D836174"/>
    <w:rsid w:val="6DBD1FDD"/>
    <w:rsid w:val="6DFA4688"/>
    <w:rsid w:val="6E041063"/>
    <w:rsid w:val="6E224699"/>
    <w:rsid w:val="6E5450E9"/>
    <w:rsid w:val="6E565636"/>
    <w:rsid w:val="6E9973E0"/>
    <w:rsid w:val="6FAA79E8"/>
    <w:rsid w:val="6FB30672"/>
    <w:rsid w:val="6FDE58E3"/>
    <w:rsid w:val="6FF670D1"/>
    <w:rsid w:val="70F52EE5"/>
    <w:rsid w:val="711041C2"/>
    <w:rsid w:val="715A543E"/>
    <w:rsid w:val="718F158B"/>
    <w:rsid w:val="71D21648"/>
    <w:rsid w:val="71EF7BAE"/>
    <w:rsid w:val="731F1EA5"/>
    <w:rsid w:val="74F2076F"/>
    <w:rsid w:val="750A2CD7"/>
    <w:rsid w:val="750B717B"/>
    <w:rsid w:val="75E63744"/>
    <w:rsid w:val="760D6F22"/>
    <w:rsid w:val="76424E1E"/>
    <w:rsid w:val="77794709"/>
    <w:rsid w:val="77CE038C"/>
    <w:rsid w:val="78250553"/>
    <w:rsid w:val="783A4ECE"/>
    <w:rsid w:val="78F16688"/>
    <w:rsid w:val="790C34C1"/>
    <w:rsid w:val="798D4602"/>
    <w:rsid w:val="79F503F9"/>
    <w:rsid w:val="7A080CC1"/>
    <w:rsid w:val="7A6C06BC"/>
    <w:rsid w:val="7BC77B74"/>
    <w:rsid w:val="7BD44F95"/>
    <w:rsid w:val="7BDE7397"/>
    <w:rsid w:val="7BFE17E7"/>
    <w:rsid w:val="7C206CF3"/>
    <w:rsid w:val="7CA83501"/>
    <w:rsid w:val="7CFD1A9F"/>
    <w:rsid w:val="7D24527D"/>
    <w:rsid w:val="7D7A1B55"/>
    <w:rsid w:val="7E10685A"/>
    <w:rsid w:val="DD7F8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3"/>
    <w:basedOn w:val="1"/>
    <w:next w:val="1"/>
    <w:unhideWhenUsed/>
    <w:qFormat/>
    <w:uiPriority w:val="9"/>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ind w:left="114"/>
    </w:pPr>
    <w:rPr>
      <w:rFonts w:hint="eastAsia" w:eastAsia="宋体"/>
      <w:sz w:val="30"/>
    </w:rPr>
  </w:style>
  <w:style w:type="paragraph" w:styleId="5">
    <w:name w:val="toc 3"/>
    <w:basedOn w:val="1"/>
    <w:next w:val="1"/>
    <w:qFormat/>
    <w:uiPriority w:val="0"/>
    <w:pPr>
      <w:ind w:left="840" w:leftChars="400"/>
    </w:pPr>
  </w:style>
  <w:style w:type="paragraph" w:styleId="6">
    <w:name w:val="Plain Text"/>
    <w:basedOn w:val="1"/>
    <w:qFormat/>
    <w:uiPriority w:val="0"/>
    <w:rPr>
      <w:rFonts w:ascii="宋体" w:hAnsi="Courier New"/>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index 9"/>
    <w:basedOn w:val="1"/>
    <w:next w:val="1"/>
    <w:unhideWhenUsed/>
    <w:qFormat/>
    <w:uiPriority w:val="99"/>
    <w:pPr>
      <w:ind w:left="1600" w:leftChars="1600"/>
    </w:pPr>
    <w:rPr>
      <w:rFonts w:ascii="Calibri" w:hAnsi="Calibri" w:eastAsia="仿宋_GB2312" w:cs="Times New Roman"/>
      <w:sz w:val="32"/>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rPr>
  </w:style>
  <w:style w:type="character" w:styleId="14">
    <w:name w:val="Emphasis"/>
    <w:basedOn w:val="12"/>
    <w:qFormat/>
    <w:uiPriority w:val="0"/>
    <w:rPr>
      <w:i/>
    </w:rPr>
  </w:style>
  <w:style w:type="paragraph" w:customStyle="1" w:styleId="15">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6">
    <w:name w:val="List Paragraph"/>
    <w:basedOn w:val="1"/>
    <w:qFormat/>
    <w:uiPriority w:val="34"/>
    <w:pPr>
      <w:ind w:firstLine="420" w:firstLineChars="200"/>
    </w:pPr>
  </w:style>
  <w:style w:type="character" w:customStyle="1" w:styleId="17">
    <w:name w:val="页眉 Char"/>
    <w:basedOn w:val="12"/>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1418</Words>
  <Characters>8087</Characters>
  <Lines>67</Lines>
  <Paragraphs>18</Paragraphs>
  <TotalTime>16</TotalTime>
  <ScaleCrop>false</ScaleCrop>
  <LinksUpToDate>false</LinksUpToDate>
  <CharactersWithSpaces>9487</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2022-11-17T23:16:00Z</dcterms:created>
  <dc:creator>王辉</dc:creator>
  <cp:lastModifiedBy>xxy</cp:lastModifiedBy>
  <dcterms:modified xsi:type="dcterms:W3CDTF">2024-04-18T09:19:22Z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FE8BED78C0A446F68B0D8A7A9E4A2EFD_13</vt:lpwstr>
  </property>
</Properties>
</file>