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widowControl/>
        <w:spacing w:beforeAutospacing="0" w:afterAutospacing="0"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六里桥街道办事处</w:t>
      </w:r>
    </w:p>
    <w:p>
      <w:pPr>
        <w:pStyle w:val="10"/>
        <w:widowControl/>
        <w:spacing w:beforeAutospacing="0" w:afterAutospacing="0"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2024年法治政府建设年度情况报告</w:t>
      </w:r>
    </w:p>
    <w:p>
      <w:pPr>
        <w:pStyle w:val="10"/>
        <w:widowControl/>
        <w:spacing w:beforeAutospacing="0" w:afterAutospacing="0" w:line="560" w:lineRule="exact"/>
        <w:ind w:firstLine="640" w:firstLineChars="200"/>
        <w:rPr>
          <w:rFonts w:ascii="仿宋_GB2312" w:hAnsi="仿宋_GB2312" w:eastAsia="仿宋_GB2312" w:cs="仿宋_GB2312"/>
          <w:sz w:val="32"/>
          <w:szCs w:val="32"/>
        </w:rPr>
      </w:pPr>
    </w:p>
    <w:p>
      <w:pPr>
        <w:pStyle w:val="10"/>
        <w:widowControl/>
        <w:spacing w:beforeAutospacing="0" w:afterAutospacing="0"/>
        <w:ind w:firstLine="640" w:firstLineChars="200"/>
        <w:jc w:val="both"/>
        <w:rPr>
          <w:rFonts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2024年，六里桥</w:t>
      </w:r>
      <w:r>
        <w:rPr>
          <w:rFonts w:hint="eastAsia" w:ascii="仿宋_GB2312" w:hAnsi="方正仿宋_GB2312" w:eastAsia="仿宋_GB2312" w:cs="方正仿宋_GB2312"/>
          <w:sz w:val="32"/>
          <w:szCs w:val="32"/>
          <w:shd w:val="clear" w:color="auto" w:fill="FFFFFF"/>
        </w:rPr>
        <w:t>街道在区委、区政府的领导下，坚持以习近平新时代中国特色社会主义思想为指导，深入贯彻习近平法治思想，全面贯彻落实党的二十届三中全会精神，持续</w:t>
      </w:r>
      <w:r>
        <w:rPr>
          <w:rFonts w:hint="eastAsia" w:ascii="仿宋_GB2312" w:hAnsi="宋体" w:eastAsia="仿宋_GB2312" w:cs="宋体"/>
          <w:sz w:val="32"/>
          <w:szCs w:val="32"/>
          <w:shd w:val="clear" w:color="auto" w:fill="FFFFFF"/>
        </w:rPr>
        <w:t>推进</w:t>
      </w:r>
      <w:r>
        <w:rPr>
          <w:rFonts w:hint="eastAsia" w:ascii="仿宋_GB2312" w:hAnsi="方正仿宋_GB2312" w:eastAsia="仿宋_GB2312" w:cs="方正仿宋_GB2312"/>
          <w:sz w:val="32"/>
          <w:szCs w:val="32"/>
          <w:shd w:val="clear" w:color="auto" w:fill="FFFFFF"/>
        </w:rPr>
        <w:t>法治政府建设，着力提升依法行政水平。</w:t>
      </w:r>
      <w:r>
        <w:rPr>
          <w:rFonts w:hint="eastAsia" w:ascii="仿宋_GB2312" w:hAnsi="方正仿宋_GB2312" w:eastAsia="仿宋_GB2312" w:cs="方正仿宋_GB2312"/>
          <w:sz w:val="32"/>
          <w:szCs w:val="32"/>
        </w:rPr>
        <w:t>现将工作情况报告如下：</w:t>
      </w:r>
    </w:p>
    <w:p>
      <w:pPr>
        <w:pStyle w:val="10"/>
        <w:widowControl/>
        <w:spacing w:beforeAutospacing="0" w:afterAutospacing="0"/>
        <w:ind w:firstLine="640" w:firstLineChars="200"/>
        <w:jc w:val="both"/>
        <w:rPr>
          <w:rFonts w:ascii="黑体" w:hAnsi="黑体" w:eastAsia="黑体" w:cs="仿宋_GB2312"/>
          <w:bCs/>
          <w:kern w:val="2"/>
          <w:sz w:val="32"/>
          <w:szCs w:val="32"/>
        </w:rPr>
      </w:pPr>
      <w:r>
        <w:rPr>
          <w:rFonts w:hint="eastAsia" w:ascii="黑体" w:hAnsi="黑体" w:eastAsia="黑体" w:cs="仿宋_GB2312"/>
          <w:bCs/>
          <w:kern w:val="2"/>
          <w:sz w:val="32"/>
          <w:szCs w:val="32"/>
        </w:rPr>
        <w:t>一、2024年法治政府建设主要举措和成效</w:t>
      </w:r>
    </w:p>
    <w:p>
      <w:pPr>
        <w:pStyle w:val="10"/>
        <w:widowControl/>
        <w:spacing w:beforeAutospacing="0" w:afterAutospacing="0"/>
        <w:ind w:firstLine="643" w:firstLineChars="200"/>
        <w:jc w:val="both"/>
        <w:rPr>
          <w:rFonts w:ascii="楷体_GB2312" w:hAnsi="仿宋_GB2312" w:eastAsia="楷体_GB2312" w:cs="仿宋_GB2312"/>
          <w:sz w:val="32"/>
          <w:szCs w:val="32"/>
        </w:rPr>
      </w:pPr>
      <w:r>
        <w:rPr>
          <w:rFonts w:hint="eastAsia" w:ascii="楷体_GB2312" w:hAnsi="仿宋_GB2312" w:eastAsia="楷体_GB2312" w:cs="仿宋_GB2312"/>
          <w:b/>
          <w:bCs/>
          <w:sz w:val="32"/>
          <w:szCs w:val="32"/>
        </w:rPr>
        <w:t>（一）全面学习贯彻党的二十大、二十届三中全会精神和习近平法治思想</w:t>
      </w:r>
    </w:p>
    <w:p>
      <w:pPr>
        <w:ind w:firstLine="640" w:firstLineChars="200"/>
        <w:rPr>
          <w:rFonts w:ascii="仿宋_GB2312" w:hAnsi="仿宋_GB2312" w:eastAsia="仿宋_GB2312" w:cs="仿宋_GB2312"/>
          <w:sz w:val="32"/>
          <w:szCs w:val="32"/>
        </w:rPr>
      </w:pPr>
      <w:r>
        <w:rPr>
          <w:rFonts w:hint="eastAsia" w:ascii="仿宋_GB2312" w:hAnsi="方正仿宋_GB2312" w:eastAsia="仿宋_GB2312" w:cs="方正仿宋_GB2312"/>
          <w:sz w:val="32"/>
          <w:szCs w:val="32"/>
          <w:shd w:val="clear" w:color="auto" w:fill="FFFFFF"/>
        </w:rPr>
        <w:t>充分利用街道理论学习中心组、宣讲团、主题团日活动、全民阅读等多种形式，学习传达党的二十大和二十届三中全会精神。8月30日，丰台区学习贯彻党的二十届三中全会精神宣讲团走进六里桥街道，区委组织部副部长刘际飞作主题宣讲，街道领导班子成员、街道科级以上干部、社区（村）书记（主任）参加活动。</w:t>
      </w:r>
      <w:r>
        <w:rPr>
          <w:rFonts w:hint="eastAsia" w:ascii="仿宋_GB2312" w:hAnsi="仿宋_GB2312" w:eastAsia="仿宋_GB2312" w:cs="仿宋_GB2312"/>
          <w:sz w:val="32"/>
          <w:szCs w:val="32"/>
        </w:rPr>
        <w:t>制订本街道法治政府建设年度工作要点，积极通过党支部学习日、党员活动日、党风廉政建设活动、组织生活会等党组织活动，深入开展学习习近平关于全面依法治国的重要论述，宪法、民法典、党章党规学习等活动，举办法治专题讲座进行法律、法规、政策学习培训。为各基层党组织配备学习辅导书籍7470余册，依托“三会一课”、主题党日集中学习《条例》543次、廉政党课220场。前往“明镜昭廉”明代反贪尚廉历史文化园等红色廉洁阵地参观学习，集中观看警示教育片102次，累计覆盖人数2700余人，</w:t>
      </w:r>
      <w:r>
        <w:rPr>
          <w:rFonts w:hint="eastAsia" w:ascii="仿宋_GB2312" w:hAnsi="仿宋_GB2312" w:eastAsia="仿宋_GB2312" w:cs="仿宋_GB2312"/>
          <w:bCs/>
          <w:sz w:val="32"/>
          <w:szCs w:val="32"/>
        </w:rPr>
        <w:t>进一步筑牢拒腐防变的思想防线。</w:t>
      </w:r>
    </w:p>
    <w:p>
      <w:pPr>
        <w:pStyle w:val="10"/>
        <w:widowControl/>
        <w:spacing w:beforeAutospacing="0" w:afterAutospacing="0"/>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针对依法行政实践中薄弱环节和问题短板，坚持以习近平法治思想为指导，研究提出有价值、可操作的政策措施。坚持抓住领导干部这个“关键少数”,把法治素养和依法履职情况纳入考核评价领导干部的重要内容，相关考核结果作为对领导干部综合考核评价的重要参考。坚持用法治给行政权力定规矩、划界限，规范行政决策程序，优化法治化营商环境。</w:t>
      </w:r>
    </w:p>
    <w:p>
      <w:pPr>
        <w:pStyle w:val="10"/>
        <w:widowControl/>
        <w:spacing w:beforeAutospacing="0" w:afterAutospacing="0"/>
        <w:ind w:firstLine="643" w:firstLineChars="200"/>
        <w:jc w:val="both"/>
        <w:rPr>
          <w:rFonts w:ascii="楷体_GB2312" w:hAnsi="仿宋_GB2312" w:eastAsia="楷体_GB2312" w:cs="仿宋_GB2312"/>
          <w:b/>
          <w:bCs/>
          <w:sz w:val="32"/>
          <w:szCs w:val="32"/>
        </w:rPr>
      </w:pPr>
      <w:r>
        <w:rPr>
          <w:rFonts w:hint="eastAsia" w:ascii="楷体_GB2312" w:hAnsi="仿宋_GB2312" w:eastAsia="楷体_GB2312" w:cs="仿宋_GB2312"/>
          <w:b/>
          <w:bCs/>
          <w:sz w:val="32"/>
          <w:szCs w:val="32"/>
        </w:rPr>
        <w:t>（二）持续推进政府职能转变和法治政府建设</w:t>
      </w:r>
    </w:p>
    <w:p>
      <w:pPr>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sz w:val="32"/>
          <w:szCs w:val="32"/>
        </w:rPr>
        <w:t>1．坚持普法强基</w:t>
      </w:r>
      <w:r>
        <w:rPr>
          <w:rFonts w:hint="eastAsia" w:ascii="仿宋_GB2312" w:hAnsi="仿宋_GB2312" w:eastAsia="仿宋_GB2312" w:cs="仿宋_GB2312"/>
          <w:b/>
          <w:bCs/>
          <w:kern w:val="0"/>
          <w:sz w:val="32"/>
          <w:szCs w:val="32"/>
        </w:rPr>
        <w:t>。</w:t>
      </w:r>
      <w:r>
        <w:rPr>
          <w:rFonts w:hint="eastAsia" w:ascii="仿宋_GB2312" w:hAnsi="仿宋_GB2312" w:eastAsia="仿宋_GB2312" w:cs="仿宋_GB2312"/>
          <w:kern w:val="0"/>
          <w:sz w:val="32"/>
          <w:szCs w:val="32"/>
        </w:rPr>
        <w:t>围绕“八五”普法工作要求，街道积极组织辖区社区（村）群众、企事业单位、楼宇党建组织，采取多种形式开展民法典、国家安全观、消防安全等方面的普法宣传活动。今年5月是第四个“民法典宣传月”，六里桥街道各办公室、社区（村）深入推进民法典学习宣传活动，努力营造辖区良好的法治氛围。9月11日，街道邀请丰台区人民检察院开展“预防群众身边犯罪，共享和谐安宁社区”普法专题讲座，街道机关干部、社区（村）干部参加了本次活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b/>
          <w:bCs/>
          <w:sz w:val="32"/>
          <w:szCs w:val="32"/>
        </w:rPr>
        <w:t>优化法治化营商环境。</w:t>
      </w:r>
      <w:r>
        <w:rPr>
          <w:rFonts w:hint="eastAsia" w:ascii="仿宋_GB2312" w:hAnsi="仿宋_GB2312" w:eastAsia="仿宋_GB2312" w:cs="仿宋_GB2312"/>
          <w:bCs/>
          <w:sz w:val="32"/>
          <w:szCs w:val="32"/>
        </w:rPr>
        <w:t>广泛开展“惠企增效”法治宣传活动。</w:t>
      </w:r>
      <w:r>
        <w:rPr>
          <w:rFonts w:hint="eastAsia" w:ascii="仿宋_GB2312" w:hAnsi="仿宋_GB2312" w:eastAsia="仿宋_GB2312" w:cs="仿宋_GB2312"/>
          <w:sz w:val="32"/>
          <w:szCs w:val="32"/>
        </w:rPr>
        <w:t>6月20日，六里桥街道组织召开2024年职工安全教育大讲堂活动。7月9日，街道组织开展物业联盟参观交流活动，街道各部门工作人员就安全生产、垃圾分类等方面的法律法规进行现场普法。</w:t>
      </w:r>
      <w:r>
        <w:rPr>
          <w:rFonts w:hint="eastAsia" w:ascii="仿宋_GB2312" w:hAnsi="仿宋_GB2312" w:eastAsia="仿宋_GB2312" w:cs="仿宋_GB2312"/>
          <w:bCs/>
          <w:sz w:val="32"/>
          <w:szCs w:val="32"/>
        </w:rPr>
        <w:t>精准开展“助企纾困”法律服务活动，</w:t>
      </w:r>
      <w:r>
        <w:rPr>
          <w:rFonts w:hint="eastAsia" w:ascii="仿宋_GB2312" w:hAnsi="仿宋_GB2312" w:eastAsia="仿宋_GB2312" w:cs="仿宋_GB2312"/>
          <w:sz w:val="32"/>
          <w:szCs w:val="32"/>
        </w:rPr>
        <w:t>落实市级“服务包”重点项目，协助企业办理涉法相关事宜，及时解决企业急愁难办问题，助力法治服务环境再优化、再提升。8月底，街道召开农村集体经济组织合同法律风险问题专题提示会，邀请专业律师对参会人员进行法治培训，推动各村（社区）完善合同管理制度，提高合同管理水平。</w:t>
      </w:r>
    </w:p>
    <w:p>
      <w:pPr>
        <w:pStyle w:val="10"/>
        <w:widowControl/>
        <w:spacing w:beforeAutospacing="0" w:afterAutospacing="0"/>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3．提高基层治理效能。</w:t>
      </w:r>
      <w:r>
        <w:rPr>
          <w:rFonts w:hint="eastAsia" w:ascii="仿宋_GB2312" w:hAnsi="仿宋_GB2312" w:eastAsia="仿宋_GB2312" w:cs="仿宋_GB2312"/>
          <w:sz w:val="32"/>
          <w:szCs w:val="32"/>
        </w:rPr>
        <w:t>积极践行探索首都法治社会建设，紧紧围绕解决影响社区、村和谐稳定的源头性、根本性、基础性问题，紧紧围绕群众诉求，着力破解治理难点，集中力量解决高频共性诉求，不断提高“接诉即办”三率水平。最大限度地实现矛盾纠纷“发现得早、控制得住、化解得了、处理得好”，确保做到“小事不出社区、村，大事不出街道、矛盾不上交”，筑牢维护社会和谐稳定的坚固防线。今年9月，街道在辖区三个村成立</w:t>
      </w:r>
      <w:r>
        <w:rPr>
          <w:rFonts w:hint="eastAsia" w:ascii="仿宋_GB2312" w:hAnsi="仿宋" w:eastAsia="仿宋_GB2312" w:cs="仿宋"/>
          <w:sz w:val="32"/>
          <w:szCs w:val="32"/>
        </w:rPr>
        <w:t>“智慧法律驿站”，进一步推进“法律明白人”工作，坚持和发展新时代“枫桥经验”，注重收集社情民意，及时发现苗头性、倾向性隐患问题，妥善调处化解矛盾纠纷，积极引导广大村民通过法律援助、人民调解、劳动仲裁、诉讼等方式维护自身合法权益等领域进一步发挥作用，努力做到“小事不出村”、就地能解决，守牢安全底线，当好平安稳定“调解员”。</w:t>
      </w:r>
    </w:p>
    <w:p>
      <w:pPr>
        <w:pStyle w:val="10"/>
        <w:widowControl/>
        <w:spacing w:beforeAutospacing="0" w:afterAutospacing="0"/>
        <w:ind w:firstLine="643" w:firstLineChars="200"/>
        <w:jc w:val="both"/>
        <w:rPr>
          <w:rFonts w:ascii="楷体_GB2312" w:hAnsi="仿宋_GB2312" w:eastAsia="楷体_GB2312" w:cs="仿宋_GB2312"/>
          <w:b/>
          <w:bCs/>
          <w:sz w:val="32"/>
          <w:szCs w:val="32"/>
        </w:rPr>
      </w:pPr>
      <w:r>
        <w:rPr>
          <w:rFonts w:hint="eastAsia" w:ascii="楷体_GB2312" w:hAnsi="仿宋_GB2312" w:eastAsia="楷体_GB2312" w:cs="仿宋_GB2312"/>
          <w:b/>
          <w:bCs/>
          <w:sz w:val="32"/>
          <w:szCs w:val="32"/>
        </w:rPr>
        <w:t>（三）加快提升科学民主和依法决策水平</w:t>
      </w:r>
    </w:p>
    <w:p>
      <w:pPr>
        <w:pStyle w:val="10"/>
        <w:widowControl/>
        <w:spacing w:beforeAutospacing="0" w:afterAutospacing="0"/>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1．落实重大行政决策程序。</w:t>
      </w:r>
      <w:r>
        <w:rPr>
          <w:rFonts w:hint="eastAsia" w:ascii="仿宋_GB2312" w:hAnsi="仿宋_GB2312" w:eastAsia="仿宋_GB2312" w:cs="仿宋_GB2312"/>
          <w:sz w:val="32"/>
          <w:szCs w:val="32"/>
        </w:rPr>
        <w:t xml:space="preserve">严格落实《重大行政决策程序暂行条例》，健全完善规范性文件合法性审核机制，加强工作统筹指导，推行风险管理制度，加大规范性文件备案监督力度。切实发挥法律顾问在重大决策、规范性文件合法合规性审查等工作中重要作用。 </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bCs/>
          <w:kern w:val="0"/>
          <w:sz w:val="32"/>
          <w:szCs w:val="32"/>
        </w:rPr>
        <w:t>严格规范性文件合法性审核和备案。</w:t>
      </w:r>
      <w:r>
        <w:rPr>
          <w:rFonts w:hint="eastAsia" w:ascii="仿宋_GB2312" w:hAnsi="仿宋_GB2312" w:eastAsia="仿宋_GB2312" w:cs="仿宋_GB2312"/>
          <w:kern w:val="0"/>
          <w:sz w:val="32"/>
          <w:szCs w:val="32"/>
        </w:rPr>
        <w:t>切实履行本地区本部门行政规范性文件合法性审核工作第一责任人工作，定期清理规范性文件并及时报备，对本单位的行政规范性文件实行动态化、精细化管理。聘请专业律师就行政执法日常涉法文件进行合法性审核，做好事前监督，严防出现“越权文件”“违法文件”；邀请律师参与典型性行政执法案件讨论，就行政执法风险防控做出预判，做好过程监督；行政诉讼、行政复议案件中，执法队指派专人与代理律师建立“一对一”联系，做好事后监督工作。今年街道作为被告的行政诉讼案件5件，行政复议案件7件，按时提交答复、答辩、证据材料，并聘请法律顾问积极参与应诉。截至目前，共收到检察建议书3份，针对检察建议，细化落实举措，取得积极成效。</w:t>
      </w:r>
    </w:p>
    <w:p>
      <w:pPr>
        <w:pStyle w:val="10"/>
        <w:widowControl/>
        <w:spacing w:beforeAutospacing="0" w:afterAutospacing="0"/>
        <w:ind w:firstLine="643" w:firstLineChars="200"/>
        <w:jc w:val="both"/>
        <w:rPr>
          <w:rFonts w:ascii="楷体_GB2312" w:hAnsi="仿宋_GB2312" w:eastAsia="楷体_GB2312" w:cs="仿宋_GB2312"/>
          <w:b/>
          <w:bCs/>
          <w:sz w:val="32"/>
          <w:szCs w:val="32"/>
        </w:rPr>
      </w:pPr>
      <w:r>
        <w:rPr>
          <w:rFonts w:hint="eastAsia" w:ascii="楷体_GB2312" w:hAnsi="仿宋_GB2312" w:eastAsia="楷体_GB2312" w:cs="仿宋_GB2312"/>
          <w:b/>
          <w:bCs/>
          <w:sz w:val="32"/>
          <w:szCs w:val="32"/>
        </w:rPr>
        <w:t>（四）持续推进行政执法规范和效能</w:t>
      </w:r>
    </w:p>
    <w:p>
      <w:pPr>
        <w:ind w:firstLine="643" w:firstLineChars="200"/>
        <w:rPr>
          <w:rFonts w:ascii="仿宋_GB2312" w:hAnsi="仿宋" w:eastAsia="仿宋_GB2312"/>
          <w:sz w:val="32"/>
          <w:szCs w:val="32"/>
        </w:rPr>
      </w:pPr>
      <w:r>
        <w:rPr>
          <w:rFonts w:hint="eastAsia" w:ascii="仿宋_GB2312" w:hAnsi="仿宋" w:eastAsia="仿宋_GB2312"/>
          <w:b/>
          <w:bCs/>
          <w:sz w:val="32"/>
          <w:szCs w:val="32"/>
        </w:rPr>
        <w:t>1.持续开展“疏整促”专项行动。</w:t>
      </w:r>
      <w:r>
        <w:rPr>
          <w:rFonts w:hint="eastAsia" w:ascii="仿宋_GB2312" w:hAnsi="仿宋" w:eastAsia="仿宋_GB2312"/>
          <w:sz w:val="32"/>
          <w:szCs w:val="32"/>
        </w:rPr>
        <w:t>治理占道经营、“开墙打洞”等行为，查处并规范店外经营、乱堆物料等扰乱公共区域秩序违规经营行为，查处并取缔无照经营行为，严控新生违法建设。</w:t>
      </w:r>
      <w:r>
        <w:rPr>
          <w:rFonts w:hint="eastAsia" w:ascii="仿宋_GB2312" w:hAnsi="宋体" w:eastAsia="仿宋_GB2312"/>
          <w:sz w:val="32"/>
          <w:szCs w:val="32"/>
        </w:rPr>
        <w:t>开展地下空间安全隐患专项检查，</w:t>
      </w:r>
      <w:r>
        <w:rPr>
          <w:rFonts w:hint="eastAsia" w:ascii="仿宋_GB2312" w:hAnsi="仿宋" w:eastAsia="仿宋_GB2312"/>
          <w:sz w:val="32"/>
          <w:szCs w:val="32"/>
        </w:rPr>
        <w:t>摸排</w:t>
      </w:r>
      <w:r>
        <w:rPr>
          <w:rFonts w:hint="eastAsia" w:ascii="仿宋_GB2312" w:hAnsi="仿宋_GB2312" w:eastAsia="仿宋_GB2312" w:cs="仿宋_GB2312"/>
          <w:sz w:val="32"/>
          <w:szCs w:val="32"/>
        </w:rPr>
        <w:t>整治群租房</w:t>
      </w:r>
      <w:r>
        <w:rPr>
          <w:rFonts w:hint="eastAsia" w:ascii="仿宋_GB2312" w:hAnsi="仿宋" w:eastAsia="仿宋_GB2312"/>
          <w:sz w:val="32"/>
          <w:szCs w:val="32"/>
        </w:rPr>
        <w:t>。</w:t>
      </w:r>
      <w:r>
        <w:rPr>
          <w:rFonts w:hint="eastAsia" w:ascii="仿宋_GB2312" w:hAnsi="仿宋_GB2312" w:eastAsia="仿宋_GB2312" w:cs="仿宋_GB2312"/>
          <w:sz w:val="32"/>
          <w:szCs w:val="32"/>
        </w:rPr>
        <w:t>完成揭网见绿地块10块，总面积0.93万平方米</w:t>
      </w:r>
      <w:r>
        <w:rPr>
          <w:rStyle w:val="13"/>
          <w:rFonts w:hint="eastAsia" w:ascii="仿宋_GB2312" w:hAnsi="楷体_GB2312" w:eastAsia="仿宋_GB2312" w:cs="楷体_GB2312"/>
          <w:sz w:val="32"/>
          <w:szCs w:val="32"/>
          <w:shd w:val="clear" w:color="auto" w:fill="FFFFFF"/>
        </w:rPr>
        <w:t>。</w:t>
      </w:r>
      <w:r>
        <w:rPr>
          <w:rFonts w:hint="eastAsia" w:ascii="仿宋_GB2312" w:hAnsi="仿宋_GB2312" w:eastAsia="仿宋_GB2312" w:cs="仿宋_GB2312"/>
          <w:sz w:val="32"/>
          <w:szCs w:val="32"/>
        </w:rPr>
        <w:t>加快实施城市更新行动，用好“一办一院一平台多伙伴”工作机制。</w:t>
      </w:r>
    </w:p>
    <w:p>
      <w:pPr>
        <w:overflowPunct w:val="0"/>
        <w:topLinePunct/>
        <w:ind w:firstLine="643" w:firstLineChars="200"/>
        <w:rPr>
          <w:rStyle w:val="13"/>
          <w:rFonts w:ascii="仿宋_GB2312" w:hAnsi="仿宋_GB2312" w:eastAsia="仿宋_GB2312" w:cs="仿宋_GB2312"/>
          <w:b w:val="0"/>
          <w:sz w:val="32"/>
          <w:szCs w:val="32"/>
          <w:shd w:val="clear" w:color="auto" w:fill="FFFFFF"/>
        </w:rPr>
      </w:pPr>
      <w:r>
        <w:rPr>
          <w:rFonts w:hint="eastAsia" w:ascii="仿宋_GB2312" w:hAnsi="仿宋" w:eastAsia="仿宋_GB2312"/>
          <w:b/>
          <w:bCs/>
          <w:sz w:val="32"/>
          <w:szCs w:val="32"/>
        </w:rPr>
        <w:t>2.扎实推进生态文明建设。</w:t>
      </w:r>
      <w:r>
        <w:rPr>
          <w:rStyle w:val="13"/>
          <w:rFonts w:hint="eastAsia" w:ascii="仿宋_GB2312" w:hAnsi="仿宋_GB2312" w:eastAsia="仿宋_GB2312" w:cs="仿宋_GB2312"/>
          <w:b w:val="0"/>
          <w:sz w:val="32"/>
          <w:szCs w:val="32"/>
          <w:shd w:val="clear" w:color="auto" w:fill="FFFFFF"/>
        </w:rPr>
        <w:t>截至9月，PM2.5全区第7名，TSP浓度全区第7名，城乡环境建设考核全区第11名。加强辖区5处在施工地动态监管，做好10块裸地苫盖工作。</w:t>
      </w:r>
      <w:r>
        <w:rPr>
          <w:rFonts w:hint="eastAsia" w:ascii="仿宋_GB2312" w:hAnsi="仿宋_GB2312" w:eastAsia="仿宋_GB2312" w:cs="仿宋_GB2312"/>
          <w:sz w:val="32"/>
          <w:szCs w:val="32"/>
        </w:rPr>
        <w:t>严格落实林长制、</w:t>
      </w:r>
      <w:r>
        <w:rPr>
          <w:rStyle w:val="13"/>
          <w:rFonts w:hint="eastAsia" w:ascii="仿宋_GB2312" w:hAnsi="仿宋_GB2312" w:eastAsia="仿宋_GB2312" w:cs="仿宋_GB2312"/>
          <w:b w:val="0"/>
          <w:sz w:val="32"/>
          <w:szCs w:val="32"/>
          <w:shd w:val="clear" w:color="auto" w:fill="FFFFFF"/>
        </w:rPr>
        <w:t>河长制，</w:t>
      </w:r>
      <w:r>
        <w:rPr>
          <w:rFonts w:hint="eastAsia" w:ascii="仿宋_GB2312" w:hAnsi="仿宋_GB2312" w:eastAsia="仿宋_GB2312" w:cs="仿宋_GB2312"/>
          <w:sz w:val="32"/>
          <w:szCs w:val="32"/>
        </w:rPr>
        <w:t>“一长两员”累计开展巡林5392人次、9450公里，</w:t>
      </w:r>
      <w:r>
        <w:rPr>
          <w:rStyle w:val="13"/>
          <w:rFonts w:hint="eastAsia" w:ascii="仿宋_GB2312" w:hAnsi="仿宋_GB2312" w:eastAsia="仿宋_GB2312" w:cs="仿宋_GB2312"/>
          <w:b w:val="0"/>
          <w:sz w:val="32"/>
          <w:szCs w:val="32"/>
          <w:shd w:val="clear" w:color="auto" w:fill="FFFFFF"/>
        </w:rPr>
        <w:t>各级河长累计巡河893人次、1750余千米。开展“清管行动”，清掏专业雨水设施170余处，解决西翠路雨污混接重点点位3处，做好辖区河道水质保护工作。持续推进“金角银边”工程，完成4处示范点位建设。</w:t>
      </w:r>
    </w:p>
    <w:p>
      <w:pPr>
        <w:overflowPunct w:val="0"/>
        <w:topLinePunct/>
        <w:ind w:firstLine="630" w:firstLineChars="196"/>
        <w:rPr>
          <w:rFonts w:ascii="仿宋_GB2312" w:hAnsi="仿宋_GB2312" w:eastAsia="仿宋_GB2312" w:cs="仿宋_GB2312"/>
          <w:b/>
          <w:sz w:val="32"/>
          <w:szCs w:val="32"/>
        </w:rPr>
      </w:pPr>
      <w:r>
        <w:rPr>
          <w:rFonts w:hint="eastAsia" w:ascii="仿宋_GB2312" w:hAnsi="仿宋" w:eastAsia="仿宋_GB2312"/>
          <w:b/>
          <w:bCs/>
          <w:sz w:val="32"/>
          <w:szCs w:val="32"/>
        </w:rPr>
        <w:t>3.强化城市管理精细化。</w:t>
      </w:r>
      <w:r>
        <w:rPr>
          <w:rFonts w:hint="eastAsia" w:ascii="仿宋_GB2312" w:hAnsi="仿宋_GB2312" w:eastAsia="仿宋_GB2312" w:cs="仿宋_GB2312"/>
          <w:sz w:val="32"/>
          <w:szCs w:val="32"/>
        </w:rPr>
        <w:t>积极构建“街道、社区、居民区”生活垃圾分类网格治理体系，</w:t>
      </w:r>
      <w:r>
        <w:rPr>
          <w:rFonts w:hint="eastAsia" w:ascii="仿宋_GB2312" w:hAnsi="仿宋_GB2312" w:eastAsia="仿宋_GB2312" w:cs="仿宋_GB2312"/>
          <w:bCs/>
          <w:sz w:val="32"/>
          <w:szCs w:val="32"/>
        </w:rPr>
        <w:t>永翌公馆、小井润园一区等4个居民小区获评北京市垃圾分类示范小区</w:t>
      </w:r>
      <w:r>
        <w:rPr>
          <w:rFonts w:hint="eastAsia" w:ascii="仿宋_GB2312" w:hAnsi="仿宋_GB2312" w:eastAsia="仿宋_GB2312" w:cs="仿宋_GB2312"/>
          <w:sz w:val="32"/>
          <w:szCs w:val="32"/>
        </w:rPr>
        <w:t>，截至9月，垃圾分类综合排名全区第3名。加快青塔六里桥街区控规编制。望园东里4号楼老旧小区改造圆满完工。</w:t>
      </w:r>
      <w:r>
        <w:rPr>
          <w:rStyle w:val="13"/>
          <w:rFonts w:hint="eastAsia" w:ascii="仿宋_GB2312" w:hAnsi="仿宋_GB2312" w:eastAsia="仿宋_GB2312" w:cs="仿宋_GB2312"/>
          <w:b w:val="0"/>
          <w:sz w:val="32"/>
          <w:szCs w:val="32"/>
          <w:shd w:val="clear" w:color="auto" w:fill="FFFFFF"/>
        </w:rPr>
        <w:t>对莲花池西路开展交通综合整治，清拖外阜、僵尸车辆20余辆，设置隔离设施1000米，道路通行秩序明显改善。</w:t>
      </w:r>
    </w:p>
    <w:p>
      <w:pPr>
        <w:overflowPunct w:val="0"/>
        <w:topLinePunct/>
        <w:ind w:firstLine="643" w:firstLineChars="200"/>
        <w:rPr>
          <w:rFonts w:ascii="仿宋_GB2312" w:hAnsi="仿宋_GB2312" w:eastAsia="仿宋_GB2312" w:cs="仿宋_GB2312"/>
          <w:sz w:val="32"/>
          <w:szCs w:val="32"/>
        </w:rPr>
      </w:pPr>
      <w:r>
        <w:rPr>
          <w:rFonts w:hint="eastAsia" w:ascii="仿宋_GB2312" w:hAnsi="仿宋" w:eastAsia="仿宋_GB2312"/>
          <w:b/>
          <w:bCs/>
          <w:sz w:val="32"/>
          <w:szCs w:val="32"/>
        </w:rPr>
        <w:t>4.统筹规划创建工作。</w:t>
      </w:r>
      <w:r>
        <w:rPr>
          <w:rFonts w:hint="eastAsia" w:ascii="仿宋_GB2312" w:hAnsi="仿宋_GB2312" w:eastAsia="仿宋_GB2312" w:cs="仿宋_GB2312"/>
          <w:sz w:val="32"/>
          <w:szCs w:val="32"/>
        </w:rPr>
        <w:t>指导社区发动物业等力量做好街道公共区域病媒生物防制工作，部署平房区、老旧小区等重难点区域的鼠药补发和迎检工作。</w:t>
      </w:r>
      <w:r>
        <w:rPr>
          <w:rStyle w:val="13"/>
          <w:rFonts w:hint="eastAsia" w:ascii="仿宋_GB2312" w:hAnsi="仿宋_GB2312" w:eastAsia="仿宋_GB2312" w:cs="仿宋_GB2312"/>
          <w:b w:val="0"/>
          <w:sz w:val="32"/>
          <w:szCs w:val="32"/>
          <w:shd w:val="clear" w:color="auto" w:fill="FFFFFF"/>
        </w:rPr>
        <w:t>推动市容环境卫生责任制，动员社会单位主动履责，巡查门店500余家。</w:t>
      </w:r>
      <w:r>
        <w:rPr>
          <w:rFonts w:hint="eastAsia" w:ascii="仿宋_GB2312" w:hAnsi="仿宋_GB2312" w:eastAsia="仿宋_GB2312" w:cs="仿宋_GB2312"/>
          <w:sz w:val="32"/>
        </w:rPr>
        <w:t>开展丰台区2024年全国城市节水宣传周活动19场，推选丰台区节水先进家庭10户。</w:t>
      </w:r>
      <w:r>
        <w:rPr>
          <w:rFonts w:hint="eastAsia" w:ascii="仿宋_GB2312" w:hAnsi="仿宋_GB2312" w:eastAsia="仿宋_GB2312" w:cs="仿宋_GB2312"/>
          <w:sz w:val="32"/>
          <w:szCs w:val="32"/>
        </w:rPr>
        <w:t>深化创城工作，建立健全三级通联体系，严格落实指标要求，开展创城指标培训1场，完成创城问卷调查2次，做好“六清”专项行动。</w:t>
      </w:r>
    </w:p>
    <w:p>
      <w:pPr>
        <w:ind w:firstLine="643" w:firstLineChars="200"/>
        <w:rPr>
          <w:rFonts w:ascii="仿宋_GB2312" w:eastAsia="仿宋_GB2312"/>
          <w:sz w:val="32"/>
          <w:szCs w:val="32"/>
        </w:rPr>
      </w:pPr>
      <w:r>
        <w:rPr>
          <w:rFonts w:hint="eastAsia" w:ascii="仿宋_GB2312" w:hAnsi="仿宋_GB2312" w:eastAsia="仿宋_GB2312" w:cs="仿宋_GB2312"/>
          <w:b/>
          <w:bCs/>
          <w:sz w:val="32"/>
          <w:szCs w:val="32"/>
        </w:rPr>
        <w:t>5.深化安全排查整治。</w:t>
      </w:r>
      <w:r>
        <w:rPr>
          <w:rFonts w:hint="eastAsia" w:ascii="仿宋_GB2312" w:eastAsia="仿宋_GB2312"/>
          <w:sz w:val="32"/>
          <w:szCs w:val="32"/>
        </w:rPr>
        <w:t>严格落实安全生产责任制，全面提升“企安安”使用质效，辖区在账单位2716家，完成检查17394家次，已达到100%全覆盖。开展七点半入户敲门行动，安全提示3000余次，张贴宣传海报4000余张，制作张贴禁停警示标识2200个、消防提示标牌4035个。</w:t>
      </w:r>
      <w:r>
        <w:rPr>
          <w:rFonts w:hint="eastAsia" w:ascii="仿宋_GB2312" w:eastAsia="仿宋_GB2312" w:cs="仿宋_GB2312"/>
          <w:sz w:val="32"/>
          <w:szCs w:val="32"/>
        </w:rPr>
        <w:t>完善限额以下施工管理，组织安全巡查770余次，出动800余人次，确保施工现场检查全覆盖。夯实火灾防控群防群治基础，在丰台区组织的消防自防自救力量比武竞赛中，街道在2</w:t>
      </w:r>
      <w:r>
        <w:rPr>
          <w:rFonts w:ascii="仿宋_GB2312" w:eastAsia="仿宋_GB2312" w:cs="仿宋_GB2312"/>
          <w:sz w:val="32"/>
          <w:szCs w:val="32"/>
        </w:rPr>
        <w:t>6</w:t>
      </w:r>
      <w:r>
        <w:rPr>
          <w:rFonts w:hint="eastAsia" w:ascii="仿宋_GB2312" w:eastAsia="仿宋_GB2312" w:cs="仿宋_GB2312"/>
          <w:sz w:val="32"/>
          <w:szCs w:val="32"/>
        </w:rPr>
        <w:t>个街镇中排名第三，有一人次在市区比武中分别取得个人第二名。</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kern w:val="0"/>
          <w:sz w:val="32"/>
          <w:szCs w:val="32"/>
        </w:rPr>
        <w:t>6.贯彻落实行政执法三项制度。</w:t>
      </w:r>
      <w:r>
        <w:rPr>
          <w:rFonts w:hint="eastAsia" w:ascii="仿宋_GB2312" w:hAnsi="仿宋_GB2312" w:eastAsia="仿宋_GB2312" w:cs="仿宋_GB2312"/>
          <w:kern w:val="0"/>
          <w:sz w:val="32"/>
          <w:szCs w:val="32"/>
        </w:rPr>
        <w:t>组织学习、贯彻落实北京市人民政府办公厅关于印发《北京市行政执法公示办法》《北京市行政执法全过程记录办法》《北京市重大行政执法决定法制审核办法》的通知（京政办发[2021]17号）等相关文件,着力推进行政执法透明、规范、合法、公正。街道执法人员全部持证执法，出具相应的执法文书，告知行政相对人执法事由、执法依据等依法应当告知的事项；通过行政执法公示等相关平台，将执法信息按照国家和本市的有关规定公开。</w:t>
      </w:r>
    </w:p>
    <w:p>
      <w:pPr>
        <w:pStyle w:val="10"/>
        <w:widowControl/>
        <w:spacing w:beforeAutospacing="0" w:afterAutospacing="0"/>
        <w:ind w:firstLine="643" w:firstLineChars="200"/>
        <w:jc w:val="both"/>
        <w:rPr>
          <w:rFonts w:ascii="楷体_GB2312" w:hAnsi="仿宋_GB2312" w:eastAsia="楷体_GB2312" w:cs="仿宋_GB2312"/>
          <w:b/>
          <w:bCs/>
          <w:sz w:val="32"/>
          <w:szCs w:val="32"/>
        </w:rPr>
      </w:pPr>
      <w:r>
        <w:rPr>
          <w:rFonts w:hint="eastAsia" w:ascii="楷体_GB2312" w:hAnsi="仿宋_GB2312" w:eastAsia="楷体_GB2312" w:cs="仿宋_GB2312"/>
          <w:b/>
          <w:bCs/>
          <w:sz w:val="32"/>
          <w:szCs w:val="32"/>
        </w:rPr>
        <w:t>（五）健全矛盾纠纷行政预防化解体系</w:t>
      </w:r>
    </w:p>
    <w:p>
      <w:pPr>
        <w:pStyle w:val="10"/>
        <w:widowControl/>
        <w:spacing w:beforeAutospacing="0" w:afterAutospacing="0"/>
        <w:ind w:firstLine="643"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1.发挥人民调解职能作用。</w:t>
      </w:r>
      <w:r>
        <w:rPr>
          <w:rFonts w:hint="eastAsia" w:ascii="仿宋_GB2312" w:hAnsi="仿宋_GB2312" w:eastAsia="仿宋_GB2312" w:cs="仿宋_GB2312"/>
          <w:kern w:val="2"/>
          <w:sz w:val="32"/>
          <w:szCs w:val="32"/>
        </w:rPr>
        <w:t>以“保障农民工合法权益公共法律服务专项维权”，“维护残疾人合法权益公共法律服务专项维权”，“进一步推进基层坚持和发展新时代“枫桥经验”，筑牢人民调解‘第一道防线’，做好人民调解矛盾纠纷排查化解工作”等活动为契机，着力提升人民调解工作质效。</w:t>
      </w:r>
    </w:p>
    <w:p>
      <w:pPr>
        <w:pStyle w:val="10"/>
        <w:widowControl/>
        <w:spacing w:beforeAutospacing="0" w:afterAutospacing="0"/>
        <w:ind w:firstLine="643"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2.加强矛盾纠纷排查化解。</w:t>
      </w:r>
      <w:r>
        <w:rPr>
          <w:rFonts w:hint="eastAsia" w:ascii="仿宋_GB2312" w:hAnsi="仿宋_GB2312" w:eastAsia="仿宋_GB2312" w:cs="仿宋_GB2312"/>
          <w:kern w:val="2"/>
          <w:sz w:val="32"/>
          <w:szCs w:val="32"/>
        </w:rPr>
        <w:t>在重大节假日，重大活动期间，聚焦重点地区、重点人群和矛盾纠纷集中领域，特别是涉婚姻家庭、邻里、房屋、宅基地、医患等常见纠纷，坚持抓早抓小、应调尽调、法理情相结合等方式方法，依法及时就地予以化解，切实把风险隐患解决在基层，化解在萌芽状态。今年以来共开展矛盾纠纷排查500余次，及时发现、预防，取得了矛盾纠纷及时化解不激化、高效化解不反复、就地化解不上行的成效。</w:t>
      </w:r>
    </w:p>
    <w:p>
      <w:pPr>
        <w:pStyle w:val="10"/>
        <w:widowControl/>
        <w:spacing w:beforeAutospacing="0" w:afterAutospacing="0"/>
        <w:ind w:firstLine="643" w:firstLineChars="200"/>
        <w:jc w:val="both"/>
        <w:rPr>
          <w:rFonts w:ascii="仿宋_GB2312" w:hAnsi="仿宋_GB2312" w:eastAsia="仿宋_GB2312" w:cs="仿宋_GB2312"/>
          <w:kern w:val="2"/>
          <w:sz w:val="32"/>
          <w:szCs w:val="32"/>
        </w:rPr>
      </w:pPr>
      <w:r>
        <w:rPr>
          <w:rFonts w:ascii="仿宋_GB2312" w:hAnsi="仿宋_GB2312" w:eastAsia="仿宋_GB2312" w:cs="仿宋_GB2312"/>
          <w:b/>
          <w:bCs/>
          <w:kern w:val="2"/>
          <w:sz w:val="32"/>
          <w:szCs w:val="32"/>
        </w:rPr>
        <w:t>3</w:t>
      </w:r>
      <w:r>
        <w:rPr>
          <w:rFonts w:hint="eastAsia" w:ascii="仿宋_GB2312" w:hAnsi="仿宋_GB2312" w:eastAsia="仿宋_GB2312" w:cs="仿宋_GB2312"/>
          <w:b/>
          <w:bCs/>
          <w:kern w:val="2"/>
          <w:sz w:val="32"/>
          <w:szCs w:val="32"/>
        </w:rPr>
        <w:t>.积极落实“一社区一法律顾问”工作。</w:t>
      </w:r>
      <w:r>
        <w:rPr>
          <w:rFonts w:hint="eastAsia" w:ascii="仿宋_GB2312" w:hAnsi="仿宋_GB2312" w:eastAsia="仿宋_GB2312" w:cs="仿宋_GB2312"/>
          <w:kern w:val="2"/>
          <w:sz w:val="32"/>
          <w:szCs w:val="32"/>
        </w:rPr>
        <w:t>街道19个社村实现村居法律顾问全覆盖。目前，社区法律顾问年均为社区提供各类服务280余次，包括法律咨询、人民调解、法治宣传等各类法律服务。据不完全统计，今年社区法律顾问参与矛盾纠纷调解45次；充分利用公共法律服务，安排专业律师开展法律法规宣讲；每周二由值班律师现场提供法律咨询及调解服务。为解决群众纠纷、调解矛盾，提供更专业的法律服务，切实将矛盾化解在萌芽阶段。</w:t>
      </w:r>
    </w:p>
    <w:p>
      <w:pPr>
        <w:pStyle w:val="10"/>
        <w:widowControl/>
        <w:spacing w:beforeAutospacing="0" w:afterAutospacing="0"/>
        <w:ind w:firstLine="640" w:firstLineChars="200"/>
        <w:jc w:val="both"/>
        <w:rPr>
          <w:rFonts w:ascii="黑体" w:hAnsi="黑体" w:eastAsia="黑体" w:cs="仿宋_GB2312"/>
          <w:bCs/>
          <w:kern w:val="2"/>
          <w:sz w:val="32"/>
          <w:szCs w:val="32"/>
        </w:rPr>
      </w:pPr>
      <w:r>
        <w:rPr>
          <w:rFonts w:hint="eastAsia" w:ascii="黑体" w:hAnsi="黑体" w:eastAsia="黑体" w:cs="仿宋_GB2312"/>
          <w:bCs/>
          <w:kern w:val="2"/>
          <w:sz w:val="32"/>
          <w:szCs w:val="32"/>
        </w:rPr>
        <w:t>二、2024年法治政府建设存在的问题与不足</w:t>
      </w:r>
    </w:p>
    <w:p>
      <w:pPr>
        <w:pStyle w:val="10"/>
        <w:widowControl/>
        <w:spacing w:beforeAutospacing="0" w:afterAutospacing="0"/>
        <w:ind w:firstLine="643" w:firstLineChars="200"/>
        <w:jc w:val="both"/>
        <w:rPr>
          <w:rFonts w:ascii="楷体_GB2312" w:hAnsi="仿宋_GB2312" w:eastAsia="楷体_GB2312" w:cs="仿宋_GB2312"/>
          <w:b/>
          <w:bCs/>
          <w:sz w:val="32"/>
          <w:szCs w:val="32"/>
        </w:rPr>
      </w:pPr>
      <w:r>
        <w:rPr>
          <w:rFonts w:hint="eastAsia" w:ascii="楷体_GB2312" w:hAnsi="仿宋_GB2312" w:eastAsia="楷体_GB2312" w:cs="仿宋_GB2312"/>
          <w:b/>
          <w:bCs/>
          <w:sz w:val="32"/>
          <w:szCs w:val="32"/>
        </w:rPr>
        <w:t>（一）法治宣传创新力度不够，普法教育形式较为单一</w:t>
      </w:r>
    </w:p>
    <w:p>
      <w:pPr>
        <w:pStyle w:val="10"/>
        <w:widowControl/>
        <w:spacing w:beforeAutospacing="0" w:afterAutospacing="0"/>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随着新媒体时代的到来，公众了解法律的途径越来越多元化，运用新媒体手段开展宣传工作有待加强。</w:t>
      </w:r>
    </w:p>
    <w:p>
      <w:pPr>
        <w:pStyle w:val="10"/>
        <w:widowControl/>
        <w:spacing w:beforeAutospacing="0" w:afterAutospacing="0"/>
        <w:ind w:firstLine="643" w:firstLineChars="200"/>
        <w:jc w:val="both"/>
        <w:rPr>
          <w:rFonts w:ascii="楷体_GB2312" w:hAnsi="仿宋_GB2312" w:eastAsia="楷体_GB2312" w:cs="仿宋_GB2312"/>
          <w:b/>
          <w:bCs/>
          <w:sz w:val="32"/>
          <w:szCs w:val="32"/>
        </w:rPr>
      </w:pPr>
      <w:r>
        <w:rPr>
          <w:rFonts w:hint="eastAsia" w:ascii="楷体_GB2312" w:hAnsi="仿宋_GB2312" w:eastAsia="楷体_GB2312" w:cs="仿宋_GB2312"/>
          <w:b/>
          <w:bCs/>
          <w:sz w:val="32"/>
          <w:szCs w:val="32"/>
        </w:rPr>
        <w:t>（二）面对新形势和新要求，专业人员素质有待提高</w:t>
      </w:r>
    </w:p>
    <w:p>
      <w:pPr>
        <w:pStyle w:val="10"/>
        <w:widowControl/>
        <w:spacing w:beforeAutospacing="0" w:afterAutospacing="0"/>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行政执法职权下放乡镇街道，物业管理、垃圾分类、民法典等诸多法律法规相继颁布实施，面对新形势、新要求，行政执法、执法监督人员的业务素质有待进一步提高。</w:t>
      </w:r>
    </w:p>
    <w:p>
      <w:pPr>
        <w:pStyle w:val="10"/>
        <w:widowControl/>
        <w:spacing w:beforeAutospacing="0" w:afterAutospacing="0"/>
        <w:ind w:firstLine="643" w:firstLineChars="200"/>
        <w:jc w:val="both"/>
        <w:rPr>
          <w:rFonts w:ascii="楷体_GB2312" w:hAnsi="仿宋_GB2312" w:eastAsia="楷体_GB2312" w:cs="仿宋_GB2312"/>
          <w:b/>
          <w:bCs/>
          <w:sz w:val="32"/>
          <w:szCs w:val="32"/>
        </w:rPr>
      </w:pPr>
      <w:r>
        <w:rPr>
          <w:rFonts w:hint="eastAsia" w:ascii="楷体_GB2312" w:hAnsi="仿宋_GB2312" w:eastAsia="楷体_GB2312" w:cs="仿宋_GB2312"/>
          <w:b/>
          <w:bCs/>
          <w:sz w:val="32"/>
          <w:szCs w:val="32"/>
        </w:rPr>
        <w:t>（三）司法所整体建设有待加强，法制审核力量不足</w:t>
      </w:r>
    </w:p>
    <w:p>
      <w:pPr>
        <w:pStyle w:val="10"/>
        <w:widowControl/>
        <w:spacing w:beforeAutospacing="0" w:afterAutospacing="0"/>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bCs/>
          <w:sz w:val="32"/>
          <w:szCs w:val="32"/>
        </w:rPr>
        <w:t>街道</w:t>
      </w:r>
      <w:r>
        <w:rPr>
          <w:rFonts w:hint="eastAsia" w:ascii="仿宋_GB2312" w:hAnsi="仿宋_GB2312" w:eastAsia="仿宋_GB2312" w:cs="仿宋_GB2312"/>
          <w:sz w:val="32"/>
          <w:szCs w:val="32"/>
        </w:rPr>
        <w:t>年度执法案卷较多，目前仅有1名司法所工作人员通过司法考试。执法监督考核多，解决问题有待加强，街道执法监督低效率运转状态有待改善。</w:t>
      </w:r>
    </w:p>
    <w:p>
      <w:pPr>
        <w:pStyle w:val="10"/>
        <w:widowControl/>
        <w:spacing w:beforeAutospacing="0" w:afterAutospacing="0"/>
        <w:ind w:firstLine="640" w:firstLineChars="200"/>
        <w:jc w:val="both"/>
        <w:rPr>
          <w:rFonts w:ascii="黑体" w:hAnsi="黑体" w:eastAsia="黑体" w:cs="仿宋_GB2312"/>
          <w:bCs/>
          <w:kern w:val="2"/>
          <w:sz w:val="32"/>
          <w:szCs w:val="32"/>
        </w:rPr>
      </w:pPr>
      <w:r>
        <w:rPr>
          <w:rFonts w:hint="eastAsia" w:ascii="黑体" w:hAnsi="黑体" w:eastAsia="黑体" w:cs="仿宋_GB2312"/>
          <w:bCs/>
          <w:kern w:val="2"/>
          <w:sz w:val="32"/>
          <w:szCs w:val="32"/>
        </w:rPr>
        <w:t>三、2024年党政主要负责人履行推进法治政府建设第一责任人职责情况</w:t>
      </w:r>
    </w:p>
    <w:p>
      <w:pPr>
        <w:pStyle w:val="10"/>
        <w:widowControl/>
        <w:spacing w:beforeAutospacing="0" w:afterAutospacing="0"/>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2024年，在区委区政府的坚强领导下，在机关干部和社区村干部的大力支持下，我街道党政主要负责人坚持以习近平新时代中国特色社会主义思想为引领，全面贯彻执行市委、区委各项决策部署，团结带领街道全体干部增强“四个意识”、坚定“四个自信”、做到“两个维护”，切实履行街道党工委书记职责，较圆满地完成了年度工作任务。</w:t>
      </w:r>
    </w:p>
    <w:p>
      <w:pPr>
        <w:pStyle w:val="10"/>
        <w:widowControl/>
        <w:spacing w:beforeAutospacing="0" w:afterAutospacing="0"/>
        <w:ind w:firstLine="643" w:firstLineChars="200"/>
        <w:jc w:val="both"/>
        <w:rPr>
          <w:rFonts w:ascii="仿宋_GB2312" w:hAnsi="仿宋_GB2312" w:eastAsia="仿宋_GB2312" w:cs="仿宋_GB2312"/>
          <w:b/>
          <w:sz w:val="32"/>
          <w:szCs w:val="32"/>
        </w:rPr>
      </w:pPr>
      <w:r>
        <w:rPr>
          <w:rFonts w:hint="eastAsia" w:ascii="楷体_GB2312" w:hAnsi="仿宋_GB2312" w:eastAsia="楷体_GB2312" w:cs="仿宋_GB2312"/>
          <w:b/>
          <w:bCs/>
          <w:sz w:val="32"/>
          <w:szCs w:val="32"/>
        </w:rPr>
        <w:t>1.带头学习贯彻落实。</w:t>
      </w:r>
      <w:r>
        <w:rPr>
          <w:rFonts w:hint="eastAsia" w:ascii="仿宋_GB2312" w:hAnsi="仿宋_GB2312" w:eastAsia="仿宋_GB2312" w:cs="仿宋_GB2312"/>
          <w:sz w:val="32"/>
          <w:szCs w:val="32"/>
        </w:rPr>
        <w:t xml:space="preserve">一年来，街道党政主要负责人自觉坚定理想信念，弘扬伟大建党精神，锤炼政治品德、思想品德和职业道德。深入研读习近平新时代中国特色社会主义思想，学习贯彻党的二十大精神，学习习近平法治思想，用党的最新理论武装头脑、指导实践、推动工作，努力践行全面依法治国理论，深刻领会习近平总书记对北京的系列重要讲话和指示批示精神，立足丰台实际，适应新时代、对标新要求、掌握新方法。 </w:t>
      </w:r>
    </w:p>
    <w:p>
      <w:pPr>
        <w:ind w:firstLine="643" w:firstLineChars="200"/>
        <w:rPr>
          <w:rFonts w:ascii="仿宋_GB2312" w:hAnsi="仿宋_GB2312" w:eastAsia="仿宋_GB2312" w:cs="仿宋_GB2312"/>
          <w:sz w:val="32"/>
          <w:szCs w:val="32"/>
        </w:rPr>
      </w:pPr>
      <w:r>
        <w:rPr>
          <w:rFonts w:hint="eastAsia" w:ascii="楷体_GB2312" w:hAnsi="仿宋_GB2312" w:eastAsia="楷体_GB2312" w:cs="仿宋_GB2312"/>
          <w:b/>
          <w:bCs/>
          <w:kern w:val="0"/>
          <w:sz w:val="32"/>
          <w:szCs w:val="32"/>
        </w:rPr>
        <w:t>2.切实压实党建责任。</w:t>
      </w:r>
      <w:r>
        <w:rPr>
          <w:rFonts w:hint="eastAsia" w:ascii="仿宋_GB2312" w:hAnsi="仿宋_GB2312" w:eastAsia="仿宋_GB2312" w:cs="仿宋_GB2312"/>
          <w:sz w:val="32"/>
          <w:szCs w:val="32"/>
        </w:rPr>
        <w:t>始终贯彻全面从严治党总体要求，认真落实第一责任，始终把政治建设摆在首位，坚决落实街道工委和班子成员全面从严治党责任清单，明确责任分工。牢固树立“第一责任人”意识，全年组织理论学习中心组</w:t>
      </w:r>
      <w:r>
        <w:rPr>
          <w:rFonts w:hint="eastAsia" w:ascii="仿宋_GB2312" w:hAnsi="仿宋_GB2312" w:eastAsia="仿宋_GB2312" w:cs="仿宋_GB2312"/>
          <w:sz w:val="32"/>
          <w:szCs w:val="32"/>
          <w:lang w:eastAsia="zh-CN"/>
        </w:rPr>
        <w:t>学习</w:t>
      </w:r>
      <w:r>
        <w:rPr>
          <w:rFonts w:hint="eastAsia" w:ascii="仿宋_GB2312" w:hAnsi="仿宋_GB2312" w:eastAsia="仿宋_GB2312" w:cs="仿宋_GB2312"/>
          <w:sz w:val="32"/>
          <w:szCs w:val="32"/>
        </w:rPr>
        <w:t>13场、集中研讨7场，深入开展党纪学习教育，指导各基层党组织开展廉政党课220场，观看警示教育片111次。</w:t>
      </w:r>
      <w:r>
        <w:rPr>
          <w:rFonts w:hint="eastAsia" w:ascii="仿宋_GB2312" w:hAnsi="仿宋" w:eastAsia="仿宋_GB2312"/>
          <w:sz w:val="32"/>
          <w:szCs w:val="32"/>
        </w:rPr>
        <w:t>推进党支部标准化规范化建设，</w:t>
      </w:r>
      <w:r>
        <w:rPr>
          <w:rFonts w:hint="eastAsia" w:ascii="仿宋_GB2312" w:hAnsi="仿宋_GB2312" w:eastAsia="仿宋_GB2312" w:cs="仿宋_GB2312"/>
          <w:sz w:val="32"/>
          <w:szCs w:val="32"/>
        </w:rPr>
        <w:t>平稳完成77个基层党支部换届。</w:t>
      </w:r>
    </w:p>
    <w:p>
      <w:pPr>
        <w:ind w:firstLine="643" w:firstLineChars="200"/>
        <w:rPr>
          <w:rFonts w:ascii="仿宋_GB2312" w:hAnsi="仿宋_GB2312" w:eastAsia="仿宋_GB2312" w:cs="仿宋_GB2312"/>
          <w:sz w:val="32"/>
          <w:szCs w:val="32"/>
        </w:rPr>
      </w:pPr>
      <w:r>
        <w:rPr>
          <w:rFonts w:hint="eastAsia" w:ascii="楷体_GB2312" w:hAnsi="仿宋_GB2312" w:eastAsia="楷体_GB2312" w:cs="仿宋_GB2312"/>
          <w:b/>
          <w:bCs/>
          <w:kern w:val="0"/>
          <w:sz w:val="32"/>
          <w:szCs w:val="32"/>
        </w:rPr>
        <w:t>3.抓牢法治思想建设。</w:t>
      </w:r>
      <w:r>
        <w:rPr>
          <w:rFonts w:hint="eastAsia" w:ascii="仿宋_GB2312" w:hAnsi="仿宋_GB2312" w:eastAsia="仿宋_GB2312" w:cs="仿宋_GB2312"/>
          <w:sz w:val="32"/>
          <w:szCs w:val="32"/>
        </w:rPr>
        <w:t>坚持依法治国和以德治国相结合，推动社会主义核心价值观融入法治建设。强化理论武装，理论学习中心组和“三会一课”制度有效落实。健全领导班子集体学法、中心组学法等制度，加强党员领导干部法治教育培训，提升运用法治思维和法治方式推动工作的能力水平。围绕各项中心工作和重点任务，做大做强正面宣传。</w:t>
      </w:r>
    </w:p>
    <w:p>
      <w:pPr>
        <w:ind w:firstLine="643" w:firstLineChars="200"/>
        <w:rPr>
          <w:rFonts w:ascii="仿宋_GB2312" w:hAnsi="仿宋_GB2312" w:eastAsia="仿宋_GB2312" w:cs="仿宋_GB2312"/>
          <w:sz w:val="32"/>
          <w:szCs w:val="32"/>
        </w:rPr>
      </w:pPr>
      <w:r>
        <w:rPr>
          <w:rFonts w:ascii="楷体_GB2312" w:hAnsi="仿宋_GB2312" w:eastAsia="楷体_GB2312" w:cs="仿宋_GB2312"/>
          <w:b/>
          <w:bCs/>
          <w:kern w:val="0"/>
          <w:sz w:val="32"/>
          <w:szCs w:val="32"/>
        </w:rPr>
        <w:t>4</w:t>
      </w:r>
      <w:r>
        <w:rPr>
          <w:rFonts w:hint="eastAsia" w:ascii="楷体_GB2312" w:hAnsi="仿宋_GB2312" w:eastAsia="楷体_GB2312" w:cs="仿宋_GB2312"/>
          <w:b/>
          <w:bCs/>
          <w:kern w:val="0"/>
          <w:sz w:val="32"/>
          <w:szCs w:val="32"/>
        </w:rPr>
        <w:t>.持续加强队伍建设。</w:t>
      </w:r>
      <w:r>
        <w:rPr>
          <w:rFonts w:hint="eastAsia" w:ascii="仿宋_GB2312" w:hAnsi="仿宋_GB2312" w:eastAsia="仿宋_GB2312" w:cs="仿宋_GB2312"/>
          <w:sz w:val="32"/>
          <w:szCs w:val="32"/>
        </w:rPr>
        <w:t>坚持党管干部，选拔任用科级干部7名，新发展党员19名。用好街道党校分校教育主阵地，开展培训40场、涉及党员干部2150人次，选派街道2名科级干部担任“第一书记”和“治理书记”，1名机关干部、6名社区干部、3个基层党组织获得丰台区“两优一先”荣誉。</w:t>
      </w:r>
    </w:p>
    <w:p>
      <w:pPr>
        <w:pStyle w:val="10"/>
        <w:widowControl/>
        <w:spacing w:beforeAutospacing="0" w:afterAutospacing="0"/>
        <w:ind w:firstLine="482" w:firstLineChars="150"/>
        <w:jc w:val="both"/>
        <w:rPr>
          <w:rFonts w:ascii="仿宋_GB2312" w:hAnsi="仿宋_GB2312" w:eastAsia="仿宋_GB2312" w:cs="仿宋_GB2312"/>
          <w:sz w:val="32"/>
          <w:szCs w:val="32"/>
        </w:rPr>
      </w:pPr>
      <w:r>
        <w:rPr>
          <w:rFonts w:ascii="楷体_GB2312" w:hAnsi="仿宋_GB2312" w:eastAsia="楷体_GB2312" w:cs="仿宋_GB2312"/>
          <w:b/>
          <w:bCs/>
          <w:sz w:val="32"/>
          <w:szCs w:val="32"/>
        </w:rPr>
        <w:t>5</w:t>
      </w:r>
      <w:r>
        <w:rPr>
          <w:rFonts w:hint="eastAsia" w:ascii="楷体_GB2312" w:hAnsi="仿宋_GB2312" w:eastAsia="楷体_GB2312" w:cs="仿宋_GB2312"/>
          <w:b/>
          <w:bCs/>
          <w:sz w:val="32"/>
          <w:szCs w:val="32"/>
        </w:rPr>
        <w:t>.加强党风廉政建设。</w:t>
      </w:r>
      <w:r>
        <w:rPr>
          <w:rFonts w:hint="eastAsia" w:ascii="仿宋_GB2312" w:hAnsi="仿宋_GB2312" w:eastAsia="仿宋_GB2312" w:cs="仿宋_GB2312"/>
          <w:sz w:val="32"/>
          <w:szCs w:val="32"/>
        </w:rPr>
        <w:t>严格监督执纪，坚持每季度组织召开党风廉政建设专题分析会，提高廉政防控水平，筑牢拒腐防变思想防线。落实法治建设重大事项向党工委报告制度，督促领导班子其他成员依法办事，不得违规干预司法活动、插手具体案件处理。党政主要负责人不履行或者不正确履行推进法治建设第一责任人职责的，应当依照《中国共产党问责条例》等有关党内法规和国家法律法规，及市、区有关规定予以问责。</w:t>
      </w:r>
    </w:p>
    <w:p>
      <w:pPr>
        <w:ind w:firstLine="643" w:firstLineChars="200"/>
        <w:rPr>
          <w:rFonts w:ascii="仿宋_GB2312" w:hAnsi="仿宋" w:eastAsia="仿宋_GB2312"/>
          <w:sz w:val="32"/>
          <w:szCs w:val="32"/>
        </w:rPr>
      </w:pPr>
      <w:r>
        <w:rPr>
          <w:rFonts w:ascii="楷体_GB2312" w:hAnsi="仿宋_GB2312" w:eastAsia="楷体_GB2312" w:cs="仿宋_GB2312"/>
          <w:b/>
          <w:bCs/>
          <w:kern w:val="0"/>
          <w:sz w:val="32"/>
          <w:szCs w:val="32"/>
        </w:rPr>
        <w:t>6</w:t>
      </w:r>
      <w:r>
        <w:rPr>
          <w:rFonts w:hint="eastAsia" w:ascii="楷体_GB2312" w:hAnsi="仿宋_GB2312" w:eastAsia="楷体_GB2312" w:cs="仿宋_GB2312"/>
          <w:b/>
          <w:bCs/>
          <w:kern w:val="0"/>
          <w:sz w:val="32"/>
          <w:szCs w:val="32"/>
        </w:rPr>
        <w:t>.营造法治营商环境。</w:t>
      </w:r>
      <w:r>
        <w:rPr>
          <w:rFonts w:hint="eastAsia" w:ascii="仿宋_GB2312" w:hAnsi="仿宋" w:eastAsia="仿宋_GB2312"/>
          <w:sz w:val="32"/>
          <w:szCs w:val="32"/>
        </w:rPr>
        <w:t>以发展为目标，落实市级“服务包”重点项目，协助企业办理涉法相关事项，及时解决企业急难愁盼问题，助力法治服务环境再优化、再提升。持续对辖区重点企业及重点异地纳税企业进行走访座谈，关注商务楼宇和辖区企业发展情况，为园区及入驻企业提供“一企一策”政策支持，搭建桥梁加速城市更新和产业焕新，为辖区18家中央单位和驻区部队，构建“主动靠前、倾心倾力、便捷高效”法治服务模式。</w:t>
      </w:r>
    </w:p>
    <w:p>
      <w:pPr>
        <w:pStyle w:val="2"/>
        <w:ind w:left="0" w:leftChars="0" w:firstLine="643" w:firstLineChars="200"/>
        <w:rPr>
          <w:rFonts w:ascii="仿宋_GB2312" w:hAnsi="仿宋_GB2312" w:eastAsia="仿宋_GB2312" w:cs="仿宋_GB2312"/>
          <w:sz w:val="32"/>
          <w:szCs w:val="32"/>
        </w:rPr>
      </w:pPr>
      <w:r>
        <w:rPr>
          <w:rFonts w:ascii="楷体_GB2312" w:hAnsi="仿宋_GB2312" w:eastAsia="楷体_GB2312" w:cs="仿宋_GB2312"/>
          <w:b/>
          <w:bCs/>
          <w:kern w:val="0"/>
          <w:sz w:val="32"/>
          <w:szCs w:val="32"/>
        </w:rPr>
        <w:t>7</w:t>
      </w:r>
      <w:r>
        <w:rPr>
          <w:rFonts w:hint="eastAsia" w:ascii="楷体_GB2312" w:hAnsi="仿宋_GB2312" w:eastAsia="楷体_GB2312" w:cs="仿宋_GB2312"/>
          <w:b/>
          <w:bCs/>
          <w:kern w:val="0"/>
          <w:sz w:val="32"/>
          <w:szCs w:val="32"/>
        </w:rPr>
        <w:t>.提升治理水平。</w:t>
      </w:r>
      <w:r>
        <w:rPr>
          <w:rFonts w:hint="eastAsia" w:ascii="仿宋_GB2312" w:hAnsi="仿宋_GB2312" w:eastAsia="仿宋_GB2312" w:cs="仿宋_GB2312"/>
          <w:sz w:val="32"/>
          <w:szCs w:val="32"/>
        </w:rPr>
        <w:t>不断塑造宜居环境，扎实推进城市精细治理，京铁家园社区“五治融合”工作法获评“北京市党建引领基层治理100招”，社区儿童托育中心成功申报中国计生协向日葵亲子小屋项目，“六色袖标”“六里星光”“绿丝带”志愿服务品牌逐步彰显。全年整改文明城区创建问题359个，同期</w:t>
      </w:r>
      <w:r>
        <w:rPr>
          <w:rStyle w:val="13"/>
          <w:rFonts w:hint="eastAsia" w:ascii="仿宋_GB2312" w:hAnsi="仿宋_GB2312" w:eastAsia="仿宋_GB2312" w:cs="仿宋_GB2312"/>
          <w:sz w:val="32"/>
          <w:szCs w:val="32"/>
          <w:shd w:val="clear" w:color="auto" w:fill="FFFFFF"/>
        </w:rPr>
        <w:t>PM</w:t>
      </w:r>
      <w:r>
        <w:rPr>
          <w:rStyle w:val="13"/>
          <w:rFonts w:hint="eastAsia" w:ascii="仿宋_GB2312" w:hAnsi="仿宋_GB2312" w:eastAsia="仿宋_GB2312" w:cs="仿宋_GB2312"/>
          <w:sz w:val="32"/>
          <w:szCs w:val="32"/>
          <w:shd w:val="clear" w:color="auto" w:fill="FFFFFF"/>
          <w:vertAlign w:val="subscript"/>
        </w:rPr>
        <w:t>2.5</w:t>
      </w:r>
      <w:r>
        <w:rPr>
          <w:rFonts w:hint="eastAsia" w:ascii="仿宋_GB2312" w:hAnsi="仿宋_GB2312" w:eastAsia="仿宋_GB2312" w:cs="仿宋_GB2312"/>
          <w:sz w:val="32"/>
          <w:szCs w:val="32"/>
        </w:rPr>
        <w:t>改善率排名全区第1名，垃圾分类综合排名全区第3名，4个居民小区获评北京市垃圾分类示范小区。</w:t>
      </w:r>
    </w:p>
    <w:p>
      <w:pPr>
        <w:pStyle w:val="10"/>
        <w:widowControl/>
        <w:spacing w:beforeAutospacing="0" w:afterAutospacing="0"/>
        <w:ind w:firstLine="640" w:firstLineChars="200"/>
        <w:jc w:val="both"/>
        <w:rPr>
          <w:rFonts w:ascii="黑体" w:hAnsi="黑体" w:eastAsia="黑体" w:cs="仿宋_GB2312"/>
          <w:bCs/>
          <w:kern w:val="2"/>
          <w:sz w:val="32"/>
          <w:szCs w:val="32"/>
        </w:rPr>
      </w:pPr>
      <w:r>
        <w:rPr>
          <w:rFonts w:hint="eastAsia" w:ascii="黑体" w:hAnsi="黑体" w:eastAsia="黑体" w:cs="仿宋_GB2312"/>
          <w:bCs/>
          <w:kern w:val="2"/>
          <w:sz w:val="32"/>
          <w:szCs w:val="32"/>
        </w:rPr>
        <w:t>四、2025年推进法治政府建设工作安排</w:t>
      </w:r>
    </w:p>
    <w:p>
      <w:pPr>
        <w:pStyle w:val="6"/>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2025年，六里桥街道将坚持以习近平新时代中国特色社会主义思想为指导，全面贯彻党的二十大和二十届三中全会精神，紧扣深入学习宣传贯彻习近平法治思想主题，按照依法治区工作要求，深入开展法治宣传教育，扎实推进基层民主法治建设，进一步提升辖区群众法治意识，提高全社会法治化管理水平，营造平安稳定的良好法治环境。</w:t>
      </w:r>
    </w:p>
    <w:p>
      <w:pPr>
        <w:pStyle w:val="6"/>
        <w:ind w:firstLine="643" w:firstLineChars="200"/>
        <w:rPr>
          <w:rFonts w:ascii="仿宋_GB2312" w:hAnsi="仿宋_GB2312" w:eastAsia="仿宋_GB2312" w:cs="仿宋_GB2312"/>
          <w:kern w:val="0"/>
          <w:sz w:val="32"/>
          <w:szCs w:val="32"/>
        </w:rPr>
      </w:pPr>
      <w:r>
        <w:rPr>
          <w:rFonts w:hint="eastAsia" w:ascii="楷体_GB2312" w:hAnsi="仿宋_GB2312" w:eastAsia="楷体_GB2312" w:cs="仿宋_GB2312"/>
          <w:b/>
          <w:bCs/>
          <w:kern w:val="0"/>
          <w:sz w:val="32"/>
          <w:szCs w:val="32"/>
        </w:rPr>
        <w:t>1、加强干部学法用法，提高依法行政水平。</w:t>
      </w:r>
      <w:r>
        <w:rPr>
          <w:rFonts w:hint="eastAsia" w:ascii="仿宋_GB2312" w:hAnsi="仿宋_GB2312" w:eastAsia="仿宋_GB2312" w:cs="仿宋_GB2312"/>
          <w:kern w:val="0"/>
          <w:sz w:val="32"/>
          <w:szCs w:val="32"/>
        </w:rPr>
        <w:t>继续将法治学习纳入街道党委中心组学习内容，深入学习党的二十大精神和依法治国基本方略，通过理论学习中心组</w:t>
      </w:r>
      <w:bookmarkStart w:id="0" w:name="_GoBack"/>
      <w:bookmarkEnd w:id="0"/>
      <w:r>
        <w:rPr>
          <w:rFonts w:hint="eastAsia" w:ascii="仿宋_GB2312" w:hAnsi="仿宋_GB2312" w:eastAsia="仿宋_GB2312" w:cs="仿宋_GB2312"/>
          <w:kern w:val="0"/>
          <w:sz w:val="32"/>
          <w:szCs w:val="32"/>
        </w:rPr>
        <w:t>、机关干部法治培训等方式，加强权威读本的学习宣传工作,推动街道领导干部带头学习，模范践行，深化理论联系实际，加快提升领导干部的依法行政能力。</w:t>
      </w:r>
    </w:p>
    <w:p>
      <w:pPr>
        <w:pStyle w:val="6"/>
        <w:ind w:firstLine="643" w:firstLineChars="200"/>
        <w:rPr>
          <w:rFonts w:ascii="仿宋_GB2312" w:hAnsi="仿宋_GB2312" w:eastAsia="仿宋_GB2312" w:cs="仿宋_GB2312"/>
          <w:sz w:val="32"/>
          <w:szCs w:val="32"/>
        </w:rPr>
      </w:pPr>
      <w:r>
        <w:rPr>
          <w:rFonts w:hint="eastAsia" w:ascii="楷体_GB2312" w:hAnsi="仿宋_GB2312" w:eastAsia="楷体_GB2312" w:cs="仿宋_GB2312"/>
          <w:b/>
          <w:bCs/>
          <w:kern w:val="0"/>
          <w:sz w:val="32"/>
          <w:szCs w:val="32"/>
        </w:rPr>
        <w:t>2、拓宽法治建设宣传，做好“八五”普法收官工作。</w:t>
      </w:r>
      <w:r>
        <w:rPr>
          <w:rFonts w:hint="eastAsia" w:ascii="仿宋_GB2312" w:hAnsi="仿宋_GB2312" w:eastAsia="仿宋_GB2312" w:cs="仿宋_GB2312"/>
          <w:kern w:val="0"/>
          <w:sz w:val="32"/>
          <w:szCs w:val="32"/>
        </w:rPr>
        <w:t>按照“八五”普法工作要求，大力开展常态化、重点化、多样化的法治宣传教育活动，普及宣传法律法规知识，营造学法、用法、懂法，守法的良好社会氛围。</w:t>
      </w:r>
    </w:p>
    <w:p>
      <w:pPr>
        <w:tabs>
          <w:tab w:val="left" w:pos="440"/>
        </w:tabs>
        <w:ind w:firstLine="643" w:firstLineChars="200"/>
        <w:rPr>
          <w:rFonts w:ascii="仿宋_GB2312" w:hAnsi="微软雅黑" w:eastAsia="仿宋_GB2312"/>
          <w:sz w:val="32"/>
          <w:szCs w:val="32"/>
        </w:rPr>
      </w:pPr>
      <w:r>
        <w:rPr>
          <w:rFonts w:hint="eastAsia" w:ascii="楷体_GB2312" w:hAnsi="仿宋_GB2312" w:eastAsia="楷体_GB2312" w:cs="仿宋_GB2312"/>
          <w:b/>
          <w:bCs/>
          <w:kern w:val="0"/>
          <w:sz w:val="32"/>
          <w:szCs w:val="32"/>
        </w:rPr>
        <w:t>3、构建法治营商环境，以法治推动社会诚信建设。</w:t>
      </w:r>
      <w:r>
        <w:rPr>
          <w:rFonts w:hint="eastAsia" w:ascii="仿宋_GB2312" w:hAnsi="仿宋_GB2312" w:eastAsia="仿宋_GB2312" w:cs="仿宋_GB2312"/>
          <w:bCs/>
          <w:kern w:val="0"/>
          <w:sz w:val="32"/>
          <w:szCs w:val="32"/>
        </w:rPr>
        <w:t>提高</w:t>
      </w:r>
      <w:r>
        <w:rPr>
          <w:rFonts w:hint="eastAsia" w:ascii="仿宋_GB2312" w:hAnsi="微软雅黑" w:eastAsia="仿宋_GB2312"/>
          <w:sz w:val="32"/>
          <w:szCs w:val="32"/>
        </w:rPr>
        <w:t>政务服务标准化、规范化、便利化，推进政府机构、职能、权限、程序、责任法定化。广泛开展优化营商环境的政策与法规宣传，全面落实行政执法“三项制度”，加大对经营主体合法权益保护，鼓励当事人主动纠正违法失信行为、消除不良影响、重塑良好信用，切实用法治促进形成诚实守信的社会风尚。</w:t>
      </w:r>
    </w:p>
    <w:p>
      <w:pPr>
        <w:ind w:firstLine="643" w:firstLineChars="200"/>
        <w:rPr>
          <w:rFonts w:ascii="仿宋_GB2312" w:hAnsi="仿宋_GB2312" w:eastAsia="仿宋_GB2312" w:cs="仿宋_GB2312"/>
          <w:sz w:val="32"/>
          <w:szCs w:val="32"/>
        </w:rPr>
      </w:pPr>
      <w:r>
        <w:rPr>
          <w:rFonts w:hint="eastAsia" w:ascii="楷体_GB2312" w:hAnsi="仿宋_GB2312" w:eastAsia="楷体_GB2312" w:cs="仿宋_GB2312"/>
          <w:b/>
          <w:bCs/>
          <w:kern w:val="0"/>
          <w:sz w:val="32"/>
          <w:szCs w:val="32"/>
        </w:rPr>
        <w:t>4、立足群众诉求，依法开展基层社会治理。</w:t>
      </w:r>
      <w:r>
        <w:rPr>
          <w:rFonts w:hint="eastAsia" w:ascii="仿宋_GB2312" w:hAnsi="仿宋_GB2312" w:eastAsia="仿宋_GB2312" w:cs="仿宋_GB2312"/>
          <w:sz w:val="32"/>
          <w:szCs w:val="32"/>
        </w:rPr>
        <w:t>践行以人民为中心的发展思想，拓宽收集诉求渠道，主动倾听群众心声，依法做好接诉即办各项工作，努力解决群众急事、要事、难事，奋力答好辖区高质量发展答卷。</w:t>
      </w:r>
    </w:p>
    <w:p>
      <w:pPr>
        <w:pStyle w:val="10"/>
        <w:widowControl/>
        <w:spacing w:beforeAutospacing="0" w:afterAutospacing="0" w:line="560" w:lineRule="exact"/>
        <w:ind w:firstLine="5120" w:firstLineChars="1600"/>
        <w:jc w:val="both"/>
        <w:rPr>
          <w:rFonts w:ascii="仿宋_GB2312" w:hAnsi="仿宋_GB2312" w:eastAsia="仿宋_GB2312" w:cs="仿宋_GB2312"/>
          <w:sz w:val="32"/>
          <w:szCs w:val="32"/>
        </w:rPr>
      </w:pPr>
    </w:p>
    <w:p>
      <w:pPr>
        <w:pStyle w:val="10"/>
        <w:widowControl/>
        <w:spacing w:beforeAutospacing="0" w:afterAutospacing="0" w:line="560" w:lineRule="exact"/>
        <w:ind w:firstLine="5120" w:firstLineChars="1600"/>
        <w:jc w:val="both"/>
        <w:rPr>
          <w:rFonts w:ascii="仿宋_GB2312" w:hAnsi="仿宋_GB2312" w:eastAsia="仿宋_GB2312" w:cs="仿宋_GB2312"/>
          <w:sz w:val="32"/>
          <w:szCs w:val="32"/>
        </w:rPr>
      </w:pPr>
    </w:p>
    <w:p>
      <w:pPr>
        <w:pStyle w:val="10"/>
        <w:widowControl/>
        <w:spacing w:beforeAutospacing="0" w:afterAutospacing="0" w:line="560" w:lineRule="exact"/>
        <w:ind w:firstLine="5120" w:firstLineChars="1600"/>
        <w:jc w:val="both"/>
        <w:rPr>
          <w:rFonts w:ascii="仿宋_GB2312" w:hAnsi="仿宋_GB2312" w:eastAsia="仿宋_GB2312" w:cs="仿宋_GB2312"/>
          <w:sz w:val="32"/>
          <w:szCs w:val="32"/>
        </w:rPr>
      </w:pPr>
    </w:p>
    <w:p>
      <w:pPr>
        <w:pStyle w:val="10"/>
        <w:widowControl/>
        <w:spacing w:beforeAutospacing="0" w:afterAutospacing="0" w:line="560" w:lineRule="exact"/>
        <w:ind w:firstLine="5120" w:firstLineChars="1600"/>
        <w:jc w:val="both"/>
        <w:rPr>
          <w:rFonts w:ascii="仿宋_GB2312" w:hAnsi="仿宋_GB2312" w:eastAsia="仿宋_GB2312" w:cs="仿宋_GB2312"/>
          <w:sz w:val="32"/>
          <w:szCs w:val="32"/>
        </w:rPr>
      </w:pPr>
    </w:p>
    <w:p>
      <w:pPr>
        <w:pStyle w:val="10"/>
        <w:widowControl/>
        <w:spacing w:beforeAutospacing="0" w:afterAutospacing="0" w:line="560" w:lineRule="exact"/>
        <w:ind w:firstLine="5120" w:firstLineChars="16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六里桥街道办事处</w:t>
      </w:r>
    </w:p>
    <w:p>
      <w:pPr>
        <w:pStyle w:val="10"/>
        <w:widowControl/>
        <w:spacing w:beforeAutospacing="0" w:afterAutospacing="0"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二〇二四年十二月二十日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思源黑体"/>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思源黑体">
    <w:panose1 w:val="020B0500000000000000"/>
    <w:charset w:val="86"/>
    <w:family w:val="auto"/>
    <w:pitch w:val="default"/>
    <w:sig w:usb0="30000083" w:usb1="2BDF3C10" w:usb2="00000016" w:usb3="00000000" w:csb0="602E0107" w:csb1="00000000"/>
  </w:font>
  <w:font w:name="方正小标宋_GBK">
    <w:altName w:val="国标仿宋"/>
    <w:panose1 w:val="02000000000000000000"/>
    <w:charset w:val="86"/>
    <w:family w:val="auto"/>
    <w:pitch w:val="default"/>
    <w:sig w:usb0="00000000" w:usb1="00000000" w:usb2="00000000" w:usb3="00000000" w:csb0="00040000" w:csb1="00000000"/>
  </w:font>
  <w:font w:name="国标仿宋">
    <w:panose1 w:val="02000500000000000000"/>
    <w:charset w:val="86"/>
    <w:family w:val="auto"/>
    <w:pitch w:val="default"/>
    <w:sig w:usb0="A00002BF" w:usb1="38C77CFA" w:usb2="00000016" w:usb3="00000000" w:csb0="00060007" w:csb1="00000000"/>
  </w:font>
  <w:font w:name="方正小标宋简体">
    <w:altName w:val="仿宋_GB2312"/>
    <w:panose1 w:val="02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Courier New">
    <w:altName w:val="DejaVu Sans"/>
    <w:panose1 w:val="02070309020205020404"/>
    <w:charset w:val="00"/>
    <w:family w:val="modern"/>
    <w:pitch w:val="default"/>
    <w:sig w:usb0="00000000" w:usb1="00000000" w:usb2="00000009" w:usb3="00000000" w:csb0="000001FF" w:csb1="00000000"/>
  </w:font>
  <w:font w:name="方正仿宋_GB2312">
    <w:altName w:val="思源黑体"/>
    <w:panose1 w:val="00000000000000000000"/>
    <w:charset w:val="86"/>
    <w:family w:val="auto"/>
    <w:pitch w:val="default"/>
    <w:sig w:usb0="00000000" w:usb1="00000000"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altName w:val="思源黑体"/>
    <w:panose1 w:val="02010609060101010101"/>
    <w:charset w:val="86"/>
    <w:family w:val="modern"/>
    <w:pitch w:val="default"/>
    <w:sig w:usb0="00000000" w:usb1="00000000"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pPr>
          <w:pStyle w:val="7"/>
          <w:jc w:val="center"/>
        </w:pPr>
        <w:r>
          <w:fldChar w:fldCharType="begin"/>
        </w:r>
        <w:r>
          <w:instrText xml:space="preserve">PAGE   \* MERGEFORMAT</w:instrText>
        </w:r>
        <w:r>
          <w:fldChar w:fldCharType="separate"/>
        </w:r>
        <w:r>
          <w:rPr>
            <w:lang w:val="zh-CN"/>
          </w:rPr>
          <w:t>1</w:t>
        </w:r>
        <w: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Y0ZjRkY2U0MTc0ZTQ5YjI2ZWYyODgzYTIxMTE2MjMifQ=="/>
  </w:docVars>
  <w:rsids>
    <w:rsidRoot w:val="23C4666F"/>
    <w:rsid w:val="00025AB4"/>
    <w:rsid w:val="00076E52"/>
    <w:rsid w:val="0008585E"/>
    <w:rsid w:val="00095336"/>
    <w:rsid w:val="000D63B2"/>
    <w:rsid w:val="00101FC7"/>
    <w:rsid w:val="00145B4E"/>
    <w:rsid w:val="001A75A5"/>
    <w:rsid w:val="001B10AA"/>
    <w:rsid w:val="002046C1"/>
    <w:rsid w:val="00211805"/>
    <w:rsid w:val="002970F0"/>
    <w:rsid w:val="002E01C1"/>
    <w:rsid w:val="00307E06"/>
    <w:rsid w:val="00380C07"/>
    <w:rsid w:val="003F1817"/>
    <w:rsid w:val="0047442B"/>
    <w:rsid w:val="004865A6"/>
    <w:rsid w:val="00487B6A"/>
    <w:rsid w:val="0053302F"/>
    <w:rsid w:val="00570302"/>
    <w:rsid w:val="00606E74"/>
    <w:rsid w:val="006333C7"/>
    <w:rsid w:val="00636B8B"/>
    <w:rsid w:val="00660AAB"/>
    <w:rsid w:val="006776E6"/>
    <w:rsid w:val="006B79AE"/>
    <w:rsid w:val="006C0320"/>
    <w:rsid w:val="00704BE1"/>
    <w:rsid w:val="00740E22"/>
    <w:rsid w:val="00773C1C"/>
    <w:rsid w:val="00782E1D"/>
    <w:rsid w:val="007C39BF"/>
    <w:rsid w:val="007C7045"/>
    <w:rsid w:val="007E5B51"/>
    <w:rsid w:val="007F12FD"/>
    <w:rsid w:val="00877ED9"/>
    <w:rsid w:val="00943209"/>
    <w:rsid w:val="009C51BA"/>
    <w:rsid w:val="009E2DB0"/>
    <w:rsid w:val="00A1096B"/>
    <w:rsid w:val="00A141C3"/>
    <w:rsid w:val="00AD7570"/>
    <w:rsid w:val="00B21AFB"/>
    <w:rsid w:val="00BD7F37"/>
    <w:rsid w:val="00BE5752"/>
    <w:rsid w:val="00C05DB8"/>
    <w:rsid w:val="00C117EA"/>
    <w:rsid w:val="00C23F0A"/>
    <w:rsid w:val="00C34572"/>
    <w:rsid w:val="00C75318"/>
    <w:rsid w:val="00CF0FB3"/>
    <w:rsid w:val="00DC3216"/>
    <w:rsid w:val="00DD36A3"/>
    <w:rsid w:val="00DE4209"/>
    <w:rsid w:val="00DF526B"/>
    <w:rsid w:val="00E15DF5"/>
    <w:rsid w:val="00EA314C"/>
    <w:rsid w:val="00EA627B"/>
    <w:rsid w:val="00EC0BB2"/>
    <w:rsid w:val="00F35C36"/>
    <w:rsid w:val="00F854A6"/>
    <w:rsid w:val="00FE7931"/>
    <w:rsid w:val="02105DD0"/>
    <w:rsid w:val="02714395"/>
    <w:rsid w:val="02750329"/>
    <w:rsid w:val="02BE0D65"/>
    <w:rsid w:val="03086AA8"/>
    <w:rsid w:val="0332621A"/>
    <w:rsid w:val="03BB6210"/>
    <w:rsid w:val="04A3117E"/>
    <w:rsid w:val="04A56E5D"/>
    <w:rsid w:val="04F85928"/>
    <w:rsid w:val="05002B6F"/>
    <w:rsid w:val="05412745"/>
    <w:rsid w:val="05EA4235"/>
    <w:rsid w:val="060078E9"/>
    <w:rsid w:val="06717C65"/>
    <w:rsid w:val="06B34F7C"/>
    <w:rsid w:val="076D3C67"/>
    <w:rsid w:val="07B216D8"/>
    <w:rsid w:val="07C27951"/>
    <w:rsid w:val="07CF62EF"/>
    <w:rsid w:val="07FE2B6F"/>
    <w:rsid w:val="08294536"/>
    <w:rsid w:val="086A3D60"/>
    <w:rsid w:val="08FE41F4"/>
    <w:rsid w:val="094C5B8E"/>
    <w:rsid w:val="097C663E"/>
    <w:rsid w:val="09B5725D"/>
    <w:rsid w:val="0A64315D"/>
    <w:rsid w:val="0AA03A6A"/>
    <w:rsid w:val="0AD6392F"/>
    <w:rsid w:val="0B9837F8"/>
    <w:rsid w:val="0CF06F2A"/>
    <w:rsid w:val="0D1F511A"/>
    <w:rsid w:val="0D4679F1"/>
    <w:rsid w:val="0E7E366C"/>
    <w:rsid w:val="10FE7D21"/>
    <w:rsid w:val="12FE7EC7"/>
    <w:rsid w:val="130B7EEE"/>
    <w:rsid w:val="14A5684C"/>
    <w:rsid w:val="14B5332E"/>
    <w:rsid w:val="15783F61"/>
    <w:rsid w:val="15842905"/>
    <w:rsid w:val="1688488C"/>
    <w:rsid w:val="17B15508"/>
    <w:rsid w:val="17D631C0"/>
    <w:rsid w:val="17F63063"/>
    <w:rsid w:val="1841525A"/>
    <w:rsid w:val="189A1485"/>
    <w:rsid w:val="18A84B5D"/>
    <w:rsid w:val="18B21538"/>
    <w:rsid w:val="18CD6371"/>
    <w:rsid w:val="19166D99"/>
    <w:rsid w:val="199624B8"/>
    <w:rsid w:val="19E95742"/>
    <w:rsid w:val="1A3D12D5"/>
    <w:rsid w:val="1A903AFB"/>
    <w:rsid w:val="1AA2382E"/>
    <w:rsid w:val="1AC4394F"/>
    <w:rsid w:val="1B703027"/>
    <w:rsid w:val="1BF65BDF"/>
    <w:rsid w:val="1D9E2F6D"/>
    <w:rsid w:val="1DEF6D8A"/>
    <w:rsid w:val="1E524ABE"/>
    <w:rsid w:val="1EBB7078"/>
    <w:rsid w:val="1F1C595D"/>
    <w:rsid w:val="1F406AD1"/>
    <w:rsid w:val="1F4E188E"/>
    <w:rsid w:val="20CA2518"/>
    <w:rsid w:val="216435EB"/>
    <w:rsid w:val="228D26CE"/>
    <w:rsid w:val="23C4666F"/>
    <w:rsid w:val="242A28CA"/>
    <w:rsid w:val="246F29D3"/>
    <w:rsid w:val="248F6BD1"/>
    <w:rsid w:val="24E80F1F"/>
    <w:rsid w:val="24EE7D9B"/>
    <w:rsid w:val="250B2AF0"/>
    <w:rsid w:val="254774AC"/>
    <w:rsid w:val="25565C47"/>
    <w:rsid w:val="271C2272"/>
    <w:rsid w:val="27343A60"/>
    <w:rsid w:val="27FB47B4"/>
    <w:rsid w:val="28772FD2"/>
    <w:rsid w:val="28FC354A"/>
    <w:rsid w:val="29223568"/>
    <w:rsid w:val="296323DA"/>
    <w:rsid w:val="296F5223"/>
    <w:rsid w:val="2972384F"/>
    <w:rsid w:val="2A73381A"/>
    <w:rsid w:val="2A932366"/>
    <w:rsid w:val="2B146082"/>
    <w:rsid w:val="2C962C9B"/>
    <w:rsid w:val="2C972AC7"/>
    <w:rsid w:val="2D59777F"/>
    <w:rsid w:val="2D671AAB"/>
    <w:rsid w:val="2EC41B6D"/>
    <w:rsid w:val="2F43032D"/>
    <w:rsid w:val="2F5729E1"/>
    <w:rsid w:val="30E81B43"/>
    <w:rsid w:val="31C64CB7"/>
    <w:rsid w:val="321317DD"/>
    <w:rsid w:val="329C3440"/>
    <w:rsid w:val="32BF3AE8"/>
    <w:rsid w:val="32DD4FAB"/>
    <w:rsid w:val="33727DEA"/>
    <w:rsid w:val="33C341A1"/>
    <w:rsid w:val="34747D14"/>
    <w:rsid w:val="34781430"/>
    <w:rsid w:val="34D56612"/>
    <w:rsid w:val="35586B6B"/>
    <w:rsid w:val="359C114E"/>
    <w:rsid w:val="35F920FC"/>
    <w:rsid w:val="36426FC2"/>
    <w:rsid w:val="36E3011C"/>
    <w:rsid w:val="37C54278"/>
    <w:rsid w:val="384D4981"/>
    <w:rsid w:val="388E7BD9"/>
    <w:rsid w:val="38E075A3"/>
    <w:rsid w:val="3A5B15D7"/>
    <w:rsid w:val="3A6374E1"/>
    <w:rsid w:val="3BA70186"/>
    <w:rsid w:val="3C7E335B"/>
    <w:rsid w:val="3CB11983"/>
    <w:rsid w:val="3CC71547"/>
    <w:rsid w:val="3D2D6B2F"/>
    <w:rsid w:val="3DE14071"/>
    <w:rsid w:val="3EBF5223"/>
    <w:rsid w:val="3ED97245"/>
    <w:rsid w:val="3EF7492C"/>
    <w:rsid w:val="3FD96707"/>
    <w:rsid w:val="3FDA11F0"/>
    <w:rsid w:val="400E2984"/>
    <w:rsid w:val="40575BCB"/>
    <w:rsid w:val="446E63AB"/>
    <w:rsid w:val="44A45929"/>
    <w:rsid w:val="44BE5DD5"/>
    <w:rsid w:val="44ED6924"/>
    <w:rsid w:val="45322F35"/>
    <w:rsid w:val="45763769"/>
    <w:rsid w:val="461A0599"/>
    <w:rsid w:val="469344A1"/>
    <w:rsid w:val="46B300A5"/>
    <w:rsid w:val="46D87B0C"/>
    <w:rsid w:val="46E24C8C"/>
    <w:rsid w:val="481908AA"/>
    <w:rsid w:val="486712E8"/>
    <w:rsid w:val="49865F45"/>
    <w:rsid w:val="49AD702E"/>
    <w:rsid w:val="4A1D0657"/>
    <w:rsid w:val="4A802994"/>
    <w:rsid w:val="4AA2290B"/>
    <w:rsid w:val="4AEB61C1"/>
    <w:rsid w:val="4B472048"/>
    <w:rsid w:val="4B6978CC"/>
    <w:rsid w:val="4B7E045A"/>
    <w:rsid w:val="4CE27936"/>
    <w:rsid w:val="4CFB1DE6"/>
    <w:rsid w:val="4D106251"/>
    <w:rsid w:val="4E2D2E33"/>
    <w:rsid w:val="4E4372D5"/>
    <w:rsid w:val="4E742810"/>
    <w:rsid w:val="4EDE2193"/>
    <w:rsid w:val="4F656FD4"/>
    <w:rsid w:val="50714FD3"/>
    <w:rsid w:val="5095081C"/>
    <w:rsid w:val="50AA076B"/>
    <w:rsid w:val="51505A58"/>
    <w:rsid w:val="51954A02"/>
    <w:rsid w:val="52097713"/>
    <w:rsid w:val="52360AEF"/>
    <w:rsid w:val="52770B21"/>
    <w:rsid w:val="528F5286"/>
    <w:rsid w:val="5294763D"/>
    <w:rsid w:val="52BD2F9B"/>
    <w:rsid w:val="536C1D08"/>
    <w:rsid w:val="539A4AC7"/>
    <w:rsid w:val="541A1191"/>
    <w:rsid w:val="55436A98"/>
    <w:rsid w:val="56927CD7"/>
    <w:rsid w:val="56DA7D27"/>
    <w:rsid w:val="57B10631"/>
    <w:rsid w:val="57E427B4"/>
    <w:rsid w:val="587873A1"/>
    <w:rsid w:val="58C6010C"/>
    <w:rsid w:val="5943175D"/>
    <w:rsid w:val="5ADA7E9F"/>
    <w:rsid w:val="5C3B2BBF"/>
    <w:rsid w:val="5D0C19F1"/>
    <w:rsid w:val="5D3C6BEF"/>
    <w:rsid w:val="5D8A2CFB"/>
    <w:rsid w:val="5DA84550"/>
    <w:rsid w:val="5E850121"/>
    <w:rsid w:val="5EE4753E"/>
    <w:rsid w:val="5EF04BE3"/>
    <w:rsid w:val="5EF05EE3"/>
    <w:rsid w:val="5FBC7C8B"/>
    <w:rsid w:val="5FE315A4"/>
    <w:rsid w:val="5FEA0B84"/>
    <w:rsid w:val="5FEB66AA"/>
    <w:rsid w:val="605F28A6"/>
    <w:rsid w:val="607B7A2E"/>
    <w:rsid w:val="60DB671F"/>
    <w:rsid w:val="614C732A"/>
    <w:rsid w:val="61BA07B9"/>
    <w:rsid w:val="62D00E29"/>
    <w:rsid w:val="6305399C"/>
    <w:rsid w:val="64030466"/>
    <w:rsid w:val="64134E27"/>
    <w:rsid w:val="641F4B74"/>
    <w:rsid w:val="66171FA7"/>
    <w:rsid w:val="66A55198"/>
    <w:rsid w:val="66EC3434"/>
    <w:rsid w:val="66FB5425"/>
    <w:rsid w:val="67544B35"/>
    <w:rsid w:val="67955879"/>
    <w:rsid w:val="67DF6AF4"/>
    <w:rsid w:val="686B482C"/>
    <w:rsid w:val="68BE2BAE"/>
    <w:rsid w:val="68C006D4"/>
    <w:rsid w:val="69821E2D"/>
    <w:rsid w:val="6A587C04"/>
    <w:rsid w:val="6A7F636D"/>
    <w:rsid w:val="6B39476E"/>
    <w:rsid w:val="6B3B04E6"/>
    <w:rsid w:val="6D564FAA"/>
    <w:rsid w:val="6D611D5A"/>
    <w:rsid w:val="6D836174"/>
    <w:rsid w:val="6DBD1FDD"/>
    <w:rsid w:val="6DFA4688"/>
    <w:rsid w:val="6E0024B1"/>
    <w:rsid w:val="6E041063"/>
    <w:rsid w:val="6E224699"/>
    <w:rsid w:val="6E5450E9"/>
    <w:rsid w:val="6E565636"/>
    <w:rsid w:val="6E9973E0"/>
    <w:rsid w:val="6FAA79E8"/>
    <w:rsid w:val="6FB30672"/>
    <w:rsid w:val="6FDE58E3"/>
    <w:rsid w:val="6FF670D1"/>
    <w:rsid w:val="70F52EE5"/>
    <w:rsid w:val="711041C2"/>
    <w:rsid w:val="712F63C0"/>
    <w:rsid w:val="715A543E"/>
    <w:rsid w:val="718F158B"/>
    <w:rsid w:val="71D21648"/>
    <w:rsid w:val="71EF7BAE"/>
    <w:rsid w:val="731F1EA5"/>
    <w:rsid w:val="74F2076F"/>
    <w:rsid w:val="750A2CD7"/>
    <w:rsid w:val="750B717B"/>
    <w:rsid w:val="75E63744"/>
    <w:rsid w:val="760D6F22"/>
    <w:rsid w:val="76424E1E"/>
    <w:rsid w:val="77794709"/>
    <w:rsid w:val="77CE038C"/>
    <w:rsid w:val="78250553"/>
    <w:rsid w:val="783A4ECE"/>
    <w:rsid w:val="78F16688"/>
    <w:rsid w:val="790C34C1"/>
    <w:rsid w:val="798D4602"/>
    <w:rsid w:val="79F503F9"/>
    <w:rsid w:val="7A080CC1"/>
    <w:rsid w:val="7A6C06BC"/>
    <w:rsid w:val="7BC77B74"/>
    <w:rsid w:val="7BD44F95"/>
    <w:rsid w:val="7BDE7397"/>
    <w:rsid w:val="7BFE17E7"/>
    <w:rsid w:val="7C206CF3"/>
    <w:rsid w:val="7CA83501"/>
    <w:rsid w:val="7CFD1A9F"/>
    <w:rsid w:val="7D24527D"/>
    <w:rsid w:val="7D7A1B55"/>
    <w:rsid w:val="7E10685A"/>
    <w:rsid w:val="DD7F8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qFormat="1" w:uiPriority="99" w:semiHidden="0" w:name="index 9"/>
    <w:lsdException w:uiPriority="0" w:name="toc 1"/>
    <w:lsdException w:uiPriority="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3"/>
    <w:basedOn w:val="1"/>
    <w:next w:val="1"/>
    <w:unhideWhenUsed/>
    <w:qFormat/>
    <w:uiPriority w:val="9"/>
    <w:pPr>
      <w:spacing w:before="100" w:beforeAutospacing="1" w:after="100" w:afterAutospacing="1"/>
      <w:jc w:val="left"/>
      <w:outlineLvl w:val="2"/>
    </w:pPr>
    <w:rPr>
      <w:rFonts w:hint="eastAsia" w:ascii="宋体" w:hAnsi="宋体" w:eastAsia="宋体" w:cs="Times New Roman"/>
      <w:b/>
      <w:kern w:val="0"/>
      <w:sz w:val="27"/>
      <w:szCs w:val="27"/>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840" w:leftChars="400"/>
    </w:pPr>
  </w:style>
  <w:style w:type="paragraph" w:styleId="5">
    <w:name w:val="Body Text"/>
    <w:basedOn w:val="1"/>
    <w:next w:val="1"/>
    <w:qFormat/>
    <w:uiPriority w:val="0"/>
    <w:pPr>
      <w:ind w:left="114"/>
    </w:pPr>
    <w:rPr>
      <w:rFonts w:hint="eastAsia" w:eastAsia="宋体"/>
      <w:sz w:val="30"/>
    </w:rPr>
  </w:style>
  <w:style w:type="paragraph" w:styleId="6">
    <w:name w:val="Plain Text"/>
    <w:basedOn w:val="1"/>
    <w:qFormat/>
    <w:uiPriority w:val="0"/>
    <w:rPr>
      <w:rFonts w:ascii="宋体" w:hAnsi="Courier New"/>
    </w:rPr>
  </w:style>
  <w:style w:type="paragraph" w:styleId="7">
    <w:name w:val="footer"/>
    <w:basedOn w:val="1"/>
    <w:link w:val="18"/>
    <w:unhideWhenUsed/>
    <w:qFormat/>
    <w:uiPriority w:val="99"/>
    <w:pPr>
      <w:tabs>
        <w:tab w:val="center" w:pos="4153"/>
        <w:tab w:val="right" w:pos="8306"/>
      </w:tabs>
      <w:snapToGrid w:val="0"/>
      <w:jc w:val="left"/>
    </w:pPr>
    <w:rPr>
      <w:sz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index 9"/>
    <w:basedOn w:val="1"/>
    <w:next w:val="1"/>
    <w:unhideWhenUsed/>
    <w:qFormat/>
    <w:uiPriority w:val="99"/>
    <w:pPr>
      <w:ind w:left="1600" w:leftChars="1600"/>
    </w:pPr>
    <w:rPr>
      <w:rFonts w:ascii="Calibri" w:hAnsi="Calibri" w:eastAsia="仿宋_GB2312" w:cs="Times New Roman"/>
      <w:sz w:val="32"/>
    </w:rPr>
  </w:style>
  <w:style w:type="paragraph" w:styleId="10">
    <w:name w:val="Normal (Web)"/>
    <w:basedOn w:val="1"/>
    <w:qFormat/>
    <w:uiPriority w:val="0"/>
    <w:pPr>
      <w:spacing w:beforeAutospacing="1" w:afterAutospacing="1"/>
      <w:jc w:val="left"/>
    </w:pPr>
    <w:rPr>
      <w:rFonts w:cs="Times New Roman"/>
      <w:kern w:val="0"/>
      <w:sz w:val="24"/>
    </w:rPr>
  </w:style>
  <w:style w:type="character" w:styleId="13">
    <w:name w:val="Strong"/>
    <w:basedOn w:val="12"/>
    <w:qFormat/>
    <w:uiPriority w:val="0"/>
    <w:rPr>
      <w:b/>
    </w:rPr>
  </w:style>
  <w:style w:type="character" w:styleId="14">
    <w:name w:val="Emphasis"/>
    <w:basedOn w:val="12"/>
    <w:qFormat/>
    <w:uiPriority w:val="0"/>
    <w:rPr>
      <w:i/>
    </w:rPr>
  </w:style>
  <w:style w:type="paragraph" w:customStyle="1" w:styleId="15">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16">
    <w:name w:val="List Paragraph"/>
    <w:basedOn w:val="1"/>
    <w:qFormat/>
    <w:uiPriority w:val="34"/>
    <w:pPr>
      <w:ind w:firstLine="420" w:firstLineChars="200"/>
    </w:pPr>
  </w:style>
  <w:style w:type="character" w:customStyle="1" w:styleId="17">
    <w:name w:val="页眉 Char"/>
    <w:basedOn w:val="12"/>
    <w:link w:val="8"/>
    <w:qFormat/>
    <w:uiPriority w:val="0"/>
    <w:rPr>
      <w:rFonts w:asciiTheme="minorHAnsi" w:hAnsiTheme="minorHAnsi" w:eastAsiaTheme="minorEastAsia" w:cstheme="minorBidi"/>
      <w:kern w:val="2"/>
      <w:sz w:val="18"/>
      <w:szCs w:val="18"/>
    </w:rPr>
  </w:style>
  <w:style w:type="character" w:customStyle="1" w:styleId="18">
    <w:name w:val="页脚 Char"/>
    <w:basedOn w:val="12"/>
    <w:link w:val="7"/>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930</Words>
  <Characters>5302</Characters>
  <Lines>44</Lines>
  <Paragraphs>12</Paragraphs>
  <TotalTime>3</TotalTime>
  <ScaleCrop>false</ScaleCrop>
  <LinksUpToDate>false</LinksUpToDate>
  <CharactersWithSpaces>6220</CharactersWithSpaces>
  <Application>WPS Office_11.1.0.11720_F1E327BC-269C-435d-A152-05C5408002CA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2024-12-24T11:39:00Z</dcterms:created>
  <dc:creator>王辉</dc:creator>
  <cp:lastModifiedBy>sman</cp:lastModifiedBy>
  <dcterms:modified xsi:type="dcterms:W3CDTF">2025-01-17T14:10:05Z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2052-11.1.0.11720</vt:lpwstr>
  </property>
  <property fmtid="{D5CDD505-2E9C-101B-9397-08002B2CF9AE}" pid="3" name="ICV">
    <vt:lpwstr>FE8BED78C0A446F68B0D8A7A9E4A2EFD_13</vt:lpwstr>
  </property>
</Properties>
</file>