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highlight w:val="none"/>
          <w:lang w:eastAsia="zh-CN"/>
        </w:rPr>
      </w:pPr>
      <w:r>
        <w:rPr>
          <w:rFonts w:hint="eastAsia" w:ascii="方正小标宋简体" w:eastAsia="方正小标宋简体"/>
          <w:color w:val="auto"/>
          <w:sz w:val="44"/>
          <w:szCs w:val="44"/>
          <w:highlight w:val="none"/>
          <w:lang w:eastAsia="zh-CN"/>
        </w:rPr>
        <w:t>丰台</w:t>
      </w:r>
      <w:r>
        <w:rPr>
          <w:rFonts w:ascii="方正小标宋简体" w:eastAsia="方正小标宋简体"/>
          <w:color w:val="auto"/>
          <w:sz w:val="44"/>
          <w:szCs w:val="44"/>
          <w:highlight w:val="none"/>
        </w:rPr>
        <w:t>区发展和改革委员会</w:t>
      </w:r>
      <w:r>
        <w:rPr>
          <w:rFonts w:hint="eastAsia" w:ascii="方正小标宋简体" w:hAnsi="宋体" w:eastAsia="方正小标宋简体" w:cs="宋体"/>
          <w:kern w:val="0"/>
          <w:sz w:val="44"/>
          <w:szCs w:val="44"/>
          <w:highlight w:val="none"/>
          <w:lang w:val="en-US" w:eastAsia="zh-CN"/>
        </w:rPr>
        <w:t>2024</w:t>
      </w:r>
      <w:r>
        <w:rPr>
          <w:rFonts w:hint="eastAsia" w:ascii="方正小标宋简体" w:hAnsi="Calibri" w:eastAsia="方正小标宋简体"/>
          <w:kern w:val="2"/>
          <w:sz w:val="44"/>
          <w:szCs w:val="44"/>
          <w:highlight w:val="none"/>
          <w:lang w:eastAsia="zh-CN"/>
        </w:rPr>
        <w:t>年法治政府</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color w:val="auto"/>
          <w:sz w:val="44"/>
          <w:szCs w:val="44"/>
          <w:highlight w:val="none"/>
        </w:rPr>
      </w:pPr>
      <w:r>
        <w:rPr>
          <w:rFonts w:hint="eastAsia" w:ascii="方正小标宋简体" w:hAnsi="Calibri" w:eastAsia="方正小标宋简体"/>
          <w:kern w:val="2"/>
          <w:sz w:val="44"/>
          <w:szCs w:val="44"/>
          <w:highlight w:val="none"/>
          <w:lang w:eastAsia="zh-CN"/>
        </w:rPr>
        <w:t>建设</w:t>
      </w:r>
      <w:r>
        <w:rPr>
          <w:rFonts w:hint="eastAsia" w:ascii="方正小标宋简体" w:eastAsia="方正小标宋简体"/>
          <w:kern w:val="2"/>
          <w:sz w:val="44"/>
          <w:szCs w:val="44"/>
          <w:highlight w:val="none"/>
          <w:lang w:eastAsia="zh-CN"/>
        </w:rPr>
        <w:t>年度情况</w:t>
      </w:r>
      <w:r>
        <w:rPr>
          <w:rFonts w:hint="eastAsia" w:ascii="方正小标宋简体" w:hAnsi="Calibri" w:eastAsia="方正小标宋简体"/>
          <w:kern w:val="2"/>
          <w:sz w:val="44"/>
          <w:szCs w:val="44"/>
          <w:highlight w:val="none"/>
          <w:lang w:eastAsia="zh-CN"/>
        </w:rPr>
        <w:t>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仿宋_GB2312"/>
          <w:b w:val="0"/>
          <w:bCs w:val="0"/>
          <w:color w:val="auto"/>
          <w:kern w:val="0"/>
          <w:sz w:val="32"/>
          <w:szCs w:val="32"/>
          <w:highlight w:val="none"/>
          <w:lang w:val="en-US" w:eastAsia="zh-CN" w:bidi="ar-SA"/>
        </w:rPr>
      </w:pPr>
      <w:r>
        <w:rPr>
          <w:rFonts w:hint="eastAsia" w:ascii="仿宋_GB2312" w:eastAsia="仿宋_GB2312" w:cs="Calibri"/>
          <w:color w:val="auto"/>
          <w:kern w:val="0"/>
          <w:sz w:val="32"/>
          <w:szCs w:val="32"/>
          <w:highlight w:val="none"/>
          <w:lang w:eastAsia="zh-CN"/>
        </w:rPr>
        <w:t>202</w:t>
      </w:r>
      <w:r>
        <w:rPr>
          <w:rFonts w:hint="eastAsia" w:ascii="仿宋_GB2312" w:eastAsia="仿宋_GB2312" w:cs="Calibri"/>
          <w:color w:val="auto"/>
          <w:kern w:val="0"/>
          <w:sz w:val="32"/>
          <w:szCs w:val="32"/>
          <w:highlight w:val="none"/>
          <w:lang w:val="en-US" w:eastAsia="zh-CN"/>
        </w:rPr>
        <w:t>4</w:t>
      </w:r>
      <w:r>
        <w:rPr>
          <w:rFonts w:hint="eastAsia" w:ascii="仿宋_GB2312" w:eastAsia="仿宋_GB2312" w:cs="Calibri"/>
          <w:color w:val="auto"/>
          <w:kern w:val="0"/>
          <w:sz w:val="32"/>
          <w:szCs w:val="32"/>
          <w:highlight w:val="none"/>
          <w:lang w:eastAsia="zh-CN"/>
        </w:rPr>
        <w:t>年，在区委区政府的正确领导下，</w:t>
      </w:r>
      <w:r>
        <w:rPr>
          <w:rFonts w:hint="eastAsia" w:ascii="仿宋_GB2312" w:eastAsia="仿宋_GB2312" w:cs="Calibri"/>
          <w:color w:val="auto"/>
          <w:kern w:val="0"/>
          <w:sz w:val="32"/>
          <w:szCs w:val="32"/>
          <w:highlight w:val="none"/>
          <w:lang w:val="en-US" w:eastAsia="zh-CN"/>
        </w:rPr>
        <w:t>区发展改革</w:t>
      </w:r>
      <w:r>
        <w:rPr>
          <w:rFonts w:hint="eastAsia" w:ascii="仿宋_GB2312" w:eastAsia="仿宋_GB2312" w:cs="Calibri"/>
          <w:color w:val="auto"/>
          <w:kern w:val="0"/>
          <w:sz w:val="32"/>
          <w:szCs w:val="32"/>
          <w:highlight w:val="none"/>
          <w:lang w:eastAsia="zh-CN"/>
        </w:rPr>
        <w:t>委坚持以习近平新时代中国特色社会主义思想为指导，全面贯彻落实</w:t>
      </w:r>
      <w:bookmarkStart w:id="0" w:name="_GoBack"/>
      <w:bookmarkEnd w:id="0"/>
      <w:r>
        <w:rPr>
          <w:rFonts w:hint="eastAsia" w:ascii="仿宋_GB2312" w:eastAsia="仿宋_GB2312"/>
          <w:color w:val="auto"/>
          <w:sz w:val="32"/>
          <w:szCs w:val="32"/>
          <w:highlight w:val="none"/>
        </w:rPr>
        <w:t>党的</w:t>
      </w:r>
      <w:r>
        <w:rPr>
          <w:rFonts w:hint="eastAsia" w:ascii="仿宋_GB2312" w:eastAsia="仿宋_GB2312"/>
          <w:color w:val="auto"/>
          <w:sz w:val="32"/>
          <w:szCs w:val="32"/>
          <w:highlight w:val="none"/>
          <w:lang w:eastAsia="zh-CN"/>
        </w:rPr>
        <w:t>二十届三中全会</w:t>
      </w:r>
      <w:r>
        <w:rPr>
          <w:rFonts w:hint="eastAsia" w:ascii="仿宋_GB2312" w:eastAsia="仿宋_GB2312" w:cs="Calibri"/>
          <w:color w:val="auto"/>
          <w:kern w:val="0"/>
          <w:sz w:val="32"/>
          <w:szCs w:val="32"/>
          <w:highlight w:val="none"/>
          <w:lang w:eastAsia="zh-CN"/>
        </w:rPr>
        <w:t>精神，深入贯彻习近平法治思想，认真落实区委区政府关于法治建设相关要求，</w:t>
      </w:r>
      <w:r>
        <w:rPr>
          <w:rFonts w:hint="eastAsia" w:ascii="仿宋_GB2312" w:hAnsi="仿宋_GB2312" w:eastAsia="仿宋_GB2312" w:cs="仿宋_GB2312"/>
          <w:color w:val="auto"/>
          <w:kern w:val="10"/>
          <w:sz w:val="32"/>
          <w:szCs w:val="32"/>
          <w:highlight w:val="none"/>
          <w:lang w:eastAsia="zh-CN"/>
        </w:rPr>
        <w:t>现将情况报告如下：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color w:val="auto"/>
          <w:kern w:val="2"/>
          <w:sz w:val="32"/>
          <w:szCs w:val="32"/>
          <w:highlight w:val="none"/>
        </w:rPr>
      </w:pPr>
      <w:r>
        <w:rPr>
          <w:rFonts w:hint="eastAsia" w:ascii="黑体" w:hAnsi="黑体" w:eastAsia="黑体" w:cs="Calibri"/>
          <w:color w:val="auto"/>
          <w:kern w:val="2"/>
          <w:sz w:val="32"/>
          <w:szCs w:val="32"/>
          <w:highlight w:val="none"/>
        </w:rPr>
        <w:t>一、20</w:t>
      </w:r>
      <w:r>
        <w:rPr>
          <w:rFonts w:hint="eastAsia" w:ascii="黑体" w:hAnsi="黑体" w:eastAsia="黑体" w:cs="Calibri"/>
          <w:color w:val="auto"/>
          <w:kern w:val="2"/>
          <w:sz w:val="32"/>
          <w:szCs w:val="32"/>
          <w:highlight w:val="none"/>
          <w:lang w:val="en-US" w:eastAsia="zh-CN"/>
        </w:rPr>
        <w:t>24</w:t>
      </w:r>
      <w:r>
        <w:rPr>
          <w:rFonts w:hint="eastAsia" w:ascii="黑体" w:hAnsi="黑体" w:eastAsia="黑体" w:cs="Calibri"/>
          <w:color w:val="auto"/>
          <w:kern w:val="2"/>
          <w:sz w:val="32"/>
          <w:szCs w:val="32"/>
          <w:highlight w:val="none"/>
        </w:rPr>
        <w:t>年法治建设主要</w:t>
      </w:r>
      <w:r>
        <w:rPr>
          <w:rFonts w:hint="eastAsia" w:ascii="黑体" w:hAnsi="黑体" w:eastAsia="黑体" w:cs="Calibri"/>
          <w:color w:val="auto"/>
          <w:kern w:val="2"/>
          <w:sz w:val="32"/>
          <w:szCs w:val="32"/>
          <w:highlight w:val="none"/>
          <w:lang w:eastAsia="zh-CN"/>
        </w:rPr>
        <w:t>举措和</w:t>
      </w:r>
      <w:r>
        <w:rPr>
          <w:rFonts w:hint="eastAsia" w:ascii="黑体" w:hAnsi="黑体" w:eastAsia="黑体" w:cs="Calibri"/>
          <w:color w:val="auto"/>
          <w:kern w:val="2"/>
          <w:sz w:val="32"/>
          <w:szCs w:val="32"/>
          <w:highlight w:val="none"/>
        </w:rPr>
        <w:t>成效</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（一）深入学习贯彻党的二十届三中全会精神和习近平法治思想</w:t>
      </w:r>
    </w:p>
    <w:p>
      <w:pPr>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坚持以习近平新时代中国特色社会主义思想为指导，聚焦聚力学习宣传贯彻党的</w:t>
      </w:r>
      <w:r>
        <w:rPr>
          <w:rFonts w:hint="eastAsia" w:ascii="仿宋_GB2312" w:hAnsi="仿宋_GB2312" w:eastAsia="仿宋_GB2312" w:cs="仿宋_GB2312"/>
          <w:color w:val="auto"/>
          <w:sz w:val="32"/>
          <w:szCs w:val="32"/>
          <w:highlight w:val="none"/>
          <w:lang w:eastAsia="zh-CN"/>
        </w:rPr>
        <w:t>二十届三中全会</w:t>
      </w:r>
      <w:r>
        <w:rPr>
          <w:rFonts w:hint="eastAsia" w:ascii="仿宋_GB2312" w:hAnsi="仿宋_GB2312" w:eastAsia="仿宋_GB2312" w:cs="仿宋_GB2312"/>
          <w:color w:val="auto"/>
          <w:sz w:val="32"/>
          <w:szCs w:val="32"/>
          <w:highlight w:val="none"/>
        </w:rPr>
        <w:t>精神</w:t>
      </w:r>
      <w:r>
        <w:rPr>
          <w:rFonts w:hint="eastAsia" w:ascii="仿宋_GB2312" w:hAnsi="仿宋_GB2312" w:eastAsia="仿宋_GB2312" w:cs="仿宋_GB2312"/>
          <w:color w:val="auto"/>
          <w:sz w:val="32"/>
          <w:szCs w:val="32"/>
          <w:highlight w:val="none"/>
          <w:lang w:eastAsia="zh-CN"/>
        </w:rPr>
        <w:t>和习近平法治思想。</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理论学习中心组把习近平法治思想作为重点学习内容，通过“集中学习+个人自学”相结合，扎实推进理论学习。及时传达学习2024年中共北京市委全面依法治市委员会会议精神，对全委依法行政工作进行针对性部署。</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发挥领导干部示范作用，</w:t>
      </w:r>
      <w:r>
        <w:rPr>
          <w:rFonts w:hint="eastAsia" w:ascii="仿宋_GB2312" w:hAnsi="仿宋_GB2312" w:eastAsia="仿宋_GB2312" w:cs="仿宋_GB2312"/>
          <w:color w:val="auto"/>
          <w:sz w:val="32"/>
          <w:szCs w:val="32"/>
          <w:highlight w:val="none"/>
          <w:lang w:val="en-US" w:eastAsia="zh-CN"/>
        </w:rPr>
        <w:t>在全委主题教育动员部署会等场合多次强调深入学习贯彻习近平新时代中国特色社会主义思想。</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将习近平法治思想学习融入主题教育，全面系统学习习近平法治思想，将习近平法治思想贯穿到依法行政全过程各方面。</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委内法制科室加强法治领域业务学习，将《行政复议法》、《公平竞争审查条例》（2024修订版）等纳入年度学习计划，及时跟进北京市公共资源交易平台服务标准（试行）最新政策，全力推动本部门法治工作向专业化方向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（二）深入推进依法行政</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严格落实行政执法三项制度和《行政处罚法》实施意见，强化行政执法人员业务培训，全面提升依法行政能力。</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积极组织执法人员参加市、区学习贯彻习近平法治思想、强化行政执法能力专题培训，</w:t>
      </w:r>
      <w:r>
        <w:rPr>
          <w:rFonts w:hint="eastAsia" w:ascii="仿宋_GB2312" w:hAnsi="仿宋_GB2312" w:eastAsia="仿宋_GB2312" w:cs="仿宋_GB2312"/>
          <w:color w:val="auto"/>
          <w:sz w:val="32"/>
          <w:szCs w:val="32"/>
          <w:highlight w:val="none"/>
          <w:lang w:val="en-US" w:eastAsia="zh-CN"/>
        </w:rPr>
        <w:t>切实增强运用法治思维和法治方式开展工作的本领。</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全面落实行政执法“三项制度”，年初公示我委2023年行政执法统计年报、法治政府建设报告，2024年行政执法检查工作计划。按季度公示执法检查计划及执法检查结果，全年开展执法检查764项。保持权力清单及时更新，规范落实行政许可、行政处罚“双公示”，全年公示行政许可130个，未发生行政处罚。</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落实营商环境</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.0版改革，助力本市完成全国营商环境创新试点城市建设，全年共</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highlight w:val="none"/>
        </w:rPr>
        <w:t>营商环境改革任务</w:t>
      </w: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项。持续推动全程网办的进一步深化，全年全委共办理行政审批和政务服务事项</w:t>
      </w:r>
      <w:r>
        <w:rPr>
          <w:rFonts w:hint="eastAsia" w:ascii="仿宋_GB2312" w:hAnsi="仿宋_GB2312" w:eastAsia="仿宋_GB2312" w:cs="仿宋_GB2312"/>
          <w:color w:val="auto"/>
          <w:sz w:val="32"/>
          <w:szCs w:val="32"/>
          <w:highlight w:val="none"/>
          <w:lang w:val="en-US" w:eastAsia="zh-CN"/>
        </w:rPr>
        <w:t>606</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b/>
          <w:bCs/>
          <w:color w:val="auto"/>
          <w:sz w:val="32"/>
          <w:szCs w:val="32"/>
          <w:highlight w:val="none"/>
          <w:lang w:eastAsia="zh-CN"/>
        </w:rPr>
        <w:t>四是</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宋体" w:eastAsia="仿宋_GB2312" w:cs="宋体"/>
          <w:color w:val="auto"/>
          <w:spacing w:val="8"/>
          <w:kern w:val="0"/>
          <w:sz w:val="32"/>
          <w:szCs w:val="32"/>
          <w:highlight w:val="none"/>
        </w:rPr>
        <w:t>按照“以公开为原则，不公开为例外”的总体要求，进一步健全完善</w:t>
      </w:r>
      <w:r>
        <w:rPr>
          <w:rFonts w:hint="eastAsia" w:ascii="仿宋_GB2312" w:hAnsi="Calibri" w:eastAsia="仿宋_GB2312" w:cs="Calibri"/>
          <w:color w:val="auto"/>
          <w:kern w:val="0"/>
          <w:sz w:val="32"/>
          <w:szCs w:val="32"/>
          <w:highlight w:val="none"/>
        </w:rPr>
        <w:t>信息公开工作协调机制</w:t>
      </w:r>
      <w:r>
        <w:rPr>
          <w:rFonts w:hint="eastAsia" w:ascii="仿宋_GB2312" w:hAnsi="宋体" w:eastAsia="仿宋_GB2312" w:cs="宋体"/>
          <w:color w:val="auto"/>
          <w:spacing w:val="8"/>
          <w:kern w:val="0"/>
          <w:sz w:val="32"/>
          <w:szCs w:val="32"/>
          <w:highlight w:val="none"/>
        </w:rPr>
        <w:t>，</w:t>
      </w:r>
      <w:r>
        <w:rPr>
          <w:rFonts w:hint="eastAsia" w:ascii="仿宋_GB2312" w:eastAsia="仿宋_GB2312" w:cs="Calibri"/>
          <w:color w:val="auto"/>
          <w:kern w:val="0"/>
          <w:sz w:val="32"/>
          <w:szCs w:val="32"/>
          <w:highlight w:val="none"/>
          <w:shd w:val="clear" w:color="auto" w:fill="auto"/>
          <w:lang w:eastAsia="zh-CN"/>
        </w:rPr>
        <w:t>主动公开工作</w:t>
      </w:r>
      <w:r>
        <w:rPr>
          <w:rFonts w:hint="eastAsia" w:ascii="仿宋_GB2312" w:hAnsi="Calibri" w:eastAsia="仿宋_GB2312" w:cs="Calibri"/>
          <w:color w:val="auto"/>
          <w:kern w:val="0"/>
          <w:sz w:val="32"/>
          <w:szCs w:val="32"/>
          <w:highlight w:val="none"/>
          <w:shd w:val="clear" w:color="auto" w:fill="auto"/>
        </w:rPr>
        <w:t>动态</w:t>
      </w:r>
      <w:r>
        <w:rPr>
          <w:rFonts w:hint="eastAsia" w:ascii="仿宋_GB2312" w:eastAsia="仿宋_GB2312" w:cs="Calibri"/>
          <w:color w:val="auto"/>
          <w:kern w:val="0"/>
          <w:sz w:val="32"/>
          <w:szCs w:val="32"/>
          <w:highlight w:val="none"/>
          <w:shd w:val="clear" w:color="auto" w:fill="auto"/>
          <w:lang w:eastAsia="zh-CN"/>
        </w:rPr>
        <w:t>类</w:t>
      </w:r>
      <w:r>
        <w:rPr>
          <w:rFonts w:hint="eastAsia" w:ascii="仿宋_GB2312" w:eastAsia="仿宋_GB2312" w:cs="Calibri"/>
          <w:color w:val="auto"/>
          <w:kern w:val="0"/>
          <w:sz w:val="32"/>
          <w:szCs w:val="32"/>
          <w:highlight w:val="none"/>
          <w:shd w:val="clear" w:color="auto" w:fill="auto"/>
          <w:lang w:val="en-US" w:eastAsia="zh-CN"/>
        </w:rPr>
        <w:t>和</w:t>
      </w:r>
      <w:r>
        <w:rPr>
          <w:rFonts w:hint="eastAsia" w:ascii="仿宋_GB2312" w:hAnsi="Calibri" w:eastAsia="仿宋_GB2312" w:cs="Calibri"/>
          <w:color w:val="auto"/>
          <w:kern w:val="0"/>
          <w:sz w:val="32"/>
          <w:szCs w:val="32"/>
          <w:highlight w:val="none"/>
          <w:shd w:val="clear" w:color="auto" w:fill="auto"/>
        </w:rPr>
        <w:t>需公示项目</w:t>
      </w:r>
      <w:r>
        <w:rPr>
          <w:rFonts w:hint="eastAsia" w:ascii="仿宋_GB2312" w:eastAsia="仿宋_GB2312" w:cs="Calibri"/>
          <w:color w:val="auto"/>
          <w:kern w:val="0"/>
          <w:sz w:val="32"/>
          <w:szCs w:val="32"/>
          <w:highlight w:val="none"/>
          <w:shd w:val="clear" w:color="auto" w:fill="auto"/>
          <w:lang w:eastAsia="zh-CN"/>
        </w:rPr>
        <w:t>类信息</w:t>
      </w:r>
      <w:r>
        <w:rPr>
          <w:rFonts w:hint="eastAsia" w:ascii="仿宋_GB2312" w:eastAsia="仿宋_GB2312" w:cs="Calibri"/>
          <w:color w:val="auto"/>
          <w:kern w:val="0"/>
          <w:sz w:val="32"/>
          <w:szCs w:val="32"/>
          <w:highlight w:val="none"/>
          <w:shd w:val="clear" w:color="auto" w:fill="auto"/>
          <w:lang w:val="en-US" w:eastAsia="zh-CN"/>
        </w:rPr>
        <w:t>65篇</w:t>
      </w:r>
      <w:r>
        <w:rPr>
          <w:rFonts w:hint="eastAsia" w:ascii="仿宋_GB2312" w:eastAsia="仿宋_GB2312" w:cs="Calibri"/>
          <w:color w:val="auto"/>
          <w:kern w:val="0"/>
          <w:sz w:val="32"/>
          <w:szCs w:val="32"/>
          <w:highlight w:val="none"/>
          <w:shd w:val="clear" w:color="auto" w:fill="auto"/>
          <w:lang w:eastAsia="zh-CN"/>
        </w:rPr>
        <w:t>，</w:t>
      </w:r>
      <w:r>
        <w:rPr>
          <w:rFonts w:hint="eastAsia" w:ascii="仿宋_GB2312" w:eastAsia="仿宋_GB2312" w:cs="Calibri"/>
          <w:color w:val="auto"/>
          <w:kern w:val="0"/>
          <w:sz w:val="32"/>
          <w:szCs w:val="32"/>
          <w:highlight w:val="none"/>
          <w:shd w:val="clear" w:color="auto" w:fill="auto"/>
          <w:lang w:val="en-US" w:eastAsia="zh-CN"/>
        </w:rPr>
        <w:t>办理政府信息公开申请82件，</w:t>
      </w:r>
      <w:r>
        <w:rPr>
          <w:rFonts w:hint="eastAsia" w:ascii="仿宋_GB2312" w:hAnsi="仿宋_GB2312" w:eastAsia="仿宋_GB2312" w:cs="仿宋_GB2312"/>
          <w:color w:val="auto"/>
          <w:sz w:val="32"/>
          <w:szCs w:val="32"/>
          <w:highlight w:val="none"/>
          <w:lang w:val="en-US" w:eastAsia="zh-CN"/>
        </w:rPr>
        <w:t>未涉及行政诉讼。</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（三）加强法治政府建设情况</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持续完善工作制度，努力做到以制度管人、靠制度管事，以制度的约束力消除问题的反弹力。</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严格落实民主集中制和重大事项决策机制，对重大问题决策、重大项目投资、大额资金使用等“三重一大”事项，全部提交委党组会集体研究、集体决策，确保依法科学民主决策。将法治建设与各项具体工作同部署、同安排、同推进。</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充分发挥法律顾问作用，聘请3家律所律师作为我委法律顾问，在重大决策、重大具体行政行为作出前提供书面法律意见或法律专题论证，提供行政规范性文件法律论证意见，审核我委签订的合同等，年内提供服务72次，提高依法决策水平。</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严格履行行政规范性文件合法性审核。印发委内规范性文件法制审查工作提示，年内制定规范性文件3个，包括《北京市丰台区碳达峰实施方案》《丰台区公办托育服务收费管理工作的通知》《丰台区进一步抓好抓实促进民间投资发展若干政策措施》，印发前均通过合法性审查并按时向区司法局报备。</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（四）扎实开展普法宣传工作</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rPr>
        <w:t>结合工作职责特点</w:t>
      </w:r>
      <w:r>
        <w:rPr>
          <w:rFonts w:hint="eastAsia" w:ascii="仿宋_GB2312" w:hAnsi="仿宋_GB2312" w:eastAsia="仿宋_GB2312" w:cs="仿宋_GB2312"/>
          <w:i w:val="0"/>
          <w:caps w:val="0"/>
          <w:color w:val="auto"/>
          <w:spacing w:val="0"/>
          <w:sz w:val="32"/>
          <w:szCs w:val="32"/>
          <w:highlight w:val="none"/>
          <w:lang w:eastAsia="zh-CN"/>
        </w:rPr>
        <w:t>全面</w:t>
      </w:r>
      <w:r>
        <w:rPr>
          <w:rFonts w:hint="eastAsia" w:ascii="仿宋_GB2312" w:hAnsi="仿宋_GB2312" w:eastAsia="仿宋_GB2312" w:cs="仿宋_GB2312"/>
          <w:i w:val="0"/>
          <w:caps w:val="0"/>
          <w:color w:val="auto"/>
          <w:spacing w:val="0"/>
          <w:sz w:val="32"/>
          <w:szCs w:val="32"/>
          <w:highlight w:val="none"/>
        </w:rPr>
        <w:t>落实普法工作责任</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b/>
          <w:bCs/>
          <w:i w:val="0"/>
          <w:caps w:val="0"/>
          <w:color w:val="auto"/>
          <w:spacing w:val="0"/>
          <w:sz w:val="32"/>
          <w:szCs w:val="32"/>
          <w:highlight w:val="none"/>
          <w:lang w:eastAsia="zh-CN"/>
        </w:rPr>
        <w:t>一是</w:t>
      </w:r>
      <w:r>
        <w:rPr>
          <w:rFonts w:hint="eastAsia" w:ascii="仿宋_GB2312" w:hAnsi="仿宋_GB2312" w:eastAsia="仿宋_GB2312" w:cs="仿宋_GB2312"/>
          <w:color w:val="auto"/>
          <w:sz w:val="32"/>
          <w:szCs w:val="32"/>
          <w:highlight w:val="none"/>
        </w:rPr>
        <w:t>把普法依法治理工作纳入我区国民经济和社会发展五年规划，确保普法依法治理工作与经济社会发展的有效衔接和平衡发展。</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i w:val="0"/>
          <w:caps w:val="0"/>
          <w:color w:val="auto"/>
          <w:spacing w:val="0"/>
          <w:sz w:val="32"/>
          <w:szCs w:val="32"/>
          <w:highlight w:val="none"/>
        </w:rPr>
        <w:t>围绕推动</w:t>
      </w:r>
      <w:r>
        <w:rPr>
          <w:rFonts w:hint="eastAsia" w:ascii="仿宋_GB2312" w:hAnsi="仿宋_GB2312" w:eastAsia="仿宋_GB2312" w:cs="仿宋_GB2312"/>
          <w:i w:val="0"/>
          <w:caps w:val="0"/>
          <w:color w:val="auto"/>
          <w:spacing w:val="0"/>
          <w:sz w:val="32"/>
          <w:szCs w:val="32"/>
          <w:highlight w:val="none"/>
          <w:lang w:eastAsia="zh-CN"/>
        </w:rPr>
        <w:t>我区</w:t>
      </w:r>
      <w:r>
        <w:rPr>
          <w:rFonts w:hint="eastAsia" w:ascii="仿宋_GB2312" w:hAnsi="仿宋_GB2312" w:eastAsia="仿宋_GB2312" w:cs="仿宋_GB2312"/>
          <w:i w:val="0"/>
          <w:caps w:val="0"/>
          <w:color w:val="auto"/>
          <w:spacing w:val="0"/>
          <w:sz w:val="32"/>
          <w:szCs w:val="32"/>
          <w:highlight w:val="none"/>
        </w:rPr>
        <w:t>经济</w:t>
      </w:r>
      <w:r>
        <w:rPr>
          <w:rFonts w:hint="eastAsia" w:ascii="仿宋_GB2312" w:hAnsi="仿宋_GB2312" w:eastAsia="仿宋_GB2312" w:cs="仿宋_GB2312"/>
          <w:i w:val="0"/>
          <w:caps w:val="0"/>
          <w:color w:val="auto"/>
          <w:spacing w:val="0"/>
          <w:sz w:val="32"/>
          <w:szCs w:val="32"/>
          <w:highlight w:val="none"/>
          <w:lang w:eastAsia="zh-CN"/>
        </w:rPr>
        <w:t>高质量发展</w:t>
      </w:r>
      <w:r>
        <w:rPr>
          <w:rFonts w:hint="eastAsia" w:ascii="仿宋_GB2312" w:hAnsi="仿宋_GB2312" w:eastAsia="仿宋_GB2312" w:cs="仿宋_GB2312"/>
          <w:i w:val="0"/>
          <w:caps w:val="0"/>
          <w:color w:val="auto"/>
          <w:spacing w:val="0"/>
          <w:sz w:val="32"/>
          <w:szCs w:val="32"/>
          <w:highlight w:val="none"/>
        </w:rPr>
        <w:t>，聚焦营商环境建设</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按照全市工作部署，切实落实优化营商环境各项政策制度，强化组织领导，加强协同配合，释放政策红利，精准服务企业</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b/>
          <w:bCs/>
          <w:i w:val="0"/>
          <w:caps w:val="0"/>
          <w:color w:val="auto"/>
          <w:spacing w:val="0"/>
          <w:sz w:val="32"/>
          <w:szCs w:val="32"/>
          <w:highlight w:val="none"/>
          <w:lang w:eastAsia="zh-CN"/>
        </w:rPr>
        <w:t>三是</w:t>
      </w:r>
      <w:r>
        <w:rPr>
          <w:rFonts w:hint="eastAsia" w:ascii="仿宋_GB2312" w:hAnsi="仿宋_GB2312" w:eastAsia="仿宋_GB2312" w:cs="仿宋_GB2312"/>
          <w:i w:val="0"/>
          <w:caps w:val="0"/>
          <w:color w:val="auto"/>
          <w:spacing w:val="0"/>
          <w:sz w:val="32"/>
          <w:szCs w:val="32"/>
          <w:highlight w:val="none"/>
          <w:lang w:eastAsia="zh-CN"/>
        </w:rPr>
        <w:t>强化</w:t>
      </w:r>
      <w:r>
        <w:rPr>
          <w:rFonts w:hint="eastAsia" w:ascii="仿宋_GB2312" w:hAnsi="仿宋_GB2312" w:eastAsia="仿宋_GB2312" w:cs="仿宋_GB2312"/>
          <w:color w:val="auto"/>
          <w:sz w:val="32"/>
          <w:szCs w:val="32"/>
          <w:highlight w:val="none"/>
          <w:lang w:val="en-US" w:eastAsia="zh-CN"/>
        </w:rPr>
        <w:t>业务领域法律法规学习，年内组织学习习近平总书记在中央全面深化改革委员会第四次会议上的重要讲话、</w:t>
      </w:r>
      <w:r>
        <w:rPr>
          <w:rFonts w:hint="eastAsia" w:ascii="仿宋_GB2312" w:hAnsi="仿宋_GB2312" w:eastAsia="仿宋_GB2312"/>
          <w:color w:val="auto"/>
          <w:kern w:val="1"/>
          <w:sz w:val="32"/>
          <w:szCs w:val="32"/>
          <w:highlight w:val="none"/>
          <w:lang w:eastAsia="zh-CN"/>
        </w:rPr>
        <w:t>视频学习《安全生产责任在肩》安全生产警示教育片</w:t>
      </w:r>
      <w:r>
        <w:rPr>
          <w:rFonts w:hint="eastAsia" w:ascii="仿宋_GB2312" w:hAnsi="仿宋_GB2312" w:eastAsia="仿宋_GB2312" w:cs="仿宋_GB2312"/>
          <w:i w:val="0"/>
          <w:caps w:val="0"/>
          <w:color w:val="auto"/>
          <w:spacing w:val="0"/>
          <w:sz w:val="32"/>
          <w:szCs w:val="32"/>
          <w:highlight w:val="none"/>
          <w:lang w:val="en-US" w:eastAsia="zh-CN"/>
        </w:rPr>
        <w:t>等，</w:t>
      </w:r>
      <w:r>
        <w:rPr>
          <w:rFonts w:hint="eastAsia" w:ascii="仿宋_GB2312" w:hAnsi="仿宋_GB2312" w:eastAsia="仿宋_GB2312" w:cs="仿宋_GB2312"/>
          <w:color w:val="auto"/>
          <w:sz w:val="32"/>
          <w:szCs w:val="32"/>
          <w:highlight w:val="none"/>
          <w:lang w:val="en-US" w:eastAsia="zh-CN"/>
        </w:rPr>
        <w:t>与整体性学习习近平新时代中国特色社会主义思想有机结合起来，作为法治建设工作的根本遵循和指导。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highlight w:val="none"/>
          <w:lang w:val="en-US" w:eastAsia="zh-CN"/>
        </w:rPr>
      </w:pPr>
      <w:r>
        <w:rPr>
          <w:rFonts w:hint="eastAsia" w:ascii="黑体" w:hAnsi="黑体" w:eastAsia="黑体" w:cs="黑体"/>
          <w:sz w:val="32"/>
          <w:szCs w:val="36"/>
          <w:highlight w:val="none"/>
          <w:lang w:val="en-US" w:eastAsia="zh-CN"/>
        </w:rPr>
        <w:t>2024年法治政府建设存在的问题与不足</w:t>
      </w:r>
    </w:p>
    <w:p>
      <w:pPr>
        <w:pStyle w:val="6"/>
        <w:pageBreakBefore w:val="0"/>
        <w:widowControl w:val="0"/>
        <w:kinsoku/>
        <w:wordWrap/>
        <w:overflowPunct/>
        <w:topLinePunct w:val="0"/>
        <w:bidi w:val="0"/>
        <w:spacing w:after="0" w:line="560" w:lineRule="exact"/>
        <w:ind w:left="0" w:leftChars="0" w:firstLine="640"/>
        <w:textAlignment w:val="auto"/>
        <w:rPr>
          <w:rFonts w:hint="eastAsia"/>
          <w:highlight w:val="none"/>
          <w:lang w:val="en-US" w:eastAsia="zh-CN"/>
        </w:rPr>
      </w:pPr>
      <w:r>
        <w:rPr>
          <w:rFonts w:hint="eastAsia" w:ascii="仿宋_GB2312" w:hAnsi="仿宋_GB2312" w:eastAsia="仿宋_GB2312" w:cs="仿宋_GB2312"/>
          <w:sz w:val="32"/>
          <w:szCs w:val="32"/>
          <w:highlight w:val="none"/>
        </w:rPr>
        <w:t>运用法治思维和法治方式推动改革、谋划发展的能力有待进一步提升。</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 w:val="32"/>
          <w:szCs w:val="36"/>
          <w:highlight w:val="none"/>
          <w:lang w:val="en-US" w:eastAsia="zh-CN"/>
        </w:rPr>
      </w:pPr>
      <w:r>
        <w:rPr>
          <w:rFonts w:hint="eastAsia" w:ascii="黑体" w:hAnsi="黑体" w:eastAsia="黑体" w:cs="黑体"/>
          <w:sz w:val="32"/>
          <w:szCs w:val="36"/>
          <w:highlight w:val="none"/>
          <w:lang w:val="en-US" w:eastAsia="zh-CN"/>
        </w:rPr>
        <w:t>2024年党政主要负责人履行推进法治政府建设第一责任人职责情况</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严格贯彻执行《党政主要负责人履行推进法治建设第一责任人职责规定》。委主要领导坚持重大问题亲自过问，重点环节亲自协调，重大任务亲自督导，有效推动我委法治建设各项工作开展。</w:t>
      </w:r>
      <w:r>
        <w:rPr>
          <w:rFonts w:hint="eastAsia" w:ascii="仿宋_GB2312" w:hAnsi="仿宋_GB2312" w:eastAsia="仿宋_GB2312" w:cs="仿宋_GB2312"/>
          <w:b/>
          <w:bCs w:val="0"/>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年内办理“关于北宫镇发展零碳示范镇的建议 ”、“关于加快设立股权投资基金助力科技成果落地丰台转化的建议”等人大政协议案，支持人大、政协等单位依法依章程履行职能、开展工作。</w:t>
      </w:r>
      <w:r>
        <w:rPr>
          <w:rFonts w:hint="eastAsia" w:ascii="仿宋_GB2312" w:hAnsi="仿宋_GB2312" w:eastAsia="仿宋_GB2312" w:cs="仿宋_GB2312"/>
          <w:b/>
          <w:bCs w:val="0"/>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围绕国民经济和社会发展计划执行情况、政府投资情况等定期向区人大、政协进行汇报，积极听取采纳意见建议。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6"/>
          <w:highlight w:val="none"/>
          <w:lang w:val="en-US" w:eastAsia="zh-CN"/>
        </w:rPr>
      </w:pPr>
      <w:r>
        <w:rPr>
          <w:rFonts w:hint="eastAsia" w:ascii="黑体" w:hAnsi="黑体" w:eastAsia="黑体" w:cs="黑体"/>
          <w:sz w:val="32"/>
          <w:szCs w:val="36"/>
          <w:highlight w:val="none"/>
          <w:lang w:val="en-US" w:eastAsia="zh-CN"/>
        </w:rPr>
        <w:t>四、2025年法治政府建设工作初步安排</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区发展改革委将</w:t>
      </w:r>
      <w:r>
        <w:rPr>
          <w:rFonts w:hint="eastAsia" w:ascii="仿宋_GB2312" w:hAnsi="仿宋_GB2312" w:eastAsia="仿宋_GB2312" w:cs="仿宋_GB2312"/>
          <w:color w:val="auto"/>
          <w:sz w:val="32"/>
          <w:szCs w:val="32"/>
          <w:highlight w:val="none"/>
        </w:rPr>
        <w:t>坚持以习近平新时代中国特色社会主义思想为指导，全面学习宣传贯彻落实党的二十</w:t>
      </w:r>
      <w:r>
        <w:rPr>
          <w:rFonts w:hint="eastAsia" w:ascii="仿宋_GB2312" w:hAnsi="仿宋_GB2312" w:eastAsia="仿宋_GB2312" w:cs="仿宋_GB2312"/>
          <w:color w:val="auto"/>
          <w:sz w:val="32"/>
          <w:szCs w:val="32"/>
          <w:highlight w:val="none"/>
          <w:lang w:eastAsia="zh-CN"/>
        </w:rPr>
        <w:t>届三中全会</w:t>
      </w:r>
      <w:r>
        <w:rPr>
          <w:rFonts w:hint="eastAsia" w:ascii="仿宋_GB2312" w:hAnsi="仿宋_GB2312" w:eastAsia="仿宋_GB2312" w:cs="仿宋_GB2312"/>
          <w:color w:val="auto"/>
          <w:sz w:val="32"/>
          <w:szCs w:val="32"/>
          <w:highlight w:val="none"/>
        </w:rPr>
        <w:t>精神</w:t>
      </w:r>
      <w:r>
        <w:rPr>
          <w:rFonts w:hint="eastAsia" w:ascii="仿宋_GB2312" w:hAnsi="仿宋_GB2312" w:eastAsia="仿宋_GB2312" w:cs="仿宋_GB2312"/>
          <w:color w:val="auto"/>
          <w:sz w:val="32"/>
          <w:szCs w:val="32"/>
          <w:highlight w:val="none"/>
          <w:lang w:eastAsia="zh-CN"/>
        </w:rPr>
        <w:t>和习近平法治思想，提升全面依法治区工作能力和水平，推动丰台区更好实现倍增追赶、合作发展目标。</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color w:val="auto"/>
          <w:sz w:val="32"/>
          <w:szCs w:val="32"/>
          <w:highlight w:val="none"/>
          <w:lang w:eastAsia="zh-CN"/>
        </w:rPr>
        <w:t>丰富法治+主题党日活动，坚持领导班子领学促学、</w:t>
      </w:r>
      <w:r>
        <w:rPr>
          <w:rFonts w:hint="eastAsia" w:ascii="仿宋_GB2312" w:hAnsi="仿宋_GB2312" w:eastAsia="仿宋_GB2312" w:cs="仿宋_GB2312"/>
          <w:b w:val="0"/>
          <w:bCs w:val="0"/>
          <w:color w:val="auto"/>
          <w:sz w:val="32"/>
          <w:szCs w:val="32"/>
          <w:highlight w:val="none"/>
          <w:u w:val="none"/>
        </w:rPr>
        <w:t>集体学与个人学相结合</w:t>
      </w:r>
      <w:r>
        <w:rPr>
          <w:rFonts w:hint="eastAsia" w:ascii="仿宋_GB2312" w:hAnsi="仿宋_GB2312" w:eastAsia="仿宋_GB2312" w:cs="仿宋_GB2312"/>
          <w:b w:val="0"/>
          <w:bCs w:val="0"/>
          <w:color w:val="auto"/>
          <w:sz w:val="32"/>
          <w:szCs w:val="32"/>
          <w:highlight w:val="none"/>
          <w:u w:val="none"/>
          <w:lang w:eastAsia="zh-CN"/>
        </w:rPr>
        <w:t>，充分</w:t>
      </w:r>
      <w:r>
        <w:rPr>
          <w:rFonts w:eastAsia="仿宋_GB2312"/>
          <w:color w:val="auto"/>
          <w:sz w:val="32"/>
          <w:szCs w:val="32"/>
          <w:highlight w:val="none"/>
          <w:u w:val="none"/>
          <w:lang w:val="en"/>
        </w:rPr>
        <w:t>用好实践资</w:t>
      </w:r>
      <w:r>
        <w:rPr>
          <w:rFonts w:eastAsia="仿宋_GB2312"/>
          <w:b w:val="0"/>
          <w:bCs w:val="0"/>
          <w:color w:val="auto"/>
          <w:sz w:val="32"/>
          <w:szCs w:val="32"/>
          <w:highlight w:val="none"/>
          <w:u w:val="none"/>
          <w:lang w:val="en"/>
        </w:rPr>
        <w:t>源，</w:t>
      </w:r>
      <w:r>
        <w:rPr>
          <w:rFonts w:hint="eastAsia" w:ascii="仿宋_GB2312" w:hAnsi="仿宋_GB2312" w:eastAsia="仿宋_GB2312" w:cs="仿宋_GB2312"/>
          <w:b w:val="0"/>
          <w:bCs w:val="0"/>
          <w:color w:val="auto"/>
          <w:sz w:val="32"/>
          <w:szCs w:val="32"/>
          <w:highlight w:val="none"/>
          <w:lang w:eastAsia="zh-CN"/>
        </w:rPr>
        <w:t>强化习近平法治思想学习研讨</w:t>
      </w:r>
      <w:r>
        <w:rPr>
          <w:rFonts w:hint="eastAsia" w:eastAsia="仿宋_GB2312"/>
          <w:b w:val="0"/>
          <w:bCs w:val="0"/>
          <w:color w:val="auto"/>
          <w:sz w:val="32"/>
          <w:szCs w:val="32"/>
          <w:highlight w:val="none"/>
          <w:u w:val="none"/>
          <w:lang w:val="en" w:eastAsia="zh-CN"/>
        </w:rPr>
        <w:t>。</w:t>
      </w:r>
      <w:r>
        <w:rPr>
          <w:rFonts w:hint="eastAsia" w:eastAsia="仿宋_GB2312"/>
          <w:b/>
          <w:bCs/>
          <w:color w:val="auto"/>
          <w:sz w:val="32"/>
          <w:szCs w:val="32"/>
          <w:highlight w:val="none"/>
          <w:u w:val="none"/>
          <w:lang w:val="en" w:eastAsia="zh-CN"/>
        </w:rPr>
        <w:t>二是</w:t>
      </w:r>
      <w:r>
        <w:rPr>
          <w:rFonts w:hint="eastAsia" w:eastAsia="仿宋_GB2312"/>
          <w:b w:val="0"/>
          <w:bCs w:val="0"/>
          <w:color w:val="auto"/>
          <w:sz w:val="32"/>
          <w:szCs w:val="32"/>
          <w:highlight w:val="none"/>
          <w:u w:val="none"/>
          <w:lang w:val="en" w:eastAsia="zh-CN"/>
        </w:rPr>
        <w:t>全面落实行政执法三项制度等要求，</w:t>
      </w:r>
      <w:r>
        <w:rPr>
          <w:rFonts w:hint="eastAsia" w:ascii="仿宋_GB2312" w:hAnsi="仿宋_GB2312" w:eastAsia="仿宋_GB2312" w:cs="仿宋_GB2312"/>
          <w:color w:val="auto"/>
          <w:sz w:val="32"/>
          <w:szCs w:val="32"/>
          <w:highlight w:val="none"/>
          <w:lang w:eastAsia="zh-CN"/>
        </w:rPr>
        <w:t>积极参加市区行政执法培训，</w:t>
      </w:r>
      <w:r>
        <w:rPr>
          <w:rFonts w:hint="eastAsia" w:eastAsia="仿宋_GB2312"/>
          <w:b w:val="0"/>
          <w:bCs w:val="0"/>
          <w:color w:val="auto"/>
          <w:sz w:val="32"/>
          <w:szCs w:val="32"/>
          <w:highlight w:val="none"/>
          <w:u w:val="none"/>
          <w:lang w:val="en" w:eastAsia="zh-CN"/>
        </w:rPr>
        <w:t>及时规范全面报备行政规范性文件情况。</w:t>
      </w:r>
      <w:r>
        <w:rPr>
          <w:rFonts w:hint="eastAsia" w:eastAsia="仿宋_GB2312"/>
          <w:b/>
          <w:bCs/>
          <w:color w:val="auto"/>
          <w:sz w:val="32"/>
          <w:szCs w:val="32"/>
          <w:highlight w:val="none"/>
          <w:u w:val="none"/>
          <w:lang w:val="en" w:eastAsia="zh-CN"/>
        </w:rPr>
        <w:t>三是</w:t>
      </w:r>
      <w:r>
        <w:rPr>
          <w:rFonts w:hint="eastAsia" w:eastAsia="仿宋_GB2312"/>
          <w:b w:val="0"/>
          <w:bCs w:val="0"/>
          <w:color w:val="auto"/>
          <w:sz w:val="32"/>
          <w:szCs w:val="32"/>
          <w:highlight w:val="none"/>
          <w:u w:val="none"/>
          <w:lang w:val="en" w:eastAsia="zh-CN"/>
        </w:rPr>
        <w:t>持续落实“谁执法谁普法”责任制，运用微信交流群等多载体平台，</w:t>
      </w:r>
      <w:r>
        <w:rPr>
          <w:rFonts w:hint="eastAsia" w:ascii="仿宋_GB2312" w:hAnsi="仿宋_GB2312" w:eastAsia="仿宋_GB2312" w:cs="仿宋_GB2312"/>
          <w:color w:val="auto"/>
          <w:sz w:val="32"/>
          <w:szCs w:val="32"/>
          <w:highlight w:val="none"/>
          <w:lang w:val="en-US" w:eastAsia="zh-CN"/>
        </w:rPr>
        <w:t>开展形式多样的法律法规宣传活动，增强法治宣传教育活动的针对性、实效性。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丰台区发展和改革委员会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2025年1月13日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5553A"/>
    <w:multiLevelType w:val="singleLevel"/>
    <w:tmpl w:val="F1E55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31F4"/>
    <w:rsid w:val="09E30437"/>
    <w:rsid w:val="0ADE3804"/>
    <w:rsid w:val="0D776EC6"/>
    <w:rsid w:val="0FF9486F"/>
    <w:rsid w:val="1CCC3B84"/>
    <w:rsid w:val="1D1FBC57"/>
    <w:rsid w:val="213F10D5"/>
    <w:rsid w:val="22C15685"/>
    <w:rsid w:val="26462E73"/>
    <w:rsid w:val="28736F03"/>
    <w:rsid w:val="2C2B6645"/>
    <w:rsid w:val="2D177764"/>
    <w:rsid w:val="2D8222C2"/>
    <w:rsid w:val="2D913E27"/>
    <w:rsid w:val="2F7B3C6F"/>
    <w:rsid w:val="2FDB07A0"/>
    <w:rsid w:val="31C3379C"/>
    <w:rsid w:val="37FF91FE"/>
    <w:rsid w:val="3B1E8B1C"/>
    <w:rsid w:val="3BF885A6"/>
    <w:rsid w:val="3C1620B4"/>
    <w:rsid w:val="3FEA63CC"/>
    <w:rsid w:val="3FFFEACC"/>
    <w:rsid w:val="43CE218D"/>
    <w:rsid w:val="455E76A1"/>
    <w:rsid w:val="4A074798"/>
    <w:rsid w:val="4B810772"/>
    <w:rsid w:val="4DDE5A5E"/>
    <w:rsid w:val="53E6BD4D"/>
    <w:rsid w:val="545108C3"/>
    <w:rsid w:val="557F3956"/>
    <w:rsid w:val="562C0CAE"/>
    <w:rsid w:val="59F7CC2A"/>
    <w:rsid w:val="5DEA21A7"/>
    <w:rsid w:val="5FFC0CD6"/>
    <w:rsid w:val="66FF2E7B"/>
    <w:rsid w:val="6D7D1838"/>
    <w:rsid w:val="71EF2BD8"/>
    <w:rsid w:val="733DF2FC"/>
    <w:rsid w:val="74000349"/>
    <w:rsid w:val="77514BED"/>
    <w:rsid w:val="77D65595"/>
    <w:rsid w:val="77F8D193"/>
    <w:rsid w:val="77FD758D"/>
    <w:rsid w:val="7AFEFDA6"/>
    <w:rsid w:val="7C7FA8C2"/>
    <w:rsid w:val="7DCF1165"/>
    <w:rsid w:val="7DDB7344"/>
    <w:rsid w:val="7DFB4D23"/>
    <w:rsid w:val="7DFF9A36"/>
    <w:rsid w:val="7EAF861A"/>
    <w:rsid w:val="7EB3FF9F"/>
    <w:rsid w:val="7FBB4695"/>
    <w:rsid w:val="7FFD22FA"/>
    <w:rsid w:val="7FFFF4CA"/>
    <w:rsid w:val="893C8AED"/>
    <w:rsid w:val="9FF9A83B"/>
    <w:rsid w:val="A37F493E"/>
    <w:rsid w:val="ABBDC398"/>
    <w:rsid w:val="ADF548F2"/>
    <w:rsid w:val="AE5FCFF3"/>
    <w:rsid w:val="AFDBF9C9"/>
    <w:rsid w:val="B3BE0E7D"/>
    <w:rsid w:val="B5FE8857"/>
    <w:rsid w:val="B73FBE4D"/>
    <w:rsid w:val="B7DE0E2C"/>
    <w:rsid w:val="B8EFE0DF"/>
    <w:rsid w:val="BCFB9725"/>
    <w:rsid w:val="BDBF2F47"/>
    <w:rsid w:val="BDEFD1D7"/>
    <w:rsid w:val="BDFF3D7A"/>
    <w:rsid w:val="BFBB1933"/>
    <w:rsid w:val="BFDB6DA6"/>
    <w:rsid w:val="BFEF5F8D"/>
    <w:rsid w:val="CF0FFF5D"/>
    <w:rsid w:val="CF3B42ED"/>
    <w:rsid w:val="D6BA5F72"/>
    <w:rsid w:val="DABBAFCE"/>
    <w:rsid w:val="DBDFEBA5"/>
    <w:rsid w:val="DBFF4914"/>
    <w:rsid w:val="DCEF8C96"/>
    <w:rsid w:val="DDAF4796"/>
    <w:rsid w:val="DFFF7F75"/>
    <w:rsid w:val="E46FF1BF"/>
    <w:rsid w:val="E73E50D1"/>
    <w:rsid w:val="EBE785AE"/>
    <w:rsid w:val="EDB52DE5"/>
    <w:rsid w:val="EF1FE683"/>
    <w:rsid w:val="EF696830"/>
    <w:rsid w:val="EF7CA07C"/>
    <w:rsid w:val="EFFD4221"/>
    <w:rsid w:val="F2AF67C7"/>
    <w:rsid w:val="F5DAA653"/>
    <w:rsid w:val="F66FD4C2"/>
    <w:rsid w:val="F6DE33B8"/>
    <w:rsid w:val="F772F3D2"/>
    <w:rsid w:val="F8EB1BDF"/>
    <w:rsid w:val="F9BE1783"/>
    <w:rsid w:val="F9FF5865"/>
    <w:rsid w:val="FB4C9C88"/>
    <w:rsid w:val="FBA837C8"/>
    <w:rsid w:val="FCF42421"/>
    <w:rsid w:val="FDF790ED"/>
    <w:rsid w:val="FE7C3058"/>
    <w:rsid w:val="FEBA54BD"/>
    <w:rsid w:val="FEF64A78"/>
    <w:rsid w:val="FEF721B9"/>
    <w:rsid w:val="FF3F2F38"/>
    <w:rsid w:val="FFAAD9B6"/>
    <w:rsid w:val="FFAFD178"/>
    <w:rsid w:val="FFE72C56"/>
    <w:rsid w:val="FFEC31AC"/>
    <w:rsid w:val="FFFDB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mbria" w:hAnsi="Cambria" w:eastAsia="宋体" w:cs="Times New Roman"/>
      <w:bCs/>
      <w:szCs w:val="28"/>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2251</Words>
  <Characters>2298</Characters>
  <Paragraphs>24</Paragraphs>
  <TotalTime>386</TotalTime>
  <ScaleCrop>false</ScaleCrop>
  <LinksUpToDate>false</LinksUpToDate>
  <CharactersWithSpaces>2330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2022-11-02T14:36:00Z</dcterms:created>
  <dc:creator>doudou0818</dc:creator>
  <cp:lastModifiedBy>adin</cp:lastModifiedBy>
  <cp:lastPrinted>2025-01-13T06:44:00Z</cp:lastPrinted>
  <dcterms:modified xsi:type="dcterms:W3CDTF">2025-01-13T08:12:32Z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75C7BAE76A094F548A1C26596FCD5E4B</vt:lpwstr>
  </property>
</Properties>
</file>