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72"/>
          <w:szCs w:val="72"/>
        </w:rPr>
      </w:pPr>
    </w:p>
    <w:p>
      <w:pPr>
        <w:pStyle w:val="3"/>
        <w:ind w:firstLine="420"/>
        <w:rPr>
          <w:rFonts w:hint="eastAsia"/>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lang w:eastAsia="zh-CN"/>
        </w:rPr>
        <w:t>北京市丰台区归国华侨联合会</w:t>
      </w:r>
    </w:p>
    <w:p>
      <w:pPr>
        <w:jc w:val="center"/>
        <w:rPr>
          <w:rFonts w:ascii="黑体" w:eastAsia="黑体"/>
          <w:sz w:val="52"/>
          <w:szCs w:val="52"/>
        </w:rPr>
      </w:pPr>
      <w:r>
        <w:rPr>
          <w:rFonts w:hint="eastAsia" w:ascii="黑体" w:eastAsia="黑体"/>
          <w:sz w:val="72"/>
          <w:szCs w:val="72"/>
        </w:rPr>
        <w:t>202</w:t>
      </w:r>
      <w:r>
        <w:rPr>
          <w:rFonts w:ascii="黑体" w:eastAsia="黑体"/>
          <w:sz w:val="72"/>
          <w:szCs w:val="72"/>
        </w:rPr>
        <w:t>1</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pStyle w:val="3"/>
        <w:ind w:firstLine="1040"/>
        <w:rPr>
          <w:rFonts w:ascii="黑体" w:eastAsia="黑体"/>
          <w:sz w:val="52"/>
          <w:szCs w:val="52"/>
        </w:rPr>
      </w:pPr>
    </w:p>
    <w:p>
      <w:pPr>
        <w:pStyle w:val="3"/>
        <w:ind w:firstLine="1040"/>
        <w:rPr>
          <w:rFonts w:ascii="黑体" w:eastAsia="黑体"/>
          <w:sz w:val="52"/>
          <w:szCs w:val="52"/>
        </w:rPr>
      </w:pPr>
    </w:p>
    <w:p>
      <w:pPr>
        <w:jc w:val="center"/>
        <w:rPr>
          <w:rFonts w:ascii="黑体" w:eastAsia="黑体"/>
          <w:sz w:val="52"/>
          <w:szCs w:val="52"/>
        </w:rPr>
      </w:pPr>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Lines="100"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ascii="宋体" w:hAnsi="宋体" w:cs="宋体"/>
          <w:bCs/>
          <w:spacing w:val="40"/>
          <w:kern w:val="0"/>
          <w:sz w:val="32"/>
          <w:szCs w:val="32"/>
        </w:rPr>
        <w:t>1</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Lines="50"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ascii="宋体" w:hAnsi="宋体"/>
          <w:spacing w:val="40"/>
          <w:sz w:val="32"/>
          <w:szCs w:val="32"/>
        </w:rPr>
        <w:t>1</w:t>
      </w:r>
      <w:r>
        <w:rPr>
          <w:rFonts w:hint="eastAsia" w:ascii="宋体" w:hAnsi="宋体"/>
          <w:spacing w:val="40"/>
          <w:sz w:val="32"/>
          <w:szCs w:val="32"/>
        </w:rPr>
        <w:t>年度部门决算说明</w:t>
      </w:r>
    </w:p>
    <w:p>
      <w:pPr>
        <w:tabs>
          <w:tab w:val="center" w:pos="6979"/>
        </w:tabs>
        <w:spacing w:beforeLines="50"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ascii="宋体" w:hAnsi="宋体"/>
          <w:spacing w:val="40"/>
          <w:sz w:val="32"/>
          <w:szCs w:val="32"/>
        </w:rPr>
        <w:t>1</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beforeLines="50"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ascii="宋体" w:hAnsi="宋体" w:cs="宋体"/>
          <w:spacing w:val="40"/>
          <w:kern w:val="0"/>
          <w:sz w:val="32"/>
          <w:szCs w:val="32"/>
        </w:rPr>
        <w:t>1</w:t>
      </w:r>
      <w:r>
        <w:rPr>
          <w:rFonts w:hint="eastAsia" w:ascii="宋体" w:hAnsi="宋体" w:cs="宋体"/>
          <w:spacing w:val="40"/>
          <w:kern w:val="0"/>
          <w:sz w:val="32"/>
          <w:szCs w:val="32"/>
        </w:rPr>
        <w:t>年度部门绩效评价情况</w:t>
      </w:r>
    </w:p>
    <w:p>
      <w:pPr>
        <w:tabs>
          <w:tab w:val="center" w:pos="6979"/>
        </w:tabs>
        <w:spacing w:beforeLines="50" w:afterLines="50"/>
        <w:jc w:val="center"/>
        <w:rPr>
          <w:rFonts w:ascii="宋体" w:hAnsi="宋体" w:cs="宋体"/>
          <w:b/>
          <w:bCs/>
          <w:spacing w:val="40"/>
          <w:kern w:val="0"/>
          <w:sz w:val="44"/>
          <w:szCs w:val="44"/>
        </w:rPr>
      </w:pPr>
      <w:r>
        <w:rPr>
          <w:rFonts w:hint="eastAsia" w:ascii="宋体" w:hAnsi="宋体" w:cs="宋体"/>
          <w:b/>
          <w:bCs/>
          <w:spacing w:val="40"/>
          <w:kern w:val="0"/>
          <w:sz w:val="32"/>
          <w:szCs w:val="32"/>
        </w:rPr>
        <w:t>第一部分 2021年度部门决算报表</w:t>
      </w:r>
    </w:p>
    <w:p>
      <w:pPr>
        <w:tabs>
          <w:tab w:val="center" w:pos="6979"/>
        </w:tabs>
        <w:spacing w:line="580" w:lineRule="exact"/>
        <w:ind w:firstLine="560" w:firstLineChars="200"/>
        <w:rPr>
          <w:rFonts w:hint="eastAsia" w:ascii="仿宋_GB2312" w:hAnsi="宋体" w:eastAsia="仿宋_GB2312" w:cs="宋体"/>
          <w:bCs/>
          <w:spacing w:val="40"/>
          <w:kern w:val="0"/>
          <w:sz w:val="32"/>
          <w:szCs w:val="32"/>
        </w:rPr>
      </w:pPr>
      <w:r>
        <w:rPr>
          <w:rFonts w:hint="eastAsia" w:ascii="仿宋_GB2312" w:eastAsia="仿宋_GB2312"/>
          <w:kern w:val="0"/>
          <w:sz w:val="28"/>
          <w:szCs w:val="28"/>
        </w:rPr>
        <w:t>北京市丰台区归国华侨联合会2021年度部门决算报表详见附件。</w:t>
      </w:r>
    </w:p>
    <w:p>
      <w:pPr>
        <w:tabs>
          <w:tab w:val="center" w:pos="6979"/>
        </w:tabs>
        <w:spacing w:beforeLines="50"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年度部门决算说明</w:t>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hint="eastAsia" w:ascii="黑体" w:hAnsi="Times New Roman" w:eastAsia="黑体" w:cs="Times New Roman"/>
          <w:b/>
          <w:sz w:val="28"/>
          <w:szCs w:val="28"/>
        </w:rPr>
      </w:pPr>
      <w:r>
        <w:rPr>
          <w:rFonts w:hint="eastAsia" w:ascii="黑体" w:hAnsi="Times New Roman" w:eastAsia="黑体" w:cs="Times New Roman"/>
          <w:b/>
          <w:sz w:val="28"/>
          <w:szCs w:val="28"/>
        </w:rPr>
        <w:t>一、</w:t>
      </w:r>
      <w:r>
        <w:rPr>
          <w:rFonts w:hint="eastAsia" w:ascii="黑体" w:hAnsi="Times New Roman" w:eastAsia="黑体" w:cs="Times New Roman"/>
          <w:b/>
          <w:sz w:val="28"/>
          <w:szCs w:val="28"/>
          <w:lang w:eastAsia="zh-CN"/>
        </w:rPr>
        <w:t>丰台区侨联</w:t>
      </w:r>
      <w:r>
        <w:rPr>
          <w:rFonts w:hint="eastAsia" w:ascii="黑体" w:hAnsi="Times New Roman" w:eastAsia="黑体" w:cs="Times New Roman"/>
          <w:b/>
          <w:sz w:val="28"/>
          <w:szCs w:val="28"/>
        </w:rPr>
        <w:t>基本情况</w:t>
      </w:r>
    </w:p>
    <w:p>
      <w:pPr>
        <w:keepNext w:val="0"/>
        <w:keepLines w:val="0"/>
        <w:pageBreakBefore w:val="0"/>
        <w:widowControl w:val="0"/>
        <w:tabs>
          <w:tab w:val="center" w:pos="6979"/>
        </w:tabs>
        <w:kinsoku/>
        <w:wordWrap/>
        <w:overflowPunct/>
        <w:topLinePunct w:val="0"/>
        <w:bidi w:val="0"/>
        <w:snapToGrid/>
        <w:spacing w:line="56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（一）机构</w:t>
      </w:r>
      <w:r>
        <w:rPr>
          <w:rFonts w:ascii="仿宋_GB2312" w:hAnsi="Times New Roman" w:eastAsia="仿宋_GB2312" w:cs="Times New Roman"/>
          <w:sz w:val="28"/>
          <w:szCs w:val="28"/>
        </w:rPr>
        <w:t>设置、</w:t>
      </w:r>
      <w:r>
        <w:rPr>
          <w:rFonts w:hint="eastAsia" w:ascii="仿宋_GB2312" w:hAnsi="Times New Roman" w:eastAsia="仿宋_GB2312" w:cs="Times New Roman"/>
          <w:sz w:val="28"/>
          <w:szCs w:val="28"/>
        </w:rPr>
        <w:t>职责</w:t>
      </w:r>
    </w:p>
    <w:p>
      <w:pPr>
        <w:keepNext w:val="0"/>
        <w:keepLines w:val="0"/>
        <w:pageBreakBefore w:val="0"/>
        <w:widowControl w:val="0"/>
        <w:tabs>
          <w:tab w:val="center" w:pos="6979"/>
        </w:tabs>
        <w:kinsoku/>
        <w:wordWrap/>
        <w:overflowPunct/>
        <w:topLinePunct w:val="0"/>
        <w:bidi w:val="0"/>
        <w:snapToGrid/>
        <w:spacing w:line="56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侨联部门职能主要为：1.宣传贯彻《中华人民共和国归侨侨眷权益保护法》、北京市《实施办法》等有关规定，协助有关部门做好维权工作。2.全面掌握丰台区侨情，认真开展调查研究，了解新情况，研究新问题，总结新经验，提出做“侨”工作的意见、建议，给区委当好参谋。3.组织归侨、侨眷、侨界委员及海外侨胞亲属学习党和政府的侨务政策，开展爱国主义和社会主义教育。4.做好侨界代表人士的访问、讲学、经贸洽谈的服务工作，鼓励归侨、侨眷及海外侨胞亲属与他们在海外的亲属联系，发挥“侨”的优势，为丰台区经济建设服务。5.作为侨联工作的长期性任务，认真做好归侨二、三代、留学生及移居海外人员及家属的工作。6.积极参与协商、推荐人大代表和政协委员中的归侨、侨眷的人选工作。7.逐步拓展与海外华人、华侨社团的联系，同他们建立稳定而广泛的友谊，促进与各国华侨、华人社团的友好合作，扩大在海外的影响。8.做好区域性侨务工作，指导街道侨联组织做好基层侨联工作。9.贯彻“一国两制”方针，会同有关涉“侨”单位，做好维护祖国和平统一工作。10.负责来信来访接待工作，做好机关的文件管理、保密及信息工作。11.联合院校、协会等做好海外华裔青少年工作。12.承办区委交办的其他事项。</w:t>
      </w:r>
    </w:p>
    <w:p>
      <w:pPr>
        <w:keepNext w:val="0"/>
        <w:keepLines w:val="0"/>
        <w:pageBreakBefore w:val="0"/>
        <w:widowControl w:val="0"/>
        <w:tabs>
          <w:tab w:val="center" w:pos="6979"/>
        </w:tabs>
        <w:kinsoku/>
        <w:wordWrap/>
        <w:overflowPunct/>
        <w:topLinePunct w:val="0"/>
        <w:bidi w:val="0"/>
        <w:snapToGrid/>
        <w:spacing w:line="56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侨联</w:t>
      </w:r>
      <w:r>
        <w:rPr>
          <w:rFonts w:hint="eastAsia" w:ascii="仿宋_GB2312" w:hAnsi="Times New Roman" w:eastAsia="仿宋_GB2312" w:cs="Times New Roman"/>
          <w:sz w:val="28"/>
          <w:szCs w:val="28"/>
        </w:rPr>
        <w:t>共包含行政单位1个（含行政执法机构0个），事业单位0个，侨联不设内设机构。</w:t>
      </w:r>
    </w:p>
    <w:p>
      <w:pPr>
        <w:keepNext w:val="0"/>
        <w:keepLines w:val="0"/>
        <w:pageBreakBefore w:val="0"/>
        <w:widowControl w:val="0"/>
        <w:tabs>
          <w:tab w:val="center" w:pos="6979"/>
        </w:tabs>
        <w:kinsoku/>
        <w:wordWrap/>
        <w:overflowPunct/>
        <w:topLinePunct w:val="0"/>
        <w:bidi w:val="0"/>
        <w:snapToGrid/>
        <w:spacing w:line="560" w:lineRule="exact"/>
        <w:ind w:firstLine="420" w:firstLineChars="150"/>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（二）人员构成情况</w:t>
      </w:r>
    </w:p>
    <w:p>
      <w:pPr>
        <w:pStyle w:val="3"/>
        <w:keepNext w:val="0"/>
        <w:keepLines w:val="0"/>
        <w:pageBreakBefore w:val="0"/>
        <w:widowControl w:val="0"/>
        <w:kinsoku/>
        <w:wordWrap/>
        <w:overflowPunct/>
        <w:topLinePunct w:val="0"/>
        <w:bidi w:val="0"/>
        <w:snapToGrid/>
        <w:spacing w:line="560" w:lineRule="exact"/>
        <w:textAlignment w:val="auto"/>
      </w:pPr>
      <w:r>
        <w:rPr>
          <w:rFonts w:hint="eastAsia" w:ascii="仿宋_GB2312" w:hAnsi="Times New Roman" w:eastAsia="仿宋_GB2312" w:cs="Times New Roman"/>
          <w:sz w:val="28"/>
          <w:szCs w:val="28"/>
        </w:rPr>
        <w:t>截至20</w:t>
      </w:r>
      <w:r>
        <w:rPr>
          <w:rFonts w:hint="eastAsia" w:ascii="仿宋_GB2312" w:hAnsi="Times New Roman" w:eastAsia="仿宋_GB2312" w:cs="Times New Roman"/>
          <w:sz w:val="28"/>
          <w:szCs w:val="28"/>
          <w:lang w:val="en-US" w:eastAsia="zh-CN"/>
        </w:rPr>
        <w:t>21</w:t>
      </w:r>
      <w:r>
        <w:rPr>
          <w:rFonts w:hint="eastAsia" w:ascii="仿宋_GB2312" w:hAnsi="Times New Roman" w:eastAsia="仿宋_GB2312" w:cs="Times New Roman"/>
          <w:sz w:val="28"/>
          <w:szCs w:val="28"/>
        </w:rPr>
        <w:t>年底，共有行政编制4人，实际</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人；事业编制0人，实际0人；离退休人员3人。</w:t>
      </w:r>
    </w:p>
    <w:p>
      <w:pPr>
        <w:keepNext w:val="0"/>
        <w:keepLines w:val="0"/>
        <w:pageBreakBefore w:val="0"/>
        <w:widowControl w:val="0"/>
        <w:tabs>
          <w:tab w:val="center" w:pos="6979"/>
        </w:tabs>
        <w:kinsoku/>
        <w:wordWrap/>
        <w:overflowPunct/>
        <w:topLinePunct w:val="0"/>
        <w:bidi w:val="0"/>
        <w:snapToGrid/>
        <w:spacing w:line="560" w:lineRule="exact"/>
        <w:textAlignment w:val="auto"/>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154.787241</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21</w:t>
      </w:r>
      <w:r>
        <w:rPr>
          <w:rFonts w:ascii="仿宋_GB2312" w:eastAsia="仿宋_GB2312"/>
          <w:sz w:val="28"/>
          <w:szCs w:val="28"/>
        </w:rPr>
        <w:t>.</w:t>
      </w:r>
      <w:r>
        <w:rPr>
          <w:rFonts w:hint="eastAsia" w:ascii="仿宋_GB2312" w:eastAsia="仿宋_GB2312"/>
          <w:sz w:val="28"/>
          <w:szCs w:val="28"/>
          <w:lang w:val="en-US" w:eastAsia="zh-CN"/>
        </w:rPr>
        <w:t>474326</w:t>
      </w:r>
      <w:r>
        <w:rPr>
          <w:rFonts w:hint="eastAsia" w:ascii="仿宋_GB2312" w:eastAsia="仿宋_GB2312"/>
          <w:sz w:val="28"/>
          <w:szCs w:val="28"/>
        </w:rPr>
        <w:t>万元，增长</w:t>
      </w:r>
      <w:r>
        <w:rPr>
          <w:rFonts w:hint="eastAsia" w:ascii="仿宋_GB2312" w:eastAsia="仿宋_GB2312"/>
          <w:sz w:val="28"/>
          <w:szCs w:val="28"/>
          <w:lang w:val="en-US" w:eastAsia="zh-CN"/>
        </w:rPr>
        <w:t>16</w:t>
      </w:r>
      <w:r>
        <w:rPr>
          <w:rFonts w:ascii="仿宋_GB2312" w:eastAsia="仿宋_GB2312"/>
          <w:sz w:val="28"/>
          <w:szCs w:val="28"/>
        </w:rPr>
        <w:t>.</w:t>
      </w:r>
      <w:r>
        <w:rPr>
          <w:rFonts w:hint="eastAsia" w:ascii="仿宋_GB2312" w:eastAsia="仿宋_GB2312"/>
          <w:sz w:val="28"/>
          <w:szCs w:val="28"/>
          <w:lang w:val="en-US" w:eastAsia="zh-CN"/>
        </w:rPr>
        <w:t>11</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年度本年收入合计</w:t>
      </w:r>
      <w:r>
        <w:rPr>
          <w:rFonts w:hint="eastAsia" w:ascii="仿宋_GB2312" w:eastAsia="仿宋_GB2312"/>
          <w:sz w:val="28"/>
          <w:szCs w:val="28"/>
          <w:lang w:val="en-US" w:eastAsia="zh-CN"/>
        </w:rPr>
        <w:t>126</w:t>
      </w:r>
      <w:r>
        <w:rPr>
          <w:rFonts w:ascii="仿宋_GB2312" w:eastAsia="仿宋_GB2312"/>
          <w:sz w:val="28"/>
          <w:szCs w:val="28"/>
        </w:rPr>
        <w:t>.</w:t>
      </w:r>
      <w:r>
        <w:rPr>
          <w:rFonts w:hint="eastAsia" w:ascii="仿宋_GB2312" w:eastAsia="仿宋_GB2312"/>
          <w:sz w:val="28"/>
          <w:szCs w:val="28"/>
          <w:lang w:val="en-US" w:eastAsia="zh-CN"/>
        </w:rPr>
        <w:t>268929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5.686562</w:t>
      </w:r>
      <w:r>
        <w:rPr>
          <w:rFonts w:hint="eastAsia" w:ascii="仿宋_GB2312" w:eastAsia="仿宋_GB2312"/>
          <w:sz w:val="28"/>
          <w:szCs w:val="28"/>
        </w:rPr>
        <w:t>万元，下降</w:t>
      </w:r>
      <w:r>
        <w:rPr>
          <w:rFonts w:hint="eastAsia" w:ascii="仿宋_GB2312" w:eastAsia="仿宋_GB2312"/>
          <w:sz w:val="28"/>
          <w:szCs w:val="28"/>
          <w:lang w:val="en-US" w:eastAsia="zh-CN"/>
        </w:rPr>
        <w:t>4</w:t>
      </w:r>
      <w:r>
        <w:rPr>
          <w:rFonts w:ascii="仿宋_GB2312" w:eastAsia="仿宋_GB2312"/>
          <w:sz w:val="28"/>
          <w:szCs w:val="28"/>
        </w:rPr>
        <w:t>.</w:t>
      </w:r>
      <w:r>
        <w:rPr>
          <w:rFonts w:hint="eastAsia" w:ascii="仿宋_GB2312" w:eastAsia="仿宋_GB2312"/>
          <w:sz w:val="28"/>
          <w:szCs w:val="28"/>
          <w:lang w:val="en-US" w:eastAsia="zh-CN"/>
        </w:rPr>
        <w:t>31</w:t>
      </w:r>
      <w:r>
        <w:rPr>
          <w:rFonts w:hint="eastAsia" w:ascii="仿宋_GB2312" w:eastAsia="仿宋_GB2312"/>
          <w:sz w:val="28"/>
          <w:szCs w:val="28"/>
        </w:rPr>
        <w:t>%，其中：财政拨款收入126.254896万元，占收入合计的</w:t>
      </w:r>
      <w:r>
        <w:rPr>
          <w:rFonts w:hint="eastAsia" w:ascii="仿宋_GB2312" w:eastAsia="仿宋_GB2312"/>
          <w:sz w:val="28"/>
          <w:szCs w:val="28"/>
          <w:lang w:val="en-US" w:eastAsia="zh-CN"/>
        </w:rPr>
        <w:t>99.99</w:t>
      </w:r>
      <w:r>
        <w:rPr>
          <w:rFonts w:hint="eastAsia" w:ascii="仿宋_GB2312" w:eastAsia="仿宋_GB2312"/>
          <w:sz w:val="28"/>
          <w:szCs w:val="28"/>
        </w:rPr>
        <w:t>%；上级补助收入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%；事业收入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%；经营收入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%；附属单位上缴收入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%；其他收入</w:t>
      </w:r>
      <w:r>
        <w:rPr>
          <w:rFonts w:hint="eastAsia" w:ascii="仿宋_GB2312" w:eastAsia="仿宋_GB2312"/>
          <w:sz w:val="28"/>
          <w:szCs w:val="28"/>
          <w:lang w:val="en-US" w:eastAsia="zh-CN"/>
        </w:rPr>
        <w:t>0.014033</w:t>
      </w:r>
      <w:r>
        <w:rPr>
          <w:rFonts w:hint="eastAsia" w:ascii="仿宋_GB2312" w:eastAsia="仿宋_GB2312"/>
          <w:sz w:val="28"/>
          <w:szCs w:val="28"/>
        </w:rPr>
        <w:t>万元，占收入合计的</w:t>
      </w:r>
      <w:r>
        <w:rPr>
          <w:rFonts w:hint="eastAsia" w:ascii="仿宋_GB2312" w:eastAsia="仿宋_GB2312"/>
          <w:sz w:val="28"/>
          <w:szCs w:val="28"/>
          <w:lang w:val="en-US" w:eastAsia="zh-CN"/>
        </w:rPr>
        <w:t>0.01</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年度本年支出合计</w:t>
      </w:r>
      <w:r>
        <w:rPr>
          <w:rFonts w:hint="eastAsia" w:ascii="仿宋_GB2312" w:eastAsia="仿宋_GB2312"/>
          <w:sz w:val="28"/>
          <w:szCs w:val="28"/>
          <w:lang w:val="en-US" w:eastAsia="zh-CN"/>
        </w:rPr>
        <w:t>151.98262</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20.290328</w:t>
      </w:r>
      <w:r>
        <w:rPr>
          <w:rFonts w:hint="eastAsia" w:ascii="仿宋_GB2312" w:eastAsia="仿宋_GB2312"/>
          <w:sz w:val="28"/>
          <w:szCs w:val="28"/>
        </w:rPr>
        <w:t>万元，增长</w:t>
      </w:r>
      <w:r>
        <w:rPr>
          <w:rFonts w:hint="eastAsia" w:ascii="仿宋_GB2312" w:eastAsia="仿宋_GB2312"/>
          <w:sz w:val="28"/>
          <w:szCs w:val="28"/>
          <w:lang w:val="en-US" w:eastAsia="zh-CN"/>
        </w:rPr>
        <w:t>15</w:t>
      </w:r>
      <w:r>
        <w:rPr>
          <w:rFonts w:ascii="仿宋_GB2312" w:eastAsia="仿宋_GB2312"/>
          <w:sz w:val="28"/>
          <w:szCs w:val="28"/>
        </w:rPr>
        <w:t>.</w:t>
      </w:r>
      <w:r>
        <w:rPr>
          <w:rFonts w:hint="eastAsia" w:ascii="仿宋_GB2312" w:eastAsia="仿宋_GB2312"/>
          <w:sz w:val="28"/>
          <w:szCs w:val="28"/>
          <w:lang w:val="en-US" w:eastAsia="zh-CN"/>
        </w:rPr>
        <w:t>41</w:t>
      </w:r>
      <w:r>
        <w:rPr>
          <w:rFonts w:hint="eastAsia" w:ascii="仿宋_GB2312" w:eastAsia="仿宋_GB2312"/>
          <w:sz w:val="28"/>
          <w:szCs w:val="28"/>
        </w:rPr>
        <w:t>%，其中：基本支出</w:t>
      </w:r>
      <w:r>
        <w:rPr>
          <w:rFonts w:hint="eastAsia" w:ascii="仿宋_GB2312" w:eastAsia="仿宋_GB2312"/>
          <w:sz w:val="28"/>
          <w:szCs w:val="28"/>
          <w:lang w:val="en-US" w:eastAsia="zh-CN"/>
        </w:rPr>
        <w:t>132.280231</w:t>
      </w:r>
      <w:r>
        <w:rPr>
          <w:rFonts w:hint="eastAsia" w:ascii="仿宋_GB2312" w:eastAsia="仿宋_GB2312"/>
          <w:sz w:val="28"/>
          <w:szCs w:val="28"/>
        </w:rPr>
        <w:t>万元，占支出合计的</w:t>
      </w:r>
      <w:r>
        <w:rPr>
          <w:rFonts w:hint="eastAsia" w:ascii="仿宋_GB2312" w:eastAsia="仿宋_GB2312"/>
          <w:sz w:val="28"/>
          <w:szCs w:val="28"/>
          <w:lang w:val="en-US" w:eastAsia="zh-CN"/>
        </w:rPr>
        <w:t>87</w:t>
      </w:r>
      <w:r>
        <w:rPr>
          <w:rFonts w:ascii="仿宋_GB2312" w:eastAsia="仿宋_GB2312"/>
          <w:sz w:val="28"/>
          <w:szCs w:val="28"/>
        </w:rPr>
        <w:t>.</w:t>
      </w:r>
      <w:r>
        <w:rPr>
          <w:rFonts w:hint="eastAsia" w:ascii="仿宋_GB2312" w:eastAsia="仿宋_GB2312"/>
          <w:sz w:val="28"/>
          <w:szCs w:val="28"/>
          <w:lang w:val="en-US" w:eastAsia="zh-CN"/>
        </w:rPr>
        <w:t>04</w:t>
      </w:r>
      <w:r>
        <w:rPr>
          <w:rFonts w:hint="eastAsia" w:ascii="仿宋_GB2312" w:eastAsia="仿宋_GB2312"/>
          <w:sz w:val="28"/>
          <w:szCs w:val="28"/>
        </w:rPr>
        <w:t>%；项目支出</w:t>
      </w:r>
      <w:r>
        <w:rPr>
          <w:rFonts w:hint="eastAsia" w:ascii="仿宋_GB2312" w:eastAsia="仿宋_GB2312"/>
          <w:sz w:val="28"/>
          <w:szCs w:val="28"/>
          <w:lang w:val="en-US" w:eastAsia="zh-CN"/>
        </w:rPr>
        <w:t>19.702389</w:t>
      </w:r>
      <w:r>
        <w:rPr>
          <w:rFonts w:hint="eastAsia" w:ascii="仿宋_GB2312" w:eastAsia="仿宋_GB2312"/>
          <w:sz w:val="28"/>
          <w:szCs w:val="28"/>
        </w:rPr>
        <w:t>万元，占支出合计的</w:t>
      </w:r>
      <w:r>
        <w:rPr>
          <w:rFonts w:hint="eastAsia" w:ascii="仿宋_GB2312" w:eastAsia="仿宋_GB2312"/>
          <w:sz w:val="28"/>
          <w:szCs w:val="28"/>
          <w:lang w:val="en-US" w:eastAsia="zh-CN"/>
        </w:rPr>
        <w:t>12</w:t>
      </w:r>
      <w:r>
        <w:rPr>
          <w:rFonts w:ascii="仿宋_GB2312" w:eastAsia="仿宋_GB2312"/>
          <w:sz w:val="28"/>
          <w:szCs w:val="28"/>
        </w:rPr>
        <w:t>.</w:t>
      </w:r>
      <w:r>
        <w:rPr>
          <w:rFonts w:hint="eastAsia" w:ascii="仿宋_GB2312" w:eastAsia="仿宋_GB2312"/>
          <w:sz w:val="28"/>
          <w:szCs w:val="28"/>
          <w:lang w:val="en-US" w:eastAsia="zh-CN"/>
        </w:rPr>
        <w:t>96</w:t>
      </w:r>
      <w:r>
        <w:rPr>
          <w:rFonts w:hint="eastAsia" w:ascii="仿宋_GB2312" w:eastAsia="仿宋_GB2312"/>
          <w:sz w:val="28"/>
          <w:szCs w:val="28"/>
        </w:rPr>
        <w:t>%;上缴上级支出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keepNext w:val="0"/>
        <w:keepLines w:val="0"/>
        <w:pageBreakBefore w:val="0"/>
        <w:widowControl w:val="0"/>
        <w:tabs>
          <w:tab w:val="center" w:pos="6979"/>
        </w:tabs>
        <w:kinsoku/>
        <w:wordWrap/>
        <w:overflowPunct/>
        <w:topLinePunct w:val="0"/>
        <w:bidi w:val="0"/>
        <w:snapToGrid/>
        <w:spacing w:line="560" w:lineRule="exact"/>
        <w:ind w:firstLine="570"/>
        <w:textAlignment w:val="auto"/>
        <w:rPr>
          <w:rFonts w:hint="default" w:ascii="仿宋_GB2312" w:eastAsia="仿宋_GB2312"/>
          <w:sz w:val="28"/>
          <w:szCs w:val="28"/>
          <w:lang w:val="en-US" w:eastAsia="zh-CN"/>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154.773208</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21</w:t>
      </w:r>
      <w:r>
        <w:rPr>
          <w:rFonts w:ascii="仿宋_GB2312" w:eastAsia="仿宋_GB2312"/>
          <w:sz w:val="28"/>
          <w:szCs w:val="28"/>
        </w:rPr>
        <w:t>.</w:t>
      </w:r>
      <w:r>
        <w:rPr>
          <w:rFonts w:hint="eastAsia" w:ascii="仿宋_GB2312" w:eastAsia="仿宋_GB2312"/>
          <w:sz w:val="28"/>
          <w:szCs w:val="28"/>
          <w:lang w:val="en-US" w:eastAsia="zh-CN"/>
        </w:rPr>
        <w:t>460293</w:t>
      </w:r>
      <w:r>
        <w:rPr>
          <w:rFonts w:hint="eastAsia" w:ascii="仿宋_GB2312" w:eastAsia="仿宋_GB2312"/>
          <w:sz w:val="28"/>
          <w:szCs w:val="28"/>
        </w:rPr>
        <w:t>万元，增长</w:t>
      </w:r>
      <w:r>
        <w:rPr>
          <w:rFonts w:hint="eastAsia" w:ascii="仿宋_GB2312" w:eastAsia="仿宋_GB2312"/>
          <w:sz w:val="28"/>
          <w:szCs w:val="28"/>
          <w:lang w:val="en-US" w:eastAsia="zh-CN"/>
        </w:rPr>
        <w:t>16</w:t>
      </w:r>
      <w:r>
        <w:rPr>
          <w:rFonts w:ascii="仿宋_GB2312" w:eastAsia="仿宋_GB2312"/>
          <w:sz w:val="28"/>
          <w:szCs w:val="28"/>
        </w:rPr>
        <w:t>.</w:t>
      </w:r>
      <w:r>
        <w:rPr>
          <w:rFonts w:hint="eastAsia" w:ascii="仿宋_GB2312" w:eastAsia="仿宋_GB2312"/>
          <w:sz w:val="28"/>
          <w:szCs w:val="28"/>
          <w:lang w:val="en-US" w:eastAsia="zh-CN"/>
        </w:rPr>
        <w:t>10</w:t>
      </w:r>
      <w:r>
        <w:rPr>
          <w:rFonts w:hint="eastAsia" w:ascii="仿宋_GB2312" w:eastAsia="仿宋_GB2312"/>
          <w:sz w:val="28"/>
          <w:szCs w:val="28"/>
        </w:rPr>
        <w:t>%。主要原因：</w:t>
      </w:r>
      <w:r>
        <w:rPr>
          <w:rFonts w:hint="eastAsia" w:ascii="仿宋_GB2312" w:eastAsia="仿宋_GB2312"/>
          <w:sz w:val="28"/>
          <w:szCs w:val="28"/>
          <w:lang w:val="en-US" w:eastAsia="zh-CN"/>
        </w:rPr>
        <w:t>2020年12月新入职一名工作人员，人员经费增加。</w:t>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hint="eastAsia" w:ascii="黑体" w:eastAsia="黑体"/>
          <w:b/>
          <w:sz w:val="28"/>
          <w:szCs w:val="28"/>
        </w:rPr>
      </w:pPr>
      <w:r>
        <w:rPr>
          <w:rFonts w:hint="eastAsia" w:ascii="黑体" w:eastAsia="黑体"/>
          <w:b/>
          <w:sz w:val="28"/>
          <w:szCs w:val="28"/>
        </w:rPr>
        <w:t>四、一般公共预算财政拨款支出决算情况说明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年度一般公共预算财政拨款支出</w:t>
      </w:r>
      <w:r>
        <w:rPr>
          <w:rFonts w:hint="eastAsia" w:ascii="仿宋_GB2312" w:eastAsia="仿宋_GB2312"/>
          <w:sz w:val="28"/>
          <w:szCs w:val="28"/>
          <w:lang w:val="en-US" w:eastAsia="zh-CN"/>
        </w:rPr>
        <w:t>151.98262</w:t>
      </w:r>
      <w:r>
        <w:rPr>
          <w:rFonts w:hint="eastAsia" w:ascii="仿宋_GB2312" w:eastAsia="仿宋_GB2312"/>
          <w:sz w:val="28"/>
          <w:szCs w:val="28"/>
        </w:rPr>
        <w:t>万元，主要用于以下方面：一般公共服务支出</w:t>
      </w:r>
      <w:r>
        <w:rPr>
          <w:rFonts w:hint="eastAsia" w:ascii="仿宋_GB2312" w:eastAsia="仿宋_GB2312"/>
          <w:sz w:val="28"/>
          <w:szCs w:val="28"/>
          <w:lang w:val="en-US" w:eastAsia="zh-CN"/>
        </w:rPr>
        <w:t>116.55092</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76</w:t>
      </w:r>
      <w:r>
        <w:rPr>
          <w:rFonts w:ascii="仿宋_GB2312" w:eastAsia="仿宋_GB2312"/>
          <w:sz w:val="28"/>
          <w:szCs w:val="28"/>
        </w:rPr>
        <w:t>.</w:t>
      </w:r>
      <w:r>
        <w:rPr>
          <w:rFonts w:hint="eastAsia" w:ascii="仿宋_GB2312" w:eastAsia="仿宋_GB2312"/>
          <w:sz w:val="28"/>
          <w:szCs w:val="28"/>
          <w:lang w:val="en-US" w:eastAsia="zh-CN"/>
        </w:rPr>
        <w:t>69</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15.4702万元，占本年财政拨款支出10.18%；住房保障支出19.9615万元，占本年财政拨款支出13.13%</w:t>
      </w:r>
      <w:r>
        <w:rPr>
          <w:rFonts w:hint="eastAsia" w:ascii="仿宋_GB2312" w:eastAsia="仿宋_GB2312"/>
          <w:sz w:val="28"/>
          <w:szCs w:val="28"/>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1、“一般公共服务支出”202</w:t>
      </w:r>
      <w:r>
        <w:rPr>
          <w:rFonts w:ascii="仿宋_GB2312" w:eastAsia="仿宋_GB2312"/>
          <w:sz w:val="28"/>
          <w:szCs w:val="28"/>
        </w:rPr>
        <w:t>1</w:t>
      </w:r>
      <w:r>
        <w:rPr>
          <w:rFonts w:hint="eastAsia" w:ascii="仿宋_GB2312" w:eastAsia="仿宋_GB2312"/>
          <w:sz w:val="28"/>
          <w:szCs w:val="28"/>
        </w:rPr>
        <w:t>年度决算116.55092万元，比202</w:t>
      </w:r>
      <w:r>
        <w:rPr>
          <w:rFonts w:ascii="仿宋_GB2312" w:eastAsia="仿宋_GB2312"/>
          <w:sz w:val="28"/>
          <w:szCs w:val="28"/>
        </w:rPr>
        <w:t>1</w:t>
      </w:r>
      <w:r>
        <w:rPr>
          <w:rFonts w:hint="eastAsia" w:ascii="仿宋_GB2312" w:eastAsia="仿宋_GB2312"/>
          <w:sz w:val="28"/>
          <w:szCs w:val="28"/>
        </w:rPr>
        <w:t>年年初预算增加</w:t>
      </w:r>
      <w:r>
        <w:rPr>
          <w:rFonts w:hint="eastAsia" w:ascii="仿宋_GB2312" w:eastAsia="仿宋_GB2312"/>
          <w:sz w:val="28"/>
          <w:szCs w:val="28"/>
          <w:lang w:val="en-US" w:eastAsia="zh-CN"/>
        </w:rPr>
        <w:t>2.18352</w:t>
      </w:r>
      <w:r>
        <w:rPr>
          <w:rFonts w:hint="eastAsia" w:ascii="仿宋_GB2312" w:eastAsia="仿宋_GB2312"/>
          <w:sz w:val="28"/>
          <w:szCs w:val="28"/>
        </w:rPr>
        <w:t>万元，增长</w:t>
      </w:r>
      <w:r>
        <w:rPr>
          <w:rFonts w:hint="eastAsia" w:ascii="仿宋_GB2312" w:eastAsia="仿宋_GB2312"/>
          <w:sz w:val="28"/>
          <w:szCs w:val="28"/>
          <w:lang w:val="en-US" w:eastAsia="zh-CN"/>
        </w:rPr>
        <w:t>1.91</w:t>
      </w:r>
      <w:r>
        <w:rPr>
          <w:rFonts w:hint="eastAsia" w:ascii="仿宋_GB2312" w:eastAsia="仿宋_GB2312"/>
          <w:sz w:val="28"/>
          <w:szCs w:val="28"/>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群众团体</w:t>
      </w:r>
      <w:r>
        <w:rPr>
          <w:rFonts w:hint="eastAsia" w:ascii="仿宋_GB2312" w:eastAsia="仿宋_GB2312"/>
          <w:sz w:val="28"/>
          <w:szCs w:val="28"/>
        </w:rPr>
        <w:t>事务”202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96.848531</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年年初预算增加</w:t>
      </w:r>
      <w:r>
        <w:rPr>
          <w:rFonts w:hint="eastAsia" w:ascii="仿宋_GB2312" w:eastAsia="仿宋_GB2312"/>
          <w:sz w:val="28"/>
          <w:szCs w:val="28"/>
          <w:lang w:val="en-US" w:eastAsia="zh-CN"/>
        </w:rPr>
        <w:t>2.781131</w:t>
      </w:r>
      <w:r>
        <w:rPr>
          <w:rFonts w:hint="eastAsia" w:ascii="仿宋_GB2312" w:eastAsia="仿宋_GB2312"/>
          <w:sz w:val="28"/>
          <w:szCs w:val="28"/>
        </w:rPr>
        <w:t>万元，增长</w:t>
      </w:r>
      <w:r>
        <w:rPr>
          <w:rFonts w:hint="eastAsia" w:ascii="仿宋_GB2312" w:eastAsia="仿宋_GB2312"/>
          <w:sz w:val="28"/>
          <w:szCs w:val="28"/>
          <w:lang w:val="en-US" w:eastAsia="zh-CN"/>
        </w:rPr>
        <w:t>2</w:t>
      </w:r>
      <w:r>
        <w:rPr>
          <w:rFonts w:ascii="仿宋_GB2312" w:eastAsia="仿宋_GB2312"/>
          <w:sz w:val="28"/>
          <w:szCs w:val="28"/>
        </w:rPr>
        <w:t>.</w:t>
      </w:r>
      <w:r>
        <w:rPr>
          <w:rFonts w:hint="eastAsia" w:ascii="仿宋_GB2312" w:eastAsia="仿宋_GB2312"/>
          <w:sz w:val="28"/>
          <w:szCs w:val="28"/>
          <w:lang w:val="en-US" w:eastAsia="zh-CN"/>
        </w:rPr>
        <w:t>96</w:t>
      </w:r>
      <w:r>
        <w:rPr>
          <w:rFonts w:hint="eastAsia" w:ascii="仿宋_GB2312" w:eastAsia="仿宋_GB2312"/>
          <w:sz w:val="28"/>
          <w:szCs w:val="28"/>
        </w:rPr>
        <w:t>%。</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工作人员增加一名。</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eastAsia="zh-CN"/>
        </w:rPr>
        <w:t>统战</w:t>
      </w:r>
      <w:r>
        <w:rPr>
          <w:rFonts w:hint="eastAsia" w:ascii="仿宋_GB2312" w:hAnsi="Times New Roman" w:eastAsia="仿宋_GB2312" w:cs="Times New Roman"/>
          <w:sz w:val="28"/>
          <w:szCs w:val="28"/>
        </w:rPr>
        <w:t>事务”2021年度决算</w:t>
      </w:r>
      <w:r>
        <w:rPr>
          <w:rFonts w:hint="eastAsia" w:ascii="仿宋_GB2312" w:hAnsi="Times New Roman" w:eastAsia="仿宋_GB2312" w:cs="Times New Roman"/>
          <w:sz w:val="28"/>
          <w:szCs w:val="28"/>
          <w:lang w:val="en-US" w:eastAsia="zh-CN"/>
        </w:rPr>
        <w:t>19.702389</w:t>
      </w:r>
      <w:r>
        <w:rPr>
          <w:rFonts w:hint="eastAsia" w:ascii="仿宋_GB2312" w:hAnsi="Times New Roman" w:eastAsia="仿宋_GB2312" w:cs="Times New Roman"/>
          <w:sz w:val="28"/>
          <w:szCs w:val="28"/>
        </w:rPr>
        <w:t>万元，比2021年年初预算</w:t>
      </w:r>
      <w:r>
        <w:rPr>
          <w:rFonts w:hint="eastAsia" w:ascii="仿宋_GB2312" w:hAnsi="Times New Roman" w:eastAsia="仿宋_GB2312" w:cs="Times New Roman"/>
          <w:sz w:val="28"/>
          <w:szCs w:val="28"/>
          <w:lang w:eastAsia="zh-CN"/>
        </w:rPr>
        <w:t>减少</w:t>
      </w:r>
      <w:r>
        <w:rPr>
          <w:rFonts w:hint="eastAsia" w:ascii="仿宋_GB2312" w:hAnsi="Times New Roman" w:eastAsia="仿宋_GB2312" w:cs="Times New Roman"/>
          <w:sz w:val="28"/>
          <w:szCs w:val="28"/>
          <w:lang w:val="en-US" w:eastAsia="zh-CN"/>
        </w:rPr>
        <w:t>0.597611</w:t>
      </w:r>
      <w:r>
        <w:rPr>
          <w:rFonts w:hint="eastAsia" w:ascii="仿宋_GB2312" w:hAnsi="Times New Roman" w:eastAsia="仿宋_GB2312" w:cs="Times New Roman"/>
          <w:sz w:val="28"/>
          <w:szCs w:val="28"/>
        </w:rPr>
        <w:t>万元，</w:t>
      </w:r>
      <w:r>
        <w:rPr>
          <w:rFonts w:hint="eastAsia" w:ascii="仿宋_GB2312" w:hAnsi="Times New Roman" w:eastAsia="仿宋_GB2312" w:cs="Times New Roman"/>
          <w:sz w:val="28"/>
          <w:szCs w:val="28"/>
          <w:lang w:eastAsia="zh-CN"/>
        </w:rPr>
        <w:t>下降</w:t>
      </w:r>
      <w:r>
        <w:rPr>
          <w:rFonts w:hint="eastAsia" w:ascii="仿宋_GB2312" w:hAnsi="Times New Roman" w:eastAsia="仿宋_GB2312" w:cs="Times New Roman"/>
          <w:sz w:val="28"/>
          <w:szCs w:val="28"/>
          <w:lang w:val="en-US" w:eastAsia="zh-CN"/>
        </w:rPr>
        <w:t>2.94</w:t>
      </w:r>
      <w:r>
        <w:rPr>
          <w:rFonts w:hint="eastAsia" w:ascii="仿宋_GB2312" w:hAnsi="Times New Roman" w:eastAsia="仿宋_GB2312" w:cs="Times New Roman"/>
          <w:sz w:val="28"/>
          <w:szCs w:val="28"/>
        </w:rPr>
        <w:t>%。</w:t>
      </w:r>
      <w:r>
        <w:rPr>
          <w:rFonts w:hint="eastAsia" w:ascii="仿宋_GB2312" w:hAnsi="Times New Roman" w:eastAsia="仿宋_GB2312" w:cs="Times New Roman"/>
          <w:color w:val="auto"/>
          <w:sz w:val="28"/>
          <w:szCs w:val="28"/>
        </w:rPr>
        <w:t>主要原因：</w:t>
      </w:r>
      <w:r>
        <w:rPr>
          <w:rFonts w:hint="eastAsia" w:ascii="仿宋_GB2312" w:hAnsi="Times New Roman" w:eastAsia="仿宋_GB2312" w:cs="Times New Roman"/>
          <w:color w:val="auto"/>
          <w:sz w:val="28"/>
          <w:szCs w:val="28"/>
          <w:lang w:eastAsia="zh-CN"/>
        </w:rPr>
        <w:t>受疫情影响，部分活动未能开展。</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“社会保障和就业支出”20</w:t>
      </w:r>
      <w:r>
        <w:rPr>
          <w:rFonts w:hint="eastAsia" w:ascii="仿宋_GB2312" w:hAnsi="Times New Roman" w:eastAsia="仿宋_GB2312" w:cs="Times New Roman"/>
          <w:sz w:val="28"/>
          <w:szCs w:val="28"/>
          <w:lang w:val="en-US" w:eastAsia="zh-CN"/>
        </w:rPr>
        <w:t>21</w:t>
      </w:r>
      <w:r>
        <w:rPr>
          <w:rFonts w:hint="eastAsia" w:ascii="仿宋_GB2312" w:hAnsi="Times New Roman" w:eastAsia="仿宋_GB2312" w:cs="Times New Roman"/>
          <w:sz w:val="28"/>
          <w:szCs w:val="28"/>
        </w:rPr>
        <w:t>年度决算</w:t>
      </w:r>
      <w:r>
        <w:rPr>
          <w:rFonts w:hint="eastAsia" w:ascii="仿宋_GB2312" w:hAnsi="Times New Roman" w:eastAsia="仿宋_GB2312" w:cs="Times New Roman"/>
          <w:sz w:val="28"/>
          <w:szCs w:val="28"/>
          <w:lang w:val="en-US" w:eastAsia="zh-CN"/>
        </w:rPr>
        <w:t>15.4702</w:t>
      </w:r>
      <w:r>
        <w:rPr>
          <w:rFonts w:hint="eastAsia" w:ascii="仿宋_GB2312" w:hAnsi="Times New Roman" w:eastAsia="仿宋_GB2312" w:cs="Times New Roman"/>
          <w:sz w:val="28"/>
          <w:szCs w:val="28"/>
        </w:rPr>
        <w:t>万元，比20</w:t>
      </w:r>
      <w:r>
        <w:rPr>
          <w:rFonts w:hint="eastAsia" w:ascii="仿宋_GB2312" w:hAnsi="Times New Roman" w:eastAsia="仿宋_GB2312" w:cs="Times New Roman"/>
          <w:sz w:val="28"/>
          <w:szCs w:val="28"/>
          <w:lang w:val="en-US" w:eastAsia="zh-CN"/>
        </w:rPr>
        <w:t>21</w:t>
      </w:r>
      <w:r>
        <w:rPr>
          <w:rFonts w:hint="eastAsia" w:ascii="仿宋_GB2312" w:hAnsi="Times New Roman" w:eastAsia="仿宋_GB2312" w:cs="Times New Roman"/>
          <w:sz w:val="28"/>
          <w:szCs w:val="28"/>
        </w:rPr>
        <w:t>年年初预算</w:t>
      </w:r>
      <w:r>
        <w:rPr>
          <w:rFonts w:hint="eastAsia" w:ascii="仿宋_GB2312" w:hAnsi="Times New Roman" w:eastAsia="仿宋_GB2312" w:cs="Times New Roman"/>
          <w:sz w:val="28"/>
          <w:szCs w:val="28"/>
          <w:lang w:eastAsia="zh-CN"/>
        </w:rPr>
        <w:t>增加</w:t>
      </w:r>
      <w:r>
        <w:rPr>
          <w:rFonts w:hint="eastAsia" w:ascii="仿宋_GB2312" w:hAnsi="Times New Roman" w:eastAsia="仿宋_GB2312" w:cs="Times New Roman"/>
          <w:sz w:val="28"/>
          <w:szCs w:val="28"/>
          <w:lang w:val="en-US" w:eastAsia="zh-CN"/>
        </w:rPr>
        <w:t>1.3869万元</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eastAsia="zh-CN"/>
        </w:rPr>
        <w:t>增长</w:t>
      </w:r>
      <w:r>
        <w:rPr>
          <w:rFonts w:hint="eastAsia" w:ascii="仿宋_GB2312" w:hAnsi="Times New Roman" w:eastAsia="仿宋_GB2312" w:cs="Times New Roman"/>
          <w:sz w:val="28"/>
          <w:szCs w:val="28"/>
          <w:lang w:val="en-US" w:eastAsia="zh-CN"/>
        </w:rPr>
        <w:t>9.85</w:t>
      </w:r>
      <w:r>
        <w:rPr>
          <w:rFonts w:hint="eastAsia" w:ascii="仿宋_GB2312" w:hAnsi="Times New Roman" w:eastAsia="仿宋_GB2312" w:cs="Times New Roman"/>
          <w:sz w:val="28"/>
          <w:szCs w:val="28"/>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“行政事业单位养老支出”</w:t>
      </w:r>
      <w:r>
        <w:rPr>
          <w:rFonts w:hint="eastAsia" w:ascii="仿宋_GB2312" w:hAnsi="Times New Roman" w:eastAsia="仿宋_GB2312" w:cs="Times New Roman"/>
          <w:sz w:val="28"/>
          <w:szCs w:val="28"/>
        </w:rPr>
        <w:t>20</w:t>
      </w:r>
      <w:r>
        <w:rPr>
          <w:rFonts w:hint="eastAsia" w:ascii="仿宋_GB2312" w:hAnsi="Times New Roman" w:eastAsia="仿宋_GB2312" w:cs="Times New Roman"/>
          <w:sz w:val="28"/>
          <w:szCs w:val="28"/>
          <w:lang w:val="en-US" w:eastAsia="zh-CN"/>
        </w:rPr>
        <w:t>21</w:t>
      </w:r>
      <w:r>
        <w:rPr>
          <w:rFonts w:hint="eastAsia" w:ascii="仿宋_GB2312" w:hAnsi="Times New Roman" w:eastAsia="仿宋_GB2312" w:cs="Times New Roman"/>
          <w:sz w:val="28"/>
          <w:szCs w:val="28"/>
        </w:rPr>
        <w:t>年度决算</w:t>
      </w:r>
      <w:r>
        <w:rPr>
          <w:rFonts w:hint="eastAsia" w:ascii="仿宋_GB2312" w:hAnsi="Times New Roman" w:eastAsia="仿宋_GB2312" w:cs="Times New Roman"/>
          <w:sz w:val="28"/>
          <w:szCs w:val="28"/>
          <w:lang w:val="en-US" w:eastAsia="zh-CN"/>
        </w:rPr>
        <w:t>15.4702</w:t>
      </w:r>
      <w:r>
        <w:rPr>
          <w:rFonts w:hint="eastAsia" w:ascii="仿宋_GB2312" w:hAnsi="Times New Roman" w:eastAsia="仿宋_GB2312" w:cs="Times New Roman"/>
          <w:sz w:val="28"/>
          <w:szCs w:val="28"/>
        </w:rPr>
        <w:t>万元，比20</w:t>
      </w:r>
      <w:r>
        <w:rPr>
          <w:rFonts w:hint="eastAsia" w:ascii="仿宋_GB2312" w:hAnsi="Times New Roman" w:eastAsia="仿宋_GB2312" w:cs="Times New Roman"/>
          <w:sz w:val="28"/>
          <w:szCs w:val="28"/>
          <w:lang w:val="en-US" w:eastAsia="zh-CN"/>
        </w:rPr>
        <w:t>21</w:t>
      </w:r>
      <w:r>
        <w:rPr>
          <w:rFonts w:hint="eastAsia" w:ascii="仿宋_GB2312" w:hAnsi="Times New Roman" w:eastAsia="仿宋_GB2312" w:cs="Times New Roman"/>
          <w:sz w:val="28"/>
          <w:szCs w:val="28"/>
        </w:rPr>
        <w:t>年年初预算</w:t>
      </w:r>
      <w:r>
        <w:rPr>
          <w:rFonts w:hint="eastAsia" w:ascii="仿宋_GB2312" w:hAnsi="Times New Roman" w:eastAsia="仿宋_GB2312" w:cs="Times New Roman"/>
          <w:sz w:val="28"/>
          <w:szCs w:val="28"/>
          <w:lang w:eastAsia="zh-CN"/>
        </w:rPr>
        <w:t>增加</w:t>
      </w:r>
      <w:r>
        <w:rPr>
          <w:rFonts w:hint="eastAsia" w:ascii="仿宋_GB2312" w:hAnsi="Times New Roman" w:eastAsia="仿宋_GB2312" w:cs="Times New Roman"/>
          <w:sz w:val="28"/>
          <w:szCs w:val="28"/>
          <w:lang w:val="en-US" w:eastAsia="zh-CN"/>
        </w:rPr>
        <w:t>1.3869</w:t>
      </w:r>
      <w:r>
        <w:rPr>
          <w:rFonts w:hint="eastAsia" w:ascii="仿宋_GB2312" w:hAnsi="Times New Roman" w:eastAsia="仿宋_GB2312" w:cs="Times New Roman"/>
          <w:sz w:val="28"/>
          <w:szCs w:val="28"/>
        </w:rPr>
        <w:t>万元，增长9.85%</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color w:val="auto"/>
          <w:sz w:val="28"/>
          <w:szCs w:val="28"/>
        </w:rPr>
        <w:t>主要原因：</w:t>
      </w:r>
      <w:r>
        <w:rPr>
          <w:rFonts w:hint="eastAsia" w:ascii="仿宋_GB2312" w:hAnsi="Times New Roman" w:eastAsia="仿宋_GB2312" w:cs="Times New Roman"/>
          <w:color w:val="auto"/>
          <w:sz w:val="28"/>
          <w:szCs w:val="28"/>
          <w:lang w:eastAsia="zh-CN"/>
        </w:rPr>
        <w:t>工作人员增加一名</w:t>
      </w:r>
      <w:r>
        <w:rPr>
          <w:rFonts w:hint="eastAsia" w:ascii="仿宋_GB2312" w:hAnsi="Times New Roman" w:eastAsia="仿宋_GB2312" w:cs="Times New Roman"/>
          <w:color w:val="auto"/>
          <w:sz w:val="28"/>
          <w:szCs w:val="28"/>
          <w:lang w:val="en-US" w:eastAsia="zh-CN"/>
        </w:rPr>
        <w:t>。</w:t>
      </w:r>
    </w:p>
    <w:p>
      <w:pPr>
        <w:keepNext w:val="0"/>
        <w:keepLines w:val="0"/>
        <w:pageBreakBefore w:val="0"/>
        <w:widowControl w:val="0"/>
        <w:kinsoku/>
        <w:wordWrap/>
        <w:overflowPunct/>
        <w:topLinePunct w:val="0"/>
        <w:bidi w:val="0"/>
        <w:snapToGrid/>
        <w:spacing w:line="560" w:lineRule="exact"/>
        <w:ind w:firstLine="54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7"/>
          <w:szCs w:val="27"/>
          <w:lang w:val="en-US" w:eastAsia="zh-CN"/>
        </w:rPr>
        <w:t>3</w:t>
      </w:r>
      <w:r>
        <w:rPr>
          <w:rFonts w:hint="eastAsia" w:ascii="仿宋_GB2312" w:hAnsi="Times New Roman" w:eastAsia="仿宋_GB2312" w:cs="Times New Roman"/>
          <w:sz w:val="27"/>
          <w:szCs w:val="27"/>
        </w:rPr>
        <w:t>、</w:t>
      </w:r>
      <w:r>
        <w:rPr>
          <w:rFonts w:hint="eastAsia" w:ascii="仿宋_GB2312" w:hAnsi="Times New Roman" w:eastAsia="仿宋_GB2312" w:cs="Times New Roman"/>
          <w:sz w:val="28"/>
          <w:szCs w:val="28"/>
          <w:lang w:eastAsia="zh-CN"/>
        </w:rPr>
        <w:t>“住房保障支出”20</w:t>
      </w:r>
      <w:r>
        <w:rPr>
          <w:rFonts w:hint="eastAsia" w:ascii="仿宋_GB2312" w:hAnsi="Times New Roman" w:eastAsia="仿宋_GB2312" w:cs="Times New Roman"/>
          <w:sz w:val="28"/>
          <w:szCs w:val="28"/>
          <w:lang w:val="en-US" w:eastAsia="zh-CN"/>
        </w:rPr>
        <w:t>21</w:t>
      </w:r>
      <w:r>
        <w:rPr>
          <w:rFonts w:hint="eastAsia" w:ascii="仿宋_GB2312" w:hAnsi="Times New Roman" w:eastAsia="仿宋_GB2312" w:cs="Times New Roman"/>
          <w:sz w:val="28"/>
          <w:szCs w:val="28"/>
          <w:lang w:eastAsia="zh-CN"/>
        </w:rPr>
        <w:t>年度决算</w:t>
      </w:r>
      <w:r>
        <w:rPr>
          <w:rFonts w:hint="eastAsia" w:ascii="仿宋_GB2312" w:hAnsi="Times New Roman" w:eastAsia="仿宋_GB2312" w:cs="Times New Roman"/>
          <w:sz w:val="28"/>
          <w:szCs w:val="28"/>
          <w:lang w:val="en-US" w:eastAsia="zh-CN"/>
        </w:rPr>
        <w:t>19.9615</w:t>
      </w:r>
      <w:r>
        <w:rPr>
          <w:rFonts w:hint="eastAsia" w:ascii="仿宋_GB2312" w:hAnsi="Times New Roman" w:eastAsia="仿宋_GB2312" w:cs="Times New Roman"/>
          <w:sz w:val="28"/>
          <w:szCs w:val="28"/>
          <w:lang w:eastAsia="zh-CN"/>
        </w:rPr>
        <w:t>万元，比20</w:t>
      </w:r>
      <w:r>
        <w:rPr>
          <w:rFonts w:hint="eastAsia" w:ascii="仿宋_GB2312" w:hAnsi="Times New Roman" w:eastAsia="仿宋_GB2312" w:cs="Times New Roman"/>
          <w:sz w:val="28"/>
          <w:szCs w:val="28"/>
          <w:lang w:val="en-US" w:eastAsia="zh-CN"/>
        </w:rPr>
        <w:t>21</w:t>
      </w:r>
      <w:r>
        <w:rPr>
          <w:rFonts w:hint="eastAsia" w:ascii="仿宋_GB2312" w:hAnsi="Times New Roman" w:eastAsia="仿宋_GB2312" w:cs="Times New Roman"/>
          <w:sz w:val="28"/>
          <w:szCs w:val="28"/>
          <w:lang w:eastAsia="zh-CN"/>
        </w:rPr>
        <w:t>年年初预算增加</w:t>
      </w:r>
      <w:r>
        <w:rPr>
          <w:rFonts w:hint="eastAsia" w:ascii="仿宋_GB2312" w:hAnsi="Times New Roman" w:eastAsia="仿宋_GB2312" w:cs="Times New Roman"/>
          <w:sz w:val="28"/>
          <w:szCs w:val="28"/>
          <w:lang w:val="en-US" w:eastAsia="zh-CN"/>
        </w:rPr>
        <w:t>2.7127</w:t>
      </w:r>
      <w:r>
        <w:rPr>
          <w:rFonts w:hint="eastAsia" w:ascii="仿宋_GB2312" w:hAnsi="Times New Roman" w:eastAsia="仿宋_GB2312" w:cs="Times New Roman"/>
          <w:sz w:val="28"/>
          <w:szCs w:val="28"/>
          <w:lang w:eastAsia="zh-CN"/>
        </w:rPr>
        <w:t>万元，增加</w:t>
      </w:r>
      <w:r>
        <w:rPr>
          <w:rFonts w:hint="eastAsia" w:ascii="仿宋_GB2312" w:hAnsi="Times New Roman" w:eastAsia="仿宋_GB2312" w:cs="Times New Roman"/>
          <w:sz w:val="28"/>
          <w:szCs w:val="28"/>
          <w:lang w:val="en-US" w:eastAsia="zh-CN"/>
        </w:rPr>
        <w:t>15.73</w:t>
      </w:r>
      <w:r>
        <w:rPr>
          <w:rFonts w:hint="eastAsia" w:ascii="仿宋_GB2312" w:hAnsi="Times New Roman" w:eastAsia="仿宋_GB2312" w:cs="Times New Roman"/>
          <w:sz w:val="28"/>
          <w:szCs w:val="28"/>
          <w:lang w:eastAsia="zh-CN"/>
        </w:rPr>
        <w:t>%。其中：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黑体" w:eastAsia="黑体"/>
          <w:b/>
          <w:sz w:val="28"/>
          <w:szCs w:val="28"/>
        </w:rPr>
      </w:pPr>
      <w:r>
        <w:rPr>
          <w:rFonts w:hint="eastAsia" w:ascii="仿宋_GB2312" w:hAnsi="Times New Roman" w:eastAsia="仿宋_GB2312" w:cs="Times New Roman"/>
          <w:sz w:val="28"/>
          <w:szCs w:val="28"/>
          <w:lang w:eastAsia="zh-CN"/>
        </w:rPr>
        <w:t>“住房改革支出”2021年度决算19.9615万元，比2021年年初预算增加2.7127万元，增加15.73%。主要原因：</w:t>
      </w:r>
      <w:r>
        <w:rPr>
          <w:rFonts w:hint="eastAsia" w:ascii="仿宋_GB2312" w:hAnsi="Times New Roman" w:eastAsia="仿宋_GB2312" w:cs="Times New Roman"/>
          <w:sz w:val="28"/>
          <w:szCs w:val="28"/>
          <w:lang w:val="en-US" w:eastAsia="zh-CN"/>
        </w:rPr>
        <w:t>工作</w:t>
      </w:r>
      <w:r>
        <w:rPr>
          <w:rFonts w:hint="eastAsia" w:ascii="仿宋_GB2312" w:hAnsi="Times New Roman" w:eastAsia="仿宋_GB2312" w:cs="Times New Roman"/>
          <w:sz w:val="28"/>
          <w:szCs w:val="28"/>
          <w:lang w:eastAsia="zh-CN"/>
        </w:rPr>
        <w:t>人员增加</w:t>
      </w:r>
      <w:r>
        <w:rPr>
          <w:rFonts w:hint="eastAsia" w:ascii="仿宋_GB2312" w:eastAsia="仿宋_GB2312" w:cs="Times New Roman"/>
          <w:sz w:val="28"/>
          <w:szCs w:val="28"/>
          <w:lang w:eastAsia="zh-CN"/>
        </w:rPr>
        <w:t>一</w:t>
      </w:r>
      <w:r>
        <w:rPr>
          <w:rFonts w:hint="eastAsia" w:ascii="仿宋_GB2312" w:hAnsi="Times New Roman" w:eastAsia="仿宋_GB2312" w:cs="Times New Roman"/>
          <w:sz w:val="28"/>
          <w:szCs w:val="28"/>
          <w:lang w:val="en-US" w:eastAsia="zh-CN"/>
        </w:rPr>
        <w:t>名</w:t>
      </w:r>
      <w:r>
        <w:rPr>
          <w:rFonts w:hint="eastAsia" w:ascii="仿宋_GB2312" w:hAnsi="Times New Roman" w:eastAsia="仿宋_GB2312" w:cs="Times New Roman"/>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黑体" w:eastAsia="黑体"/>
          <w:b/>
          <w:sz w:val="28"/>
          <w:szCs w:val="28"/>
        </w:rPr>
        <w:t>五、政府性基金预算财政拨款支出决算情况说明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keepNext w:val="0"/>
        <w:keepLines w:val="0"/>
        <w:pageBreakBefore w:val="0"/>
        <w:widowControl w:val="0"/>
        <w:tabs>
          <w:tab w:val="center" w:pos="6979"/>
        </w:tabs>
        <w:kinsoku/>
        <w:wordWrap/>
        <w:overflowPunct/>
        <w:topLinePunct w:val="0"/>
        <w:bidi w:val="0"/>
        <w:snapToGrid/>
        <w:spacing w:line="5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w:t>
      </w:r>
      <w:r>
        <w:rPr>
          <w:rFonts w:hint="eastAsia" w:ascii="仿宋_GB2312" w:eastAsia="仿宋_GB2312"/>
          <w:sz w:val="28"/>
          <w:szCs w:val="28"/>
          <w:lang w:eastAsia="zh-CN"/>
        </w:rPr>
        <w:t>本单位无此项支出。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keepNext w:val="0"/>
        <w:keepLines w:val="0"/>
        <w:pageBreakBefore w:val="0"/>
        <w:widowControl w:val="0"/>
        <w:kinsoku/>
        <w:wordWrap/>
        <w:overflowPunct/>
        <w:topLinePunct w:val="0"/>
        <w:bidi w:val="0"/>
        <w:snapToGrid/>
        <w:spacing w:line="560" w:lineRule="exact"/>
        <w:ind w:firstLine="548" w:firstLineChars="196"/>
        <w:textAlignment w:val="auto"/>
        <w:rPr>
          <w:rFonts w:hint="eastAsia" w:ascii="仿宋_GB2312" w:eastAsia="仿宋_GB2312"/>
          <w:sz w:val="28"/>
          <w:szCs w:val="28"/>
        </w:rPr>
      </w:pPr>
      <w:r>
        <w:rPr>
          <w:rFonts w:hint="eastAsia" w:ascii="仿宋_GB2312" w:eastAsia="仿宋_GB2312"/>
          <w:sz w:val="28"/>
          <w:szCs w:val="28"/>
        </w:rPr>
        <w:t>2021年度本单位无此项支出。</w:t>
      </w:r>
    </w:p>
    <w:p>
      <w:pPr>
        <w:keepNext w:val="0"/>
        <w:keepLines w:val="0"/>
        <w:pageBreakBefore w:val="0"/>
        <w:widowControl w:val="0"/>
        <w:kinsoku/>
        <w:wordWrap/>
        <w:overflowPunct/>
        <w:topLinePunct w:val="0"/>
        <w:bidi w:val="0"/>
        <w:snapToGrid/>
        <w:spacing w:line="560" w:lineRule="exact"/>
        <w:ind w:firstLine="548" w:firstLineChars="196"/>
        <w:textAlignment w:val="auto"/>
        <w:rPr>
          <w:rFonts w:hint="eastAsia" w:ascii="黑体" w:eastAsia="黑体"/>
          <w:sz w:val="28"/>
          <w:szCs w:val="28"/>
        </w:rPr>
      </w:pPr>
      <w:r>
        <w:rPr>
          <w:rFonts w:hint="eastAsia" w:ascii="黑体" w:eastAsia="黑体"/>
          <w:b/>
          <w:sz w:val="28"/>
          <w:szCs w:val="28"/>
        </w:rPr>
        <w:t>六、财政拨款基本支出决算情况说明</w:t>
      </w:r>
    </w:p>
    <w:p>
      <w:pPr>
        <w:keepNext w:val="0"/>
        <w:keepLines w:val="0"/>
        <w:pageBreakBefore w:val="0"/>
        <w:widowControl w:val="0"/>
        <w:tabs>
          <w:tab w:val="center" w:pos="6979"/>
        </w:tabs>
        <w:kinsoku/>
        <w:wordWrap/>
        <w:overflowPunct/>
        <w:topLinePunct w:val="0"/>
        <w:bidi w:val="0"/>
        <w:snapToGrid/>
        <w:spacing w:line="560" w:lineRule="exact"/>
        <w:ind w:firstLine="548" w:firstLineChars="196"/>
        <w:textAlignment w:val="auto"/>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年使用一般公共预算财政拨款安排基本支出</w:t>
      </w:r>
      <w:r>
        <w:rPr>
          <w:rFonts w:hint="eastAsia" w:ascii="仿宋_GB2312" w:eastAsia="仿宋_GB2312"/>
          <w:sz w:val="28"/>
          <w:szCs w:val="28"/>
          <w:lang w:val="en-US" w:eastAsia="zh-CN"/>
        </w:rPr>
        <w:t>132.280231</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pStyle w:val="3"/>
        <w:keepNext w:val="0"/>
        <w:keepLines w:val="0"/>
        <w:pageBreakBefore w:val="0"/>
        <w:widowControl w:val="0"/>
        <w:kinsoku/>
        <w:wordWrap/>
        <w:overflowPunct/>
        <w:topLinePunct w:val="0"/>
        <w:bidi w:val="0"/>
        <w:snapToGrid/>
        <w:spacing w:line="560" w:lineRule="exact"/>
        <w:textAlignment w:val="auto"/>
        <w:rPr>
          <w:rFonts w:hint="eastAsia"/>
        </w:rPr>
      </w:pPr>
    </w:p>
    <w:p>
      <w:pPr>
        <w:pStyle w:val="3"/>
        <w:keepNext w:val="0"/>
        <w:keepLines w:val="0"/>
        <w:pageBreakBefore w:val="0"/>
        <w:widowControl w:val="0"/>
        <w:kinsoku/>
        <w:wordWrap/>
        <w:overflowPunct/>
        <w:topLinePunct w:val="0"/>
        <w:bidi w:val="0"/>
        <w:snapToGrid/>
        <w:spacing w:line="560" w:lineRule="exact"/>
        <w:textAlignment w:val="auto"/>
        <w:rPr>
          <w:rFonts w:hint="eastAsia"/>
        </w:rPr>
      </w:pPr>
    </w:p>
    <w:p>
      <w:pPr>
        <w:pStyle w:val="3"/>
        <w:keepNext w:val="0"/>
        <w:keepLines w:val="0"/>
        <w:pageBreakBefore w:val="0"/>
        <w:widowControl w:val="0"/>
        <w:kinsoku/>
        <w:wordWrap/>
        <w:overflowPunct/>
        <w:topLinePunct w:val="0"/>
        <w:bidi w:val="0"/>
        <w:snapToGrid/>
        <w:spacing w:line="560" w:lineRule="exact"/>
        <w:textAlignment w:val="auto"/>
        <w:rPr>
          <w:rFonts w:hint="eastAsia"/>
        </w:rPr>
      </w:pPr>
    </w:p>
    <w:p>
      <w:pPr>
        <w:pStyle w:val="3"/>
        <w:keepNext w:val="0"/>
        <w:keepLines w:val="0"/>
        <w:pageBreakBefore w:val="0"/>
        <w:widowControl w:val="0"/>
        <w:kinsoku/>
        <w:wordWrap/>
        <w:overflowPunct/>
        <w:topLinePunct w:val="0"/>
        <w:bidi w:val="0"/>
        <w:snapToGrid/>
        <w:spacing w:line="560" w:lineRule="exact"/>
        <w:textAlignment w:val="auto"/>
        <w:rPr>
          <w:rFonts w:hint="eastAsia"/>
        </w:rPr>
      </w:pPr>
    </w:p>
    <w:p>
      <w:pPr>
        <w:pStyle w:val="3"/>
        <w:keepNext w:val="0"/>
        <w:keepLines w:val="0"/>
        <w:pageBreakBefore w:val="0"/>
        <w:widowControl w:val="0"/>
        <w:kinsoku/>
        <w:wordWrap/>
        <w:overflowPunct/>
        <w:topLinePunct w:val="0"/>
        <w:bidi w:val="0"/>
        <w:snapToGrid/>
        <w:spacing w:line="560" w:lineRule="exact"/>
        <w:textAlignment w:val="auto"/>
        <w:rPr>
          <w:rFonts w:hint="eastAsia"/>
        </w:rPr>
      </w:pPr>
    </w:p>
    <w:p>
      <w:pPr>
        <w:keepNext w:val="0"/>
        <w:keepLines w:val="0"/>
        <w:pageBreakBefore w:val="0"/>
        <w:widowControl w:val="0"/>
        <w:tabs>
          <w:tab w:val="center" w:pos="6979"/>
        </w:tabs>
        <w:kinsoku/>
        <w:wordWrap/>
        <w:overflowPunct/>
        <w:topLinePunct w:val="0"/>
        <w:bidi w:val="0"/>
        <w:snapToGrid/>
        <w:spacing w:line="560" w:lineRule="exact"/>
        <w:jc w:val="center"/>
        <w:textAlignment w:val="auto"/>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黑体" w:eastAsia="黑体"/>
          <w:sz w:val="28"/>
          <w:szCs w:val="28"/>
        </w:rPr>
      </w:pPr>
      <w:r>
        <w:rPr>
          <w:rFonts w:hint="eastAsia" w:ascii="黑体" w:eastAsia="黑体"/>
          <w:sz w:val="28"/>
          <w:szCs w:val="28"/>
        </w:rPr>
        <w:t>一、“三公”经费财政拨款决算情况</w:t>
      </w:r>
    </w:p>
    <w:p>
      <w:pPr>
        <w:keepNext w:val="0"/>
        <w:keepLines w:val="0"/>
        <w:pageBreakBefore w:val="0"/>
        <w:widowControl w:val="0"/>
        <w:kinsoku/>
        <w:wordWrap/>
        <w:overflowPunct/>
        <w:topLinePunct w:val="0"/>
        <w:bidi w:val="0"/>
        <w:snapToGrid/>
        <w:spacing w:line="560" w:lineRule="exact"/>
        <w:ind w:firstLine="600"/>
        <w:textAlignment w:val="auto"/>
        <w:rPr>
          <w:rFonts w:hint="eastAsia" w:ascii="仿宋_GB2312" w:eastAsia="仿宋_GB2312"/>
          <w:sz w:val="28"/>
          <w:szCs w:val="28"/>
        </w:rPr>
      </w:pPr>
      <w:r>
        <w:rPr>
          <w:rFonts w:hint="eastAsia" w:ascii="仿宋_GB2312" w:eastAsia="仿宋_GB2312"/>
          <w:sz w:val="28"/>
          <w:szCs w:val="28"/>
        </w:rPr>
        <w:t>“三公”经费包括本单位所属0个行政单位、0个参照公务员法管理事业单位、0个事业单位。202</w:t>
      </w:r>
      <w:r>
        <w:rPr>
          <w:rFonts w:hint="eastAsia" w:ascii="仿宋_GB2312" w:eastAsia="仿宋_GB2312"/>
          <w:sz w:val="28"/>
          <w:szCs w:val="28"/>
          <w:lang w:val="en-US" w:eastAsia="zh-CN"/>
        </w:rPr>
        <w:t>1</w:t>
      </w:r>
      <w:r>
        <w:rPr>
          <w:rFonts w:hint="eastAsia" w:ascii="仿宋_GB2312" w:eastAsia="仿宋_GB2312"/>
          <w:sz w:val="28"/>
          <w:szCs w:val="28"/>
        </w:rPr>
        <w:t>年“三公”经费财政拨款决算数0万元，比202</w:t>
      </w:r>
      <w:r>
        <w:rPr>
          <w:rFonts w:hint="eastAsia" w:ascii="仿宋_GB2312" w:eastAsia="仿宋_GB2312"/>
          <w:sz w:val="28"/>
          <w:szCs w:val="28"/>
          <w:lang w:val="en-US" w:eastAsia="zh-CN"/>
        </w:rPr>
        <w:t>1</w:t>
      </w:r>
      <w:r>
        <w:rPr>
          <w:rFonts w:hint="eastAsia" w:ascii="仿宋_GB2312" w:eastAsia="仿宋_GB2312"/>
          <w:sz w:val="28"/>
          <w:szCs w:val="28"/>
        </w:rPr>
        <w:t>年“三公”经费财政拨款年初预算0万元增加（减少）0万元。其中：</w:t>
      </w:r>
    </w:p>
    <w:p>
      <w:pPr>
        <w:keepNext w:val="0"/>
        <w:keepLines w:val="0"/>
        <w:pageBreakBefore w:val="0"/>
        <w:widowControl w:val="0"/>
        <w:kinsoku/>
        <w:wordWrap/>
        <w:overflowPunct/>
        <w:topLinePunct w:val="0"/>
        <w:bidi w:val="0"/>
        <w:snapToGrid/>
        <w:spacing w:line="560" w:lineRule="exact"/>
        <w:ind w:firstLine="600"/>
        <w:textAlignment w:val="auto"/>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1</w:t>
      </w:r>
      <w:r>
        <w:rPr>
          <w:rFonts w:hint="eastAsia" w:ascii="仿宋_GB2312" w:eastAsia="仿宋_GB2312"/>
          <w:sz w:val="28"/>
          <w:szCs w:val="28"/>
        </w:rPr>
        <w:t>年决算数0万元，比202</w:t>
      </w:r>
      <w:r>
        <w:rPr>
          <w:rFonts w:hint="eastAsia" w:ascii="仿宋_GB2312" w:eastAsia="仿宋_GB2312"/>
          <w:sz w:val="28"/>
          <w:szCs w:val="28"/>
          <w:lang w:val="en-US" w:eastAsia="zh-CN"/>
        </w:rPr>
        <w:t>1</w:t>
      </w:r>
      <w:r>
        <w:rPr>
          <w:rFonts w:hint="eastAsia" w:ascii="仿宋_GB2312" w:eastAsia="仿宋_GB2312"/>
          <w:sz w:val="28"/>
          <w:szCs w:val="28"/>
        </w:rPr>
        <w:t>年年初预算数0万元增加（减少）0万元。主要原因：无因公出国（境）工作。</w:t>
      </w:r>
    </w:p>
    <w:p>
      <w:pPr>
        <w:keepNext w:val="0"/>
        <w:keepLines w:val="0"/>
        <w:pageBreakBefore w:val="0"/>
        <w:widowControl w:val="0"/>
        <w:kinsoku/>
        <w:wordWrap/>
        <w:overflowPunct/>
        <w:topLinePunct w:val="0"/>
        <w:bidi w:val="0"/>
        <w:snapToGrid/>
        <w:spacing w:line="560" w:lineRule="exact"/>
        <w:ind w:firstLine="600"/>
        <w:textAlignment w:val="auto"/>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1</w:t>
      </w:r>
      <w:r>
        <w:rPr>
          <w:rFonts w:hint="eastAsia" w:ascii="仿宋_GB2312" w:eastAsia="仿宋_GB2312"/>
          <w:sz w:val="28"/>
          <w:szCs w:val="28"/>
        </w:rPr>
        <w:t>年决算数0万元，比202</w:t>
      </w:r>
      <w:r>
        <w:rPr>
          <w:rFonts w:hint="eastAsia" w:ascii="仿宋_GB2312" w:eastAsia="仿宋_GB2312"/>
          <w:sz w:val="28"/>
          <w:szCs w:val="28"/>
          <w:lang w:val="en-US" w:eastAsia="zh-CN"/>
        </w:rPr>
        <w:t>1</w:t>
      </w:r>
      <w:r>
        <w:rPr>
          <w:rFonts w:hint="eastAsia" w:ascii="仿宋_GB2312" w:eastAsia="仿宋_GB2312"/>
          <w:sz w:val="28"/>
          <w:szCs w:val="28"/>
        </w:rPr>
        <w:t>年年初预算数0万元增加（减少）0万元。主要原因：无公务接待。</w:t>
      </w:r>
    </w:p>
    <w:p>
      <w:pPr>
        <w:keepNext w:val="0"/>
        <w:keepLines w:val="0"/>
        <w:pageBreakBefore w:val="0"/>
        <w:widowControl w:val="0"/>
        <w:kinsoku/>
        <w:wordWrap/>
        <w:overflowPunct/>
        <w:topLinePunct w:val="0"/>
        <w:bidi w:val="0"/>
        <w:snapToGrid/>
        <w:spacing w:line="560" w:lineRule="exact"/>
        <w:ind w:firstLine="600"/>
        <w:textAlignment w:val="auto"/>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1</w:t>
      </w:r>
      <w:r>
        <w:rPr>
          <w:rFonts w:hint="eastAsia" w:ascii="仿宋_GB2312" w:eastAsia="仿宋_GB2312"/>
          <w:sz w:val="28"/>
          <w:szCs w:val="28"/>
        </w:rPr>
        <w:t>年决算数0万元，比202</w:t>
      </w:r>
      <w:r>
        <w:rPr>
          <w:rFonts w:hint="eastAsia" w:ascii="仿宋_GB2312" w:eastAsia="仿宋_GB2312"/>
          <w:sz w:val="28"/>
          <w:szCs w:val="28"/>
          <w:lang w:val="en-US" w:eastAsia="zh-CN"/>
        </w:rPr>
        <w:t>1</w:t>
      </w:r>
      <w:r>
        <w:rPr>
          <w:rFonts w:hint="eastAsia" w:ascii="仿宋_GB2312" w:eastAsia="仿宋_GB2312"/>
          <w:sz w:val="28"/>
          <w:szCs w:val="28"/>
        </w:rPr>
        <w:t>年年初预算数0万元增加（减少）0万元。其中，公务用车购置费202</w:t>
      </w:r>
      <w:r>
        <w:rPr>
          <w:rFonts w:hint="eastAsia" w:ascii="仿宋_GB2312" w:eastAsia="仿宋_GB2312"/>
          <w:sz w:val="28"/>
          <w:szCs w:val="28"/>
          <w:lang w:val="en-US" w:eastAsia="zh-CN"/>
        </w:rPr>
        <w:t>1</w:t>
      </w:r>
      <w:r>
        <w:rPr>
          <w:rFonts w:hint="eastAsia" w:ascii="仿宋_GB2312" w:eastAsia="仿宋_GB2312"/>
          <w:sz w:val="28"/>
          <w:szCs w:val="28"/>
        </w:rPr>
        <w:t>年决算数0万元，比202</w:t>
      </w:r>
      <w:r>
        <w:rPr>
          <w:rFonts w:hint="eastAsia" w:ascii="仿宋_GB2312" w:eastAsia="仿宋_GB2312"/>
          <w:sz w:val="28"/>
          <w:szCs w:val="28"/>
          <w:lang w:val="en-US" w:eastAsia="zh-CN"/>
        </w:rPr>
        <w:t>1</w:t>
      </w:r>
      <w:r>
        <w:rPr>
          <w:rFonts w:hint="eastAsia" w:ascii="仿宋_GB2312" w:eastAsia="仿宋_GB2312"/>
          <w:sz w:val="28"/>
          <w:szCs w:val="28"/>
        </w:rPr>
        <w:t>年年初预算数0万元增加（减少）0万元。主要原因：无公车。202</w:t>
      </w:r>
      <w:r>
        <w:rPr>
          <w:rFonts w:hint="eastAsia" w:ascii="仿宋_GB2312" w:eastAsia="仿宋_GB2312"/>
          <w:sz w:val="28"/>
          <w:szCs w:val="28"/>
          <w:lang w:val="en-US" w:eastAsia="zh-CN"/>
        </w:rPr>
        <w:t>1</w:t>
      </w:r>
      <w:r>
        <w:rPr>
          <w:rFonts w:hint="eastAsia" w:ascii="仿宋_GB2312" w:eastAsia="仿宋_GB2312"/>
          <w:sz w:val="28"/>
          <w:szCs w:val="28"/>
        </w:rPr>
        <w:t>年购置（更新）0辆，车均购置费0万元。公务用车运行维护费202</w:t>
      </w:r>
      <w:r>
        <w:rPr>
          <w:rFonts w:hint="eastAsia" w:ascii="仿宋_GB2312" w:eastAsia="仿宋_GB2312"/>
          <w:sz w:val="28"/>
          <w:szCs w:val="28"/>
          <w:lang w:val="en-US" w:eastAsia="zh-CN"/>
        </w:rPr>
        <w:t>1</w:t>
      </w:r>
      <w:r>
        <w:rPr>
          <w:rFonts w:hint="eastAsia" w:ascii="仿宋_GB2312" w:eastAsia="仿宋_GB2312"/>
          <w:sz w:val="28"/>
          <w:szCs w:val="28"/>
        </w:rPr>
        <w:t>年决算数0万元，比202</w:t>
      </w:r>
      <w:r>
        <w:rPr>
          <w:rFonts w:hint="eastAsia" w:ascii="仿宋_GB2312" w:eastAsia="仿宋_GB2312"/>
          <w:sz w:val="28"/>
          <w:szCs w:val="28"/>
          <w:lang w:val="en-US" w:eastAsia="zh-CN"/>
        </w:rPr>
        <w:t>1</w:t>
      </w:r>
      <w:r>
        <w:rPr>
          <w:rFonts w:hint="eastAsia" w:ascii="仿宋_GB2312" w:eastAsia="仿宋_GB2312"/>
          <w:sz w:val="28"/>
          <w:szCs w:val="28"/>
        </w:rPr>
        <w:t>年年初预算数0万元增加（减少）0万元，主要原因：无公车。202</w:t>
      </w:r>
      <w:r>
        <w:rPr>
          <w:rFonts w:hint="eastAsia" w:ascii="仿宋_GB2312" w:eastAsia="仿宋_GB2312"/>
          <w:sz w:val="28"/>
          <w:szCs w:val="28"/>
          <w:lang w:val="en-US" w:eastAsia="zh-CN"/>
        </w:rPr>
        <w:t>1</w:t>
      </w:r>
      <w:r>
        <w:rPr>
          <w:rFonts w:hint="eastAsia" w:ascii="仿宋_GB2312" w:eastAsia="仿宋_GB2312"/>
          <w:sz w:val="28"/>
          <w:szCs w:val="28"/>
        </w:rPr>
        <w:t>年公务用车运行维护费中，公务用车加油0万元，公务用车维修0万元，公务用车保险0万元，公务用车其他支出0万元。202</w:t>
      </w:r>
      <w:r>
        <w:rPr>
          <w:rFonts w:hint="eastAsia" w:ascii="仿宋_GB2312" w:eastAsia="仿宋_GB2312"/>
          <w:sz w:val="28"/>
          <w:szCs w:val="28"/>
          <w:lang w:val="en-US" w:eastAsia="zh-CN"/>
        </w:rPr>
        <w:t>1</w:t>
      </w:r>
      <w:r>
        <w:rPr>
          <w:rFonts w:hint="eastAsia" w:ascii="仿宋_GB2312" w:eastAsia="仿宋_GB2312"/>
          <w:sz w:val="28"/>
          <w:szCs w:val="28"/>
        </w:rPr>
        <w:t>年公务用车保有量0辆，车均运行维护费0万元。</w:t>
      </w:r>
    </w:p>
    <w:p>
      <w:pPr>
        <w:keepNext w:val="0"/>
        <w:keepLines w:val="0"/>
        <w:pageBreakBefore w:val="0"/>
        <w:widowControl w:val="0"/>
        <w:tabs>
          <w:tab w:val="center" w:pos="6979"/>
        </w:tabs>
        <w:kinsoku/>
        <w:wordWrap/>
        <w:overflowPunct/>
        <w:topLinePunct w:val="0"/>
        <w:bidi w:val="0"/>
        <w:snapToGrid/>
        <w:spacing w:line="560" w:lineRule="exact"/>
        <w:ind w:firstLine="554" w:firstLineChars="198"/>
        <w:textAlignment w:val="auto"/>
        <w:rPr>
          <w:rFonts w:hint="eastAsia" w:ascii="黑体" w:eastAsia="黑体"/>
          <w:sz w:val="28"/>
          <w:szCs w:val="28"/>
        </w:rPr>
      </w:pPr>
      <w:r>
        <w:rPr>
          <w:rFonts w:hint="eastAsia" w:ascii="黑体" w:eastAsia="黑体"/>
          <w:sz w:val="28"/>
          <w:szCs w:val="28"/>
        </w:rPr>
        <w:t>二、机关运行经费支出情况</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年使用一般公共预算财政拨款安排的基本支出中的日常公用经费支出，合计</w:t>
      </w:r>
      <w:r>
        <w:rPr>
          <w:rFonts w:hint="eastAsia" w:ascii="仿宋_GB2312" w:eastAsia="仿宋_GB2312"/>
          <w:sz w:val="28"/>
          <w:szCs w:val="28"/>
          <w:lang w:val="en-US" w:eastAsia="zh-CN"/>
        </w:rPr>
        <w:t>7.548426</w:t>
      </w:r>
      <w:r>
        <w:rPr>
          <w:rFonts w:hint="eastAsia" w:ascii="仿宋_GB2312" w:eastAsia="仿宋_GB2312"/>
          <w:sz w:val="28"/>
          <w:szCs w:val="28"/>
        </w:rPr>
        <w:t>万元，比上年增加</w:t>
      </w:r>
      <w:r>
        <w:rPr>
          <w:rFonts w:hint="eastAsia" w:ascii="仿宋_GB2312" w:eastAsia="仿宋_GB2312"/>
          <w:sz w:val="28"/>
          <w:szCs w:val="28"/>
          <w:lang w:val="en-US" w:eastAsia="zh-CN"/>
        </w:rPr>
        <w:t>0</w:t>
      </w:r>
      <w:r>
        <w:rPr>
          <w:rFonts w:ascii="仿宋_GB2312" w:eastAsia="仿宋_GB2312"/>
          <w:sz w:val="28"/>
          <w:szCs w:val="28"/>
        </w:rPr>
        <w:t>.</w:t>
      </w:r>
      <w:r>
        <w:rPr>
          <w:rFonts w:hint="eastAsia" w:ascii="仿宋_GB2312" w:eastAsia="仿宋_GB2312"/>
          <w:sz w:val="28"/>
          <w:szCs w:val="28"/>
          <w:lang w:val="en-US" w:eastAsia="zh-CN"/>
        </w:rPr>
        <w:t>479592</w:t>
      </w:r>
      <w:r>
        <w:rPr>
          <w:rFonts w:hint="eastAsia" w:ascii="仿宋_GB2312" w:eastAsia="仿宋_GB2312"/>
          <w:sz w:val="28"/>
          <w:szCs w:val="28"/>
        </w:rPr>
        <w:t>万元，增加原因</w:t>
      </w:r>
      <w:r>
        <w:rPr>
          <w:rFonts w:hint="eastAsia" w:ascii="仿宋_GB2312" w:eastAsia="仿宋_GB2312"/>
          <w:sz w:val="28"/>
          <w:szCs w:val="28"/>
          <w:lang w:eastAsia="zh-CN"/>
        </w:rPr>
        <w:t>：工作人员增加一人</w:t>
      </w:r>
      <w:r>
        <w:rPr>
          <w:rFonts w:hint="eastAsia" w:ascii="仿宋_GB2312" w:eastAsia="仿宋_GB2312"/>
          <w:sz w:val="28"/>
          <w:szCs w:val="28"/>
        </w:rPr>
        <w:t>。</w:t>
      </w:r>
    </w:p>
    <w:p>
      <w:pPr>
        <w:keepNext w:val="0"/>
        <w:keepLines w:val="0"/>
        <w:pageBreakBefore w:val="0"/>
        <w:widowControl w:val="0"/>
        <w:kinsoku/>
        <w:wordWrap/>
        <w:overflowPunct/>
        <w:topLinePunct w:val="0"/>
        <w:bidi w:val="0"/>
        <w:snapToGrid/>
        <w:spacing w:line="560" w:lineRule="exact"/>
        <w:ind w:left="540"/>
        <w:textAlignment w:val="auto"/>
        <w:rPr>
          <w:rFonts w:hint="eastAsia" w:ascii="黑体" w:eastAsia="黑体"/>
          <w:sz w:val="28"/>
          <w:szCs w:val="28"/>
        </w:rPr>
      </w:pPr>
      <w:r>
        <w:rPr>
          <w:rFonts w:hint="eastAsia" w:ascii="黑体" w:eastAsia="黑体"/>
          <w:sz w:val="28"/>
          <w:szCs w:val="28"/>
        </w:rPr>
        <w:t>三、政府采购支出情况</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年政府采购支出总额</w:t>
      </w:r>
      <w:r>
        <w:rPr>
          <w:rFonts w:hint="eastAsia" w:ascii="仿宋_GB2312" w:eastAsia="仿宋_GB2312"/>
          <w:sz w:val="28"/>
          <w:szCs w:val="28"/>
          <w:lang w:val="en-US" w:eastAsia="zh-CN"/>
        </w:rPr>
        <w:t>2.452</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0</w:t>
      </w:r>
      <w:r>
        <w:rPr>
          <w:rFonts w:hint="eastAsia" w:ascii="仿宋_GB2312" w:eastAsia="仿宋_GB2312"/>
          <w:sz w:val="28"/>
          <w:szCs w:val="28"/>
        </w:rPr>
        <w:t>万元，政府采购工程支出</w:t>
      </w:r>
      <w:r>
        <w:rPr>
          <w:rFonts w:hint="eastAsia" w:ascii="仿宋_GB2312" w:eastAsia="仿宋_GB2312"/>
          <w:sz w:val="28"/>
          <w:szCs w:val="28"/>
          <w:lang w:val="en-US" w:eastAsia="zh-CN"/>
        </w:rPr>
        <w:t>0</w:t>
      </w:r>
      <w:r>
        <w:rPr>
          <w:rFonts w:hint="eastAsia" w:ascii="仿宋_GB2312" w:eastAsia="仿宋_GB2312"/>
          <w:sz w:val="28"/>
          <w:szCs w:val="28"/>
        </w:rPr>
        <w:t>万元，政府采购服务支出2.452万元。授予中小企业合同金额2.452万元，占政府采购支出总额的</w:t>
      </w:r>
      <w:r>
        <w:rPr>
          <w:rFonts w:hint="eastAsia" w:ascii="仿宋_GB2312" w:eastAsia="仿宋_GB2312"/>
          <w:sz w:val="28"/>
          <w:szCs w:val="28"/>
          <w:lang w:val="en-US" w:eastAsia="zh-CN"/>
        </w:rPr>
        <w:t>100</w:t>
      </w:r>
      <w:r>
        <w:rPr>
          <w:rFonts w:hint="eastAsia" w:ascii="仿宋_GB2312" w:eastAsia="仿宋_GB2312"/>
          <w:sz w:val="28"/>
          <w:szCs w:val="28"/>
        </w:rPr>
        <w:t>%，其中：授予小微企业合同金额2.452万元，占政府采购支出总额的</w:t>
      </w:r>
      <w:r>
        <w:rPr>
          <w:rFonts w:hint="eastAsia" w:ascii="仿宋_GB2312" w:eastAsia="仿宋_GB2312"/>
          <w:sz w:val="28"/>
          <w:szCs w:val="28"/>
          <w:lang w:val="en-US" w:eastAsia="zh-CN"/>
        </w:rPr>
        <w:t>100</w:t>
      </w:r>
      <w:r>
        <w:rPr>
          <w:rFonts w:hint="eastAsia" w:ascii="仿宋_GB2312" w:eastAsia="仿宋_GB2312"/>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黑体" w:eastAsia="黑体"/>
          <w:sz w:val="28"/>
          <w:szCs w:val="28"/>
        </w:rPr>
      </w:pPr>
      <w:r>
        <w:rPr>
          <w:rFonts w:hint="eastAsia" w:ascii="黑体" w:eastAsia="黑体"/>
          <w:sz w:val="28"/>
          <w:szCs w:val="28"/>
        </w:rPr>
        <w:t>四、国有资产占用情况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我单位在区政府办公区办公，国有资产在机关事务管理处统一核算。</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2021年</w:t>
      </w:r>
      <w:r>
        <w:rPr>
          <w:rFonts w:hint="eastAsia" w:ascii="仿宋_GB2312" w:eastAsia="仿宋_GB2312"/>
          <w:sz w:val="28"/>
          <w:szCs w:val="28"/>
        </w:rPr>
        <w:t>本年度无此项</w:t>
      </w:r>
      <w:r>
        <w:rPr>
          <w:rFonts w:ascii="仿宋_GB2312" w:eastAsia="仿宋_GB2312"/>
          <w:sz w:val="28"/>
          <w:szCs w:val="28"/>
        </w:rPr>
        <w:t>经费</w:t>
      </w:r>
      <w:r>
        <w:rPr>
          <w:rFonts w:hint="eastAsia" w:ascii="仿宋_GB2312" w:eastAsia="仿宋_GB2312"/>
          <w:sz w:val="28"/>
          <w:szCs w:val="28"/>
          <w:lang w:eastAsia="zh-CN"/>
        </w:rPr>
        <w:t>。</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ascii="黑体" w:eastAsia="黑体"/>
          <w:sz w:val="28"/>
          <w:szCs w:val="28"/>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keepNext w:val="0"/>
        <w:keepLines w:val="0"/>
        <w:pageBreakBefore w:val="0"/>
        <w:widowControl w:val="0"/>
        <w:kinsoku/>
        <w:wordWrap/>
        <w:overflowPunct/>
        <w:topLinePunct w:val="0"/>
        <w:bidi w:val="0"/>
        <w:snapToGrid/>
        <w:spacing w:line="560" w:lineRule="exact"/>
        <w:ind w:firstLine="537" w:firstLineChars="192"/>
        <w:textAlignment w:val="auto"/>
        <w:rPr>
          <w:rFonts w:hint="eastAsia" w:ascii="仿宋_GB2312" w:eastAsia="仿宋_GB2312"/>
          <w:sz w:val="28"/>
          <w:szCs w:val="28"/>
        </w:rPr>
      </w:pPr>
      <w:r>
        <w:rPr>
          <w:rFonts w:ascii="仿宋_GB2312" w:eastAsia="仿宋_GB2312"/>
          <w:sz w:val="28"/>
          <w:szCs w:val="28"/>
        </w:rPr>
        <w:t>2021年政府购买服务决算</w:t>
      </w:r>
      <w:r>
        <w:rPr>
          <w:rFonts w:hint="eastAsia" w:ascii="仿宋_GB2312" w:eastAsia="仿宋_GB2312"/>
          <w:sz w:val="28"/>
          <w:szCs w:val="28"/>
          <w:lang w:val="en-US" w:eastAsia="zh-CN"/>
        </w:rPr>
        <w:t>0</w:t>
      </w:r>
      <w:r>
        <w:rPr>
          <w:rFonts w:hint="eastAsia" w:ascii="仿宋_GB2312" w:eastAsia="仿宋_GB2312"/>
          <w:sz w:val="28"/>
          <w:szCs w:val="28"/>
        </w:rPr>
        <w:t>万元。</w:t>
      </w:r>
    </w:p>
    <w:p>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eastAsia"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default" w:eastAsia="仿宋_GB2312"/>
          <w:lang w:val="en-US" w:eastAsia="zh-CN"/>
        </w:rPr>
      </w:pPr>
      <w:r>
        <w:rPr>
          <w:rFonts w:hint="eastAsia" w:ascii="仿宋_GB2312" w:eastAsia="仿宋_GB2312"/>
          <w:sz w:val="28"/>
          <w:szCs w:val="28"/>
          <w:lang w:val="en-US" w:eastAsia="zh-CN"/>
        </w:rPr>
        <w:t>7.群众团体：指我单位的性质是群众团体。</w:t>
      </w:r>
    </w:p>
    <w:p>
      <w:pPr>
        <w:keepNext w:val="0"/>
        <w:keepLines w:val="0"/>
        <w:pageBreakBefore w:val="0"/>
        <w:widowControl w:val="0"/>
        <w:kinsoku/>
        <w:wordWrap/>
        <w:overflowPunct/>
        <w:topLinePunct w:val="0"/>
        <w:bidi w:val="0"/>
        <w:snapToGrid/>
        <w:spacing w:line="560" w:lineRule="exact"/>
        <w:jc w:val="both"/>
        <w:textAlignment w:val="auto"/>
        <w:rPr>
          <w:rFonts w:hint="eastAsia" w:ascii="黑体" w:eastAsia="黑体"/>
          <w:sz w:val="32"/>
          <w:szCs w:val="32"/>
        </w:rPr>
      </w:pPr>
      <w:bookmarkStart w:id="0" w:name="_GoBack"/>
      <w:bookmarkEnd w:id="0"/>
    </w:p>
    <w:p>
      <w:pPr>
        <w:keepNext w:val="0"/>
        <w:keepLines w:val="0"/>
        <w:pageBreakBefore w:val="0"/>
        <w:widowControl w:val="0"/>
        <w:kinsoku/>
        <w:wordWrap/>
        <w:overflowPunct/>
        <w:topLinePunct w:val="0"/>
        <w:bidi w:val="0"/>
        <w:snapToGrid/>
        <w:spacing w:line="560" w:lineRule="exact"/>
        <w:ind w:firstLine="640" w:firstLineChars="200"/>
        <w:jc w:val="center"/>
        <w:textAlignment w:val="auto"/>
        <w:rPr>
          <w:rFonts w:hint="eastAsia" w:ascii="黑体" w:eastAsia="黑体"/>
          <w:sz w:val="32"/>
          <w:szCs w:val="32"/>
        </w:rPr>
      </w:pPr>
      <w:r>
        <w:rPr>
          <w:rFonts w:hint="eastAsia" w:ascii="黑体" w:eastAsia="黑体"/>
          <w:sz w:val="32"/>
          <w:szCs w:val="32"/>
        </w:rPr>
        <w:t>第四部分  2021年度部门绩效评价情况</w:t>
      </w:r>
    </w:p>
    <w:p>
      <w:pPr>
        <w:keepNext w:val="0"/>
        <w:keepLines w:val="0"/>
        <w:pageBreakBefore w:val="0"/>
        <w:widowControl w:val="0"/>
        <w:numPr>
          <w:ilvl w:val="0"/>
          <w:numId w:val="1"/>
        </w:numPr>
        <w:kinsoku/>
        <w:wordWrap/>
        <w:overflowPunct/>
        <w:topLinePunct w:val="0"/>
        <w:bidi w:val="0"/>
        <w:snapToGrid/>
        <w:spacing w:line="560" w:lineRule="exact"/>
        <w:ind w:firstLine="560" w:firstLineChars="200"/>
        <w:textAlignment w:val="auto"/>
        <w:rPr>
          <w:rFonts w:hint="eastAsia" w:ascii="黑体" w:eastAsia="黑体"/>
          <w:sz w:val="28"/>
          <w:szCs w:val="28"/>
        </w:rPr>
      </w:pPr>
      <w:r>
        <w:rPr>
          <w:rFonts w:hint="eastAsia" w:ascii="黑体" w:eastAsia="黑体"/>
          <w:sz w:val="28"/>
          <w:szCs w:val="28"/>
        </w:rPr>
        <w:t>部门整体绩效评价报告</w:t>
      </w:r>
    </w:p>
    <w:p>
      <w:pPr>
        <w:keepNext w:val="0"/>
        <w:keepLines w:val="0"/>
        <w:pageBreakBefore w:val="0"/>
        <w:widowControl w:val="0"/>
        <w:numPr>
          <w:ilvl w:val="0"/>
          <w:numId w:val="2"/>
        </w:numPr>
        <w:kinsoku/>
        <w:wordWrap/>
        <w:overflowPunct/>
        <w:topLinePunct w:val="0"/>
        <w:bidi w:val="0"/>
        <w:snapToGrid/>
        <w:spacing w:line="560" w:lineRule="exact"/>
        <w:ind w:left="105" w:leftChars="50" w:firstLine="420" w:firstLineChars="150"/>
        <w:textAlignment w:val="auto"/>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lang w:eastAsia="zh-CN"/>
        </w:rPr>
        <w:t>部门概况</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机构设置及职责工作任务情况</w:t>
      </w:r>
    </w:p>
    <w:p>
      <w:pPr>
        <w:keepNext w:val="0"/>
        <w:keepLines w:val="0"/>
        <w:pageBreakBefore w:val="0"/>
        <w:widowControl w:val="0"/>
        <w:numPr>
          <w:ilvl w:val="0"/>
          <w:numId w:val="0"/>
        </w:numPr>
        <w:kinsoku/>
        <w:wordWrap/>
        <w:overflowPunct/>
        <w:topLinePunct w:val="0"/>
        <w:bidi w:val="0"/>
        <w:snapToGrid/>
        <w:spacing w:line="560" w:lineRule="exact"/>
        <w:ind w:left="425" w:leftChars="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机构设置：包含行政单位1个（含行政执法机构0个），事业单位0个，侨联不设内设机构。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职责及工作任务：宣传贯彻《中华人民共和国归侨侨眷权益保护法》、北京市《实施办法》等有关规定，协助有关部门做好维权工作。全面掌握丰台区侨情，认真开展调查研究，了解新情况，研究新问题，总结新经验，提出做“侨”工作的意见、建议，给区委当好参谋。组织归侨、侨眷、侨界委员及海外侨胞亲属学习党和政府的侨务政策，开展爱国主义和社会主义教育。做好侨界代表人士的访问、讲学、经贸洽谈的服务工作，鼓励归侨、侨眷及海外侨胞亲属与他们在海外的亲属联系，发挥“侨”的优势，为丰台区经济建设服务。作为侨联工作的长期性任务，认真做好归侨二、三代、留学生及移居海外人员及家属的工作。积极参与协商、推荐人大代表和政协委员中的归侨、侨眷的人选工作。逐步拓展与海外华人、华侨社团的联系，同他们建立稳定而广泛的友谊，促进与各国华侨、华人社团的友好合作，扩大在海外的影响。做好区域性侨务工作，指导街道侨联组织做好基层侨联工作。贯彻“一国两制”方针，会同有关涉“侨”单位，做好维护祖国和平统一工作。负责来信来访接待工作，做好机关的文件管理、保密及信息工作。联合院校、协会等做好海外华裔青少年工作。承办区委交办的其他事项。</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2.部门整体绩效目标设立情况</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绩效目标设立以侨联职责及工作项目具体情况为依据。项目绩效目标是保证单位基本运行，完成侨联发展需要开展的涉及归侨侨眷、海内外华侨华人的宣传、活动等侨联各项工作。项目绩效目标与侨联职责任务匹配度良好，目标合理性强。</w:t>
      </w:r>
    </w:p>
    <w:p>
      <w:pPr>
        <w:keepNext w:val="0"/>
        <w:keepLines w:val="0"/>
        <w:pageBreakBefore w:val="0"/>
        <w:widowControl w:val="0"/>
        <w:numPr>
          <w:ilvl w:val="0"/>
          <w:numId w:val="2"/>
        </w:numPr>
        <w:kinsoku/>
        <w:wordWrap/>
        <w:overflowPunct/>
        <w:topLinePunct w:val="0"/>
        <w:bidi w:val="0"/>
        <w:snapToGrid/>
        <w:spacing w:line="560" w:lineRule="exact"/>
        <w:ind w:left="105" w:leftChars="50" w:firstLine="420" w:firstLineChars="150"/>
        <w:textAlignment w:val="auto"/>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lang w:eastAsia="zh-CN"/>
        </w:rPr>
        <w:t>当年预算执行情况</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2021年全年预算数145.8795万元，其中，基本支出预算数125.5795万元，项目支出预算数20.3万元，其他支出预算数0万元。资金总体支出154.787241万元，其中，基本支出132.280231万元，项目支出19.702389万元，其他支出0万元。预算执行率为106.11%。</w:t>
      </w:r>
    </w:p>
    <w:p>
      <w:pPr>
        <w:keepNext w:val="0"/>
        <w:keepLines w:val="0"/>
        <w:pageBreakBefore w:val="0"/>
        <w:widowControl w:val="0"/>
        <w:numPr>
          <w:ilvl w:val="0"/>
          <w:numId w:val="2"/>
        </w:numPr>
        <w:kinsoku/>
        <w:wordWrap/>
        <w:overflowPunct/>
        <w:topLinePunct w:val="0"/>
        <w:bidi w:val="0"/>
        <w:snapToGrid/>
        <w:spacing w:line="560" w:lineRule="exact"/>
        <w:ind w:left="105" w:leftChars="50" w:firstLine="420" w:firstLineChars="150"/>
        <w:textAlignment w:val="auto"/>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lang w:eastAsia="zh-CN"/>
        </w:rPr>
        <w:t>整体绩效目标实现情况</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1.产出完成情况分析</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（1）产出数量</w:t>
      </w:r>
      <w:r>
        <w:rPr>
          <w:rFonts w:hint="eastAsia" w:ascii="仿宋_GB2312" w:hAnsi="仿宋_GB2312" w:eastAsia="仿宋_GB2312" w:cs="仿宋_GB2312"/>
          <w:color w:val="000000"/>
          <w:kern w:val="0"/>
          <w:sz w:val="28"/>
          <w:szCs w:val="28"/>
          <w:lang w:eastAsia="zh-CN"/>
        </w:rPr>
        <w:t>：项目计划完成个数1个，已经完成。</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（2）产出质量</w:t>
      </w:r>
      <w:r>
        <w:rPr>
          <w:rFonts w:hint="eastAsia" w:ascii="仿宋_GB2312" w:hAnsi="仿宋_GB2312" w:eastAsia="仿宋_GB2312" w:cs="仿宋_GB2312"/>
          <w:color w:val="000000"/>
          <w:kern w:val="0"/>
          <w:sz w:val="28"/>
          <w:szCs w:val="28"/>
          <w:lang w:eastAsia="zh-CN"/>
        </w:rPr>
        <w:t>：完成活动报道次数大于等于2次的质量指标，全年活动报道4次以上，如“海外华裔青少年网上夏令营”“全民阅读进社区 侨之家里学党史”“第十届首都新侨乡文化节合唱专场”“全民阅读进社区 侨之家里学党史”等。</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（3）产出进度</w:t>
      </w:r>
      <w:r>
        <w:rPr>
          <w:rFonts w:hint="eastAsia" w:ascii="仿宋_GB2312" w:hAnsi="仿宋_GB2312" w:eastAsia="仿宋_GB2312" w:cs="仿宋_GB2312"/>
          <w:color w:val="000000"/>
          <w:kern w:val="0"/>
          <w:sz w:val="28"/>
          <w:szCs w:val="28"/>
          <w:lang w:eastAsia="zh-CN"/>
        </w:rPr>
        <w:t>：在年内全部完成。</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（4）产出成本</w:t>
      </w:r>
      <w:r>
        <w:rPr>
          <w:rFonts w:hint="eastAsia" w:ascii="仿宋_GB2312" w:hAnsi="仿宋_GB2312" w:eastAsia="仿宋_GB2312" w:cs="仿宋_GB2312"/>
          <w:color w:val="000000"/>
          <w:kern w:val="0"/>
          <w:sz w:val="28"/>
          <w:szCs w:val="28"/>
          <w:lang w:eastAsia="zh-CN"/>
        </w:rPr>
        <w:t xml:space="preserve">：整体成本可控。项目支出成本控制良好，支出19.702389万元，小于预算数20.3万元。基本支出成本可控，支出132.280231万元 ，预算数125.5795万元，原因在于因受新冠疫情影响，公招人员1名入职时间晚于预算编制时间，2021年追加了人员经费预算。  </w:t>
      </w:r>
      <w:r>
        <w:rPr>
          <w:rFonts w:hint="eastAsia" w:ascii="仿宋_GB2312" w:hAnsi="仿宋_GB2312" w:eastAsia="仿宋_GB2312" w:cs="仿宋_GB2312"/>
          <w:color w:val="000000"/>
          <w:kern w:val="0"/>
          <w:sz w:val="28"/>
          <w:szCs w:val="28"/>
        </w:rPr>
        <w:t xml:space="preserve">                                </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2.效果实现情况分析</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eastAsia="zh-CN"/>
        </w:rPr>
        <w:t>效益指标：已经完成预期目标，对归侨侨眷、海内外华侨华人凝聚力，得到加强；侨联影响力得到提升。全年开展“海外华裔青少年网上夏令营”“第十届首都新侨乡文化节合唱专场”“侨心向党心 庆祝建党100周年”“全民阅读进社区 侨之家里学党史”等多项为侨服务活动，得到归侨侨眷和海外华侨的赞誉和积极良好反馈，取得了很好的宣传效应和社会反响，《北京日报》、《丰台报》等各类媒体刊发相关报道，增进了归侨侨眷和海外华侨对侨联的了解和认知，服务了首都经济社会发展。</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（2）服务对象满意度</w:t>
      </w:r>
      <w:r>
        <w:rPr>
          <w:rFonts w:hint="eastAsia" w:ascii="仿宋_GB2312" w:hAnsi="仿宋_GB2312" w:eastAsia="仿宋_GB2312" w:cs="仿宋_GB2312"/>
          <w:color w:val="000000"/>
          <w:kern w:val="0"/>
          <w:sz w:val="28"/>
          <w:szCs w:val="28"/>
          <w:lang w:eastAsia="zh-CN"/>
        </w:rPr>
        <w:t>：通过向服务对象征求意见结果显示服务对象满意度大于80%的预期目标，完成指标。</w:t>
      </w:r>
    </w:p>
    <w:p>
      <w:pPr>
        <w:keepNext w:val="0"/>
        <w:keepLines w:val="0"/>
        <w:pageBreakBefore w:val="0"/>
        <w:widowControl w:val="0"/>
        <w:numPr>
          <w:ilvl w:val="0"/>
          <w:numId w:val="2"/>
        </w:numPr>
        <w:kinsoku/>
        <w:wordWrap/>
        <w:overflowPunct/>
        <w:topLinePunct w:val="0"/>
        <w:bidi w:val="0"/>
        <w:snapToGrid/>
        <w:spacing w:line="560" w:lineRule="exact"/>
        <w:ind w:left="105" w:leftChars="50" w:firstLine="420" w:firstLineChars="150"/>
        <w:textAlignment w:val="auto"/>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lang w:eastAsia="zh-CN"/>
        </w:rPr>
        <w:t>预算管理情况分析</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1.财务管理</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（1）财务管理制度健全性</w:t>
      </w:r>
      <w:r>
        <w:rPr>
          <w:rFonts w:hint="eastAsia" w:ascii="仿宋_GB2312" w:hAnsi="仿宋_GB2312" w:eastAsia="仿宋_GB2312" w:cs="仿宋_GB2312"/>
          <w:color w:val="000000"/>
          <w:kern w:val="0"/>
          <w:sz w:val="28"/>
          <w:szCs w:val="28"/>
          <w:lang w:eastAsia="zh-CN"/>
        </w:rPr>
        <w:t>：侨联财务由区政府机关事务管理服务中心财务科统一管理，由其按照区财政局制度规定落实财务管理制度的制定和执行，财务管理制度健全性高。</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（2）资金使用合规性和安全性</w:t>
      </w:r>
      <w:r>
        <w:rPr>
          <w:rFonts w:hint="eastAsia" w:ascii="仿宋_GB2312" w:hAnsi="仿宋_GB2312" w:eastAsia="仿宋_GB2312" w:cs="仿宋_GB2312"/>
          <w:color w:val="000000"/>
          <w:kern w:val="0"/>
          <w:sz w:val="28"/>
          <w:szCs w:val="28"/>
          <w:lang w:eastAsia="zh-CN"/>
        </w:rPr>
        <w:t>：侨联资金由区政府机关事务管理服务中心财务科监督、管理，资金使用合规性强，安全性高。</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（3）会计基础信息完善性</w:t>
      </w:r>
      <w:r>
        <w:rPr>
          <w:rFonts w:hint="eastAsia" w:ascii="仿宋_GB2312" w:hAnsi="仿宋_GB2312" w:eastAsia="仿宋_GB2312" w:cs="仿宋_GB2312"/>
          <w:color w:val="000000"/>
          <w:kern w:val="0"/>
          <w:sz w:val="28"/>
          <w:szCs w:val="28"/>
          <w:lang w:eastAsia="zh-CN"/>
        </w:rPr>
        <w:t>：由区政府机关事务管理服务中心财务科负责产生、监督、管理会计基础信息，保障会计基础信息真实、完整，会计基础信息完善性高。</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2.资产管理</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侨联固定资产由区政府机关事务管理服务中心资产科统一管理。流动资产由区政府机关事务管理服务中心财务科监督、管理。侨联开展项目活动产生的低值易耗品，按照财务制度规定执行出入库、领用管理。</w:t>
      </w:r>
    </w:p>
    <w:p>
      <w:pPr>
        <w:keepNext w:val="0"/>
        <w:keepLines w:val="0"/>
        <w:pageBreakBefore w:val="0"/>
        <w:widowControl w:val="0"/>
        <w:numPr>
          <w:ilvl w:val="0"/>
          <w:numId w:val="3"/>
        </w:numPr>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绩效管理</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rPr>
          <w:rFonts w:hint="eastAsia"/>
        </w:rPr>
      </w:pPr>
      <w:r>
        <w:rPr>
          <w:rFonts w:hint="eastAsia" w:ascii="仿宋_GB2312" w:hAnsi="仿宋_GB2312" w:eastAsia="仿宋_GB2312" w:cs="仿宋_GB2312"/>
          <w:sz w:val="28"/>
          <w:szCs w:val="28"/>
          <w:lang w:eastAsia="zh-CN"/>
        </w:rPr>
        <w:t>侨联根据财政局相关要求开展项目绩效监督管理和绩效评价。开展项目目标执行年中监控及自评，开展项目绩效目标和整体绩效目标的年终评价。</w:t>
      </w:r>
    </w:p>
    <w:p>
      <w:pPr>
        <w:keepNext w:val="0"/>
        <w:keepLines w:val="0"/>
        <w:pageBreakBefore w:val="0"/>
        <w:widowControl w:val="0"/>
        <w:numPr>
          <w:ilvl w:val="0"/>
          <w:numId w:val="3"/>
        </w:numPr>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结转结余率</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由区政府机关事务管理服务中心财务科具体负责统计。</w:t>
      </w:r>
    </w:p>
    <w:p>
      <w:pPr>
        <w:keepNext w:val="0"/>
        <w:keepLines w:val="0"/>
        <w:pageBreakBefore w:val="0"/>
        <w:widowControl w:val="0"/>
        <w:numPr>
          <w:ilvl w:val="0"/>
          <w:numId w:val="3"/>
        </w:numPr>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部门预决算差异率</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bidi w:val="0"/>
        <w:snapToGrid/>
        <w:spacing w:line="560" w:lineRule="exact"/>
        <w:ind w:leftChars="200" w:firstLine="280" w:firstLine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由区政府机关事务管理服务中心财务科具体负责统计。</w:t>
      </w:r>
    </w:p>
    <w:p>
      <w:pPr>
        <w:keepNext w:val="0"/>
        <w:keepLines w:val="0"/>
        <w:pageBreakBefore w:val="0"/>
        <w:widowControl w:val="0"/>
        <w:numPr>
          <w:ilvl w:val="0"/>
          <w:numId w:val="2"/>
        </w:numPr>
        <w:kinsoku/>
        <w:wordWrap/>
        <w:overflowPunct/>
        <w:topLinePunct w:val="0"/>
        <w:bidi w:val="0"/>
        <w:snapToGrid/>
        <w:spacing w:line="560" w:lineRule="exact"/>
        <w:ind w:left="105" w:leftChars="50" w:firstLine="420" w:firstLineChars="150"/>
        <w:textAlignment w:val="auto"/>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lang w:eastAsia="zh-CN"/>
        </w:rPr>
        <w:t>总体评价结论</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1.评价得分情况</w:t>
      </w:r>
      <w:r>
        <w:rPr>
          <w:rFonts w:hint="eastAsia" w:ascii="仿宋_GB2312" w:hAnsi="仿宋_GB2312" w:eastAsia="仿宋_GB2312" w:cs="仿宋_GB2312"/>
          <w:sz w:val="28"/>
          <w:szCs w:val="28"/>
          <w:lang w:eastAsia="zh-CN"/>
        </w:rPr>
        <w:t>：根据整体绩效完成情况，评价得分为98分。</w:t>
      </w:r>
    </w:p>
    <w:p>
      <w:pPr>
        <w:keepNext w:val="0"/>
        <w:keepLines w:val="0"/>
        <w:pageBreakBefore w:val="0"/>
        <w:widowControl w:val="0"/>
        <w:kinsoku/>
        <w:wordWrap/>
        <w:overflowPunct/>
        <w:topLinePunct w:val="0"/>
        <w:bidi w:val="0"/>
        <w:snapToGrid/>
        <w:spacing w:line="560" w:lineRule="exact"/>
        <w:ind w:left="105" w:leftChars="50" w:firstLine="420" w:firstLineChars="1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2.存在的问题及原因分析</w:t>
      </w:r>
      <w:r>
        <w:rPr>
          <w:rFonts w:hint="eastAsia" w:ascii="仿宋_GB2312" w:hAnsi="仿宋_GB2312" w:eastAsia="仿宋_GB2312" w:cs="仿宋_GB2312"/>
          <w:sz w:val="28"/>
          <w:szCs w:val="28"/>
          <w:lang w:eastAsia="zh-CN"/>
        </w:rPr>
        <w:t>：无。</w:t>
      </w:r>
    </w:p>
    <w:p>
      <w:pPr>
        <w:pStyle w:val="3"/>
        <w:keepNext w:val="0"/>
        <w:keepLines w:val="0"/>
        <w:pageBreakBefore w:val="0"/>
        <w:widowControl w:val="0"/>
        <w:kinsoku/>
        <w:wordWrap/>
        <w:overflowPunct/>
        <w:topLinePunct w:val="0"/>
        <w:bidi w:val="0"/>
        <w:snapToGrid/>
        <w:spacing w:line="560" w:lineRule="exact"/>
        <w:ind w:firstLine="560"/>
        <w:textAlignment w:val="auto"/>
        <w:rPr>
          <w:rFonts w:hint="eastAsia" w:ascii="楷体" w:hAnsi="楷体" w:eastAsia="楷体" w:cs="楷体"/>
          <w:color w:val="000000"/>
          <w:kern w:val="0"/>
          <w:sz w:val="28"/>
          <w:szCs w:val="28"/>
          <w:lang w:val="en-US" w:eastAsia="zh-CN" w:bidi="ar-SA"/>
        </w:rPr>
      </w:pPr>
      <w:r>
        <w:rPr>
          <w:rFonts w:hint="eastAsia" w:ascii="楷体" w:hAnsi="楷体" w:eastAsia="楷体" w:cs="楷体"/>
          <w:color w:val="000000"/>
          <w:kern w:val="0"/>
          <w:sz w:val="28"/>
          <w:szCs w:val="28"/>
          <w:lang w:val="en-US" w:eastAsia="zh-CN" w:bidi="ar-SA"/>
        </w:rPr>
        <w:t>（六）措施建议</w:t>
      </w:r>
    </w:p>
    <w:p>
      <w:pPr>
        <w:pStyle w:val="3"/>
        <w:keepNext w:val="0"/>
        <w:keepLines w:val="0"/>
        <w:pageBreakBefore w:val="0"/>
        <w:widowControl w:val="0"/>
        <w:kinsoku/>
        <w:wordWrap/>
        <w:overflowPunct/>
        <w:topLinePunct w:val="0"/>
        <w:bidi w:val="0"/>
        <w:snapToGrid/>
        <w:spacing w:line="560" w:lineRule="exact"/>
        <w:ind w:firstLine="560"/>
        <w:textAlignment w:val="auto"/>
        <w:rPr>
          <w:rFonts w:hint="eastAsia" w:ascii="黑体" w:eastAsia="黑体"/>
          <w:sz w:val="28"/>
          <w:szCs w:val="28"/>
        </w:rPr>
      </w:pPr>
      <w:r>
        <w:rPr>
          <w:rFonts w:hint="eastAsia" w:ascii="仿宋_GB2312" w:hAnsi="仿宋_GB2312" w:eastAsia="仿宋_GB2312" w:cs="仿宋_GB2312"/>
          <w:kern w:val="2"/>
          <w:sz w:val="28"/>
          <w:szCs w:val="28"/>
          <w:lang w:val="en-US" w:eastAsia="zh-CN" w:bidi="ar-SA"/>
        </w:rPr>
        <w:t>将进一步加快项目执行进度。建议进一步有针对性地开展绩效评价工作人员的业务培训。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黑体" w:eastAsia="黑体"/>
          <w:sz w:val="28"/>
          <w:szCs w:val="28"/>
        </w:rPr>
      </w:pPr>
      <w:r>
        <w:rPr>
          <w:rFonts w:hint="eastAsia" w:ascii="黑体" w:eastAsia="黑体"/>
          <w:sz w:val="28"/>
          <w:szCs w:val="28"/>
        </w:rPr>
        <w:t>二、项目支出绩效评价报告</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（一）基本情况</w:t>
      </w:r>
    </w:p>
    <w:p>
      <w:pPr>
        <w:keepNext w:val="0"/>
        <w:keepLines w:val="0"/>
        <w:pageBreakBefore w:val="0"/>
        <w:widowControl w:val="0"/>
        <w:kinsoku/>
        <w:wordWrap/>
        <w:overflowPunct/>
        <w:topLinePunct w:val="0"/>
        <w:bidi w:val="0"/>
        <w:snapToGrid/>
        <w:spacing w:line="56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概况。“侨联工作经费”项目是根据侨联人民团体工作职责设置的，全部为区财政拨款，主要用于用于开展服务经济发展，依法维护侨益、拓展海外联谊、积极参政议政、弘扬中华文化、参与社会建设的宣传、活动等侨务工作所需。项目实施情况良好，2021年项目预算资金20.3万元，实际使用19.702389万元，执行率为97.06%。</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绩效目标。项目的总体目标是：保证单位基本运行，完成侨联发展需要开展的涉及归侨侨眷、海内外华侨华人的宣传、活动等侨联各项工作。项目的阶段性目标是：在项目实施阶段，按时开展项目活动，保证活动质量。</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（二）绩效评价工作开展情况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1.绩效评价目的、对象和范围。绩效评价目的是使项目更切合实际需求，评价对象是侨联纳入财政资金的经常性预算项目，评价范围为该项目内所有活动内容。</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评价原则、评价指标体系（附表说明）、评价方法、评价标准等。绩效评价的原则以是否完成项目工作目标为原则，以产出指标，即数量指标、时效指标、成本指标；以及效益指标，即社会效益指标为指标体系，以定性和定量分析作为评价方法，以完成的具体情况作为评价标准。</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3.绩效评价工作过程。绩效评价是侨联财务支出工作的重点内容，评价由侨联以项目实施、进度、完成情况为依据，进行相应评价分析，并出具报告。</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（三）综合评价情况及评价结论（附相关评分表）</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rPr>
      </w:pPr>
      <w:r>
        <w:rPr>
          <w:rFonts w:hint="eastAsia" w:ascii="仿宋_GB2312" w:hAnsi="仿宋_GB2312" w:eastAsia="仿宋_GB2312" w:cs="仿宋_GB2312"/>
          <w:sz w:val="28"/>
          <w:szCs w:val="28"/>
        </w:rPr>
        <w:t>根据对“侨联工作经费”项目进行综合评价，产出指标中的数量指标、时效指标、成本指标，以及效益指标中的社会效益指标各项均符合预期且完成度好，评价综合得分99.7分，项目绩效评价为优秀。</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（四）绩效评价指标分析</w:t>
      </w:r>
    </w:p>
    <w:p>
      <w:pPr>
        <w:keepNext w:val="0"/>
        <w:keepLines w:val="0"/>
        <w:pageBreakBefore w:val="0"/>
        <w:widowControl w:val="0"/>
        <w:kinsoku/>
        <w:wordWrap/>
        <w:overflowPunct/>
        <w:topLinePunct w:val="0"/>
        <w:bidi w:val="0"/>
        <w:snapToGrid/>
        <w:spacing w:line="56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决策情况。项目属于部门履职所需，与部门职责范围相符。项目按照区财政局规定程序申请设立。项目资金使用前经侨联办公会议研究通过，并纳入“三重一大”项目，由区纪委区监察委监督；使用时严格按照财务制度要求执行。</w:t>
      </w:r>
    </w:p>
    <w:p>
      <w:pPr>
        <w:keepNext w:val="0"/>
        <w:keepLines w:val="0"/>
        <w:pageBreakBefore w:val="0"/>
        <w:widowControl w:val="0"/>
        <w:kinsoku/>
        <w:wordWrap/>
        <w:overflowPunct/>
        <w:topLinePunct w:val="0"/>
        <w:bidi w:val="0"/>
        <w:snapToGrid/>
        <w:spacing w:line="56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2.项目过程情况。该项目资金较少故未纳入招投标范畴，由侨联通过财政局财务系统申报并自行组织实施。项目管理情况良好，虽有疫情影响，但各项活动的组织实施符合进度要求，基本完成且活动效果较好。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3.项目产出情况。</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hanging="425" w:firstLineChars="0"/>
        <w:textAlignment w:val="auto"/>
        <w:rPr>
          <w:rFonts w:hint="default" w:ascii="仿宋_GB2312" w:hAnsi="Times New Roman" w:eastAsia="仿宋_GB2312" w:cs="Times New Roman"/>
          <w:bCs/>
          <w:kern w:val="44"/>
          <w:sz w:val="28"/>
          <w:szCs w:val="28"/>
          <w:lang w:val="en-US" w:eastAsia="zh-CN"/>
        </w:rPr>
      </w:pPr>
      <w:r>
        <w:rPr>
          <w:rFonts w:hint="eastAsia" w:ascii="仿宋_GB2312" w:hAnsi="Times New Roman" w:eastAsia="仿宋_GB2312" w:cs="Times New Roman"/>
          <w:bCs/>
          <w:kern w:val="44"/>
          <w:sz w:val="28"/>
          <w:szCs w:val="28"/>
          <w:lang w:eastAsia="zh-CN"/>
        </w:rPr>
        <w:t>数量指标：已经完成，</w:t>
      </w:r>
      <w:r>
        <w:rPr>
          <w:rFonts w:hint="eastAsia" w:ascii="仿宋_GB2312" w:hAnsi="Times New Roman" w:eastAsia="仿宋_GB2312" w:cs="Times New Roman"/>
          <w:bCs/>
          <w:kern w:val="44"/>
          <w:sz w:val="28"/>
          <w:szCs w:val="28"/>
          <w:lang w:val="en-US" w:eastAsia="zh-CN"/>
        </w:rPr>
        <w:t>全年实际开展侨联工作11个</w:t>
      </w:r>
      <w:r>
        <w:rPr>
          <w:rFonts w:hint="eastAsia" w:ascii="仿宋_GB2312" w:hAnsi="Times New Roman" w:eastAsia="仿宋_GB2312" w:cs="Times New Roman"/>
          <w:bCs/>
          <w:kern w:val="44"/>
          <w:sz w:val="28"/>
          <w:szCs w:val="28"/>
          <w:lang w:eastAsia="zh-CN"/>
        </w:rPr>
        <w:t>，超出开展侨联工作大于等于</w:t>
      </w:r>
      <w:r>
        <w:rPr>
          <w:rFonts w:hint="eastAsia" w:ascii="仿宋_GB2312" w:hAnsi="Times New Roman" w:eastAsia="仿宋_GB2312" w:cs="Times New Roman"/>
          <w:bCs/>
          <w:kern w:val="44"/>
          <w:sz w:val="28"/>
          <w:szCs w:val="28"/>
          <w:lang w:val="en-US" w:eastAsia="zh-CN"/>
        </w:rPr>
        <w:t>2次的目标。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hanging="425" w:firstLineChars="0"/>
        <w:textAlignment w:val="auto"/>
        <w:rPr>
          <w:rFonts w:hint="eastAsia" w:ascii="仿宋_GB2312" w:hAnsi="Times New Roman" w:eastAsia="仿宋_GB2312" w:cs="Times New Roman"/>
          <w:bCs/>
          <w:kern w:val="44"/>
          <w:sz w:val="28"/>
          <w:szCs w:val="28"/>
          <w:lang w:val="en-US" w:eastAsia="zh-CN"/>
        </w:rPr>
      </w:pPr>
      <w:r>
        <w:rPr>
          <w:rFonts w:hint="eastAsia" w:ascii="仿宋_GB2312" w:hAnsi="Times New Roman" w:eastAsia="仿宋_GB2312" w:cs="Times New Roman"/>
          <w:bCs/>
          <w:kern w:val="44"/>
          <w:sz w:val="28"/>
          <w:szCs w:val="28"/>
          <w:lang w:val="en-US" w:eastAsia="zh-CN"/>
        </w:rPr>
        <w:t>时效指标：已经实现，全部项目均在当年完成。</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hanging="425" w:firstLineChars="0"/>
        <w:textAlignment w:val="auto"/>
        <w:rPr>
          <w:rFonts w:hint="eastAsia" w:ascii="仿宋_GB2312" w:hAnsi="Times New Roman" w:eastAsia="仿宋_GB2312" w:cs="Times New Roman"/>
          <w:bCs/>
          <w:kern w:val="44"/>
          <w:sz w:val="28"/>
          <w:szCs w:val="28"/>
          <w:lang w:val="en-US" w:eastAsia="zh-CN"/>
        </w:rPr>
      </w:pPr>
      <w:r>
        <w:rPr>
          <w:rFonts w:hint="eastAsia" w:ascii="仿宋_GB2312" w:hAnsi="Times New Roman" w:eastAsia="仿宋_GB2312" w:cs="Times New Roman"/>
          <w:bCs/>
          <w:kern w:val="44"/>
          <w:sz w:val="28"/>
          <w:szCs w:val="28"/>
          <w:lang w:val="en-US" w:eastAsia="zh-CN"/>
        </w:rPr>
        <w:t>成本指标：项目</w:t>
      </w:r>
      <w:r>
        <w:rPr>
          <w:rFonts w:hint="eastAsia" w:ascii="仿宋_GB2312" w:hAnsi="Times New Roman" w:eastAsia="仿宋_GB2312" w:cs="Times New Roman"/>
          <w:bCs/>
          <w:kern w:val="44"/>
          <w:sz w:val="28"/>
          <w:szCs w:val="28"/>
        </w:rPr>
        <w:t>预算成本控制良好，</w:t>
      </w:r>
      <w:r>
        <w:rPr>
          <w:rFonts w:hint="eastAsia" w:ascii="仿宋_GB2312" w:hAnsi="Times New Roman" w:eastAsia="仿宋_GB2312" w:cs="Times New Roman"/>
          <w:bCs/>
          <w:kern w:val="44"/>
          <w:sz w:val="28"/>
          <w:szCs w:val="28"/>
          <w:lang w:eastAsia="zh-CN"/>
        </w:rPr>
        <w:t>完成成本为</w:t>
      </w:r>
      <w:r>
        <w:rPr>
          <w:rFonts w:hint="eastAsia" w:ascii="仿宋_GB2312" w:hAnsi="宋体" w:eastAsia="仿宋_GB2312" w:cs="宋体"/>
          <w:color w:val="000000"/>
          <w:kern w:val="0"/>
          <w:sz w:val="28"/>
          <w:szCs w:val="28"/>
        </w:rPr>
        <w:t>19</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702389</w:t>
      </w:r>
      <w:r>
        <w:rPr>
          <w:rFonts w:hint="eastAsia" w:ascii="仿宋_GB2312" w:hAnsi="宋体" w:eastAsia="仿宋_GB2312" w:cs="宋体"/>
          <w:color w:val="000000"/>
          <w:kern w:val="0"/>
          <w:sz w:val="28"/>
          <w:szCs w:val="28"/>
          <w:lang w:eastAsia="zh-CN"/>
        </w:rPr>
        <w:t>万元，</w:t>
      </w:r>
      <w:r>
        <w:rPr>
          <w:rFonts w:hint="eastAsia" w:ascii="仿宋_GB2312" w:hAnsi="Times New Roman" w:eastAsia="仿宋_GB2312" w:cs="Times New Roman"/>
          <w:bCs/>
          <w:kern w:val="44"/>
          <w:sz w:val="28"/>
          <w:szCs w:val="28"/>
          <w:lang w:eastAsia="zh-CN"/>
        </w:rPr>
        <w:t>没有超出</w:t>
      </w:r>
      <w:r>
        <w:rPr>
          <w:rFonts w:hint="eastAsia" w:ascii="仿宋_GB2312" w:hAnsi="Times New Roman" w:eastAsia="仿宋_GB2312" w:cs="Times New Roman"/>
          <w:bCs/>
          <w:kern w:val="44"/>
          <w:sz w:val="28"/>
          <w:szCs w:val="28"/>
          <w:lang w:val="en-US" w:eastAsia="zh-CN"/>
        </w:rPr>
        <w:t>20.3万元的预算成本指标。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hanging="425" w:firstLineChars="0"/>
        <w:textAlignment w:val="auto"/>
        <w:rPr>
          <w:rFonts w:hint="eastAsia" w:ascii="仿宋_GB2312" w:hAnsi="Times New Roman" w:eastAsia="仿宋_GB2312" w:cs="Times New Roman"/>
          <w:bCs/>
          <w:kern w:val="44"/>
          <w:sz w:val="28"/>
          <w:szCs w:val="28"/>
          <w:lang w:eastAsia="zh-CN"/>
        </w:rPr>
      </w:pPr>
      <w:r>
        <w:rPr>
          <w:rFonts w:hint="eastAsia" w:ascii="仿宋_GB2312" w:hAnsi="Times New Roman" w:eastAsia="仿宋_GB2312" w:cs="Times New Roman"/>
          <w:bCs/>
          <w:kern w:val="44"/>
          <w:sz w:val="28"/>
          <w:szCs w:val="28"/>
        </w:rPr>
        <w:t>项目预算以节约为前提根据需求合理制定，预算落实以节约为前提落实</w:t>
      </w:r>
      <w:r>
        <w:rPr>
          <w:rFonts w:hint="eastAsia" w:ascii="仿宋_GB2312" w:hAnsi="Times New Roman" w:eastAsia="仿宋_GB2312" w:cs="Times New Roman"/>
          <w:bCs/>
          <w:kern w:val="44"/>
          <w:sz w:val="28"/>
          <w:szCs w:val="28"/>
          <w:lang w:eastAsia="zh-CN"/>
        </w:rPr>
        <w:t>，</w:t>
      </w:r>
      <w:r>
        <w:rPr>
          <w:rFonts w:hint="eastAsia" w:ascii="仿宋_GB2312" w:hAnsi="Times New Roman" w:eastAsia="仿宋_GB2312" w:cs="Times New Roman"/>
          <w:bCs/>
          <w:kern w:val="44"/>
          <w:sz w:val="28"/>
          <w:szCs w:val="28"/>
        </w:rPr>
        <w:t>完成</w:t>
      </w:r>
      <w:r>
        <w:rPr>
          <w:rFonts w:hint="eastAsia" w:ascii="仿宋_GB2312" w:hAnsi="Times New Roman" w:eastAsia="仿宋_GB2312" w:cs="Times New Roman"/>
          <w:bCs/>
          <w:kern w:val="44"/>
          <w:sz w:val="28"/>
          <w:szCs w:val="28"/>
          <w:lang w:eastAsia="zh-CN"/>
        </w:rPr>
        <w:t>数量多、时效性强、成本可控。</w:t>
      </w:r>
    </w:p>
    <w:p>
      <w:pPr>
        <w:keepNext w:val="0"/>
        <w:keepLines w:val="0"/>
        <w:pageBreakBefore w:val="0"/>
        <w:widowControl w:val="0"/>
        <w:kinsoku/>
        <w:wordWrap/>
        <w:overflowPunct/>
        <w:topLinePunct w:val="0"/>
        <w:bidi w:val="0"/>
        <w:snapToGrid/>
        <w:spacing w:line="56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项目效益情况。项目的社会效益指标已经完成预期目标，归侨侨眷和海外华侨的凝聚力得到增强，侨联影响力得到提升。全年开展“海外华裔青少年网上夏令营”“第十届首都新侨乡文化节合唱专场”“侨心向党心 庆祝建党100周年”“全民阅读进社区 侨之家里学党史”等多项为侨服务活动，得到归侨侨眷和海外华侨的赞誉和积极良好反馈，取得了很好的宣传效应和社会反响，《北京日报》、《丰台报》等各类媒体刊发相关报道，增进了归侨侨眷和海外华侨对侨联的了解和认知，服务了首都经济社会发展。</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（五）主要经验及做法、存在的问题及原因分析</w:t>
      </w:r>
      <w:r>
        <w:rPr>
          <w:rFonts w:hint="eastAsia" w:ascii="仿宋_GB2312" w:hAnsi="仿宋_GB2312" w:eastAsia="仿宋_GB2312" w:cs="仿宋_GB2312"/>
          <w:sz w:val="28"/>
          <w:szCs w:val="28"/>
          <w:lang w:eastAsia="zh-CN"/>
        </w:rPr>
        <w:t>。 该项目预算合理、资金使用合规、监控有效，工作及财务管理制度健全、执行有效、项目质量可控，取得了良好的预期效果。侨联依据项目绩效目标开展侨务工作，在执行中虽受到新冠肺炎疫情影响，但是侨联奋力开展群众工作取得了良好的效果。</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（六）有关建议</w:t>
      </w:r>
      <w:r>
        <w:rPr>
          <w:rFonts w:hint="eastAsia" w:ascii="仿宋_GB2312" w:hAnsi="仿宋_GB2312" w:eastAsia="仿宋_GB2312" w:cs="仿宋_GB2312"/>
          <w:sz w:val="28"/>
          <w:szCs w:val="28"/>
          <w:lang w:eastAsia="zh-CN"/>
        </w:rPr>
        <w:t>：进一步加强对绩效评价工作人员的培训。</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lang w:eastAsia="zh-CN"/>
        </w:rPr>
      </w:pPr>
      <w:r>
        <w:rPr>
          <w:rFonts w:hint="eastAsia" w:ascii="仿宋_GB2312" w:hAnsi="仿宋_GB2312" w:eastAsia="仿宋_GB2312" w:cs="仿宋_GB2312"/>
          <w:sz w:val="28"/>
          <w:szCs w:val="28"/>
        </w:rPr>
        <w:t>（七）其他需要说明的问题</w:t>
      </w:r>
      <w:r>
        <w:rPr>
          <w:rFonts w:hint="eastAsia" w:ascii="仿宋_GB2312" w:hAnsi="仿宋_GB2312" w:eastAsia="仿宋_GB2312" w:cs="仿宋_GB2312"/>
          <w:sz w:val="28"/>
          <w:szCs w:val="28"/>
          <w:lang w:eastAsia="zh-CN"/>
        </w:rPr>
        <w:t>：无。</w:t>
      </w:r>
    </w:p>
    <w:p>
      <w:pPr>
        <w:spacing w:line="580" w:lineRule="exact"/>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p>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仿宋_GB2312" w:hAnsi="宋体" w:eastAsia="仿宋_GB2312" w:cs="Times New Roman"/>
          <w:sz w:val="28"/>
          <w:szCs w:val="28"/>
        </w:rPr>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1</w:t>
      </w:r>
      <w:r>
        <w:rPr>
          <w:rFonts w:hint="eastAsia" w:ascii="仿宋_GB2312" w:hAnsi="宋体" w:eastAsia="仿宋_GB2312" w:cs="Times New Roman"/>
          <w:sz w:val="28"/>
          <w:szCs w:val="28"/>
        </w:rPr>
        <w:t>年度）</w:t>
      </w:r>
    </w:p>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Times New Roman"/>
          <w:sz w:val="30"/>
          <w:szCs w:val="30"/>
        </w:rPr>
      </w:pPr>
    </w:p>
    <w:tbl>
      <w:tblPr>
        <w:tblStyle w:val="10"/>
        <w:tblW w:w="9297" w:type="dxa"/>
        <w:jc w:val="center"/>
        <w:tblLayout w:type="fixed"/>
        <w:tblCellMar>
          <w:top w:w="0" w:type="dxa"/>
          <w:left w:w="108" w:type="dxa"/>
          <w:bottom w:w="0" w:type="dxa"/>
          <w:right w:w="108" w:type="dxa"/>
        </w:tblCellMar>
      </w:tblPr>
      <w:tblGrid>
        <w:gridCol w:w="585"/>
        <w:gridCol w:w="975"/>
        <w:gridCol w:w="1105"/>
        <w:gridCol w:w="727"/>
        <w:gridCol w:w="1127"/>
        <w:gridCol w:w="100"/>
        <w:gridCol w:w="1223"/>
        <w:gridCol w:w="903"/>
        <w:gridCol w:w="132"/>
        <w:gridCol w:w="435"/>
        <w:gridCol w:w="170"/>
        <w:gridCol w:w="497"/>
        <w:gridCol w:w="349"/>
        <w:gridCol w:w="969"/>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37" w:type="dxa"/>
            <w:gridSpan w:val="1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侨联</w:t>
            </w:r>
            <w:r>
              <w:rPr>
                <w:rFonts w:hint="eastAsia" w:ascii="仿宋_GB2312" w:hAnsi="宋体" w:eastAsia="仿宋_GB2312" w:cs="宋体"/>
                <w:kern w:val="0"/>
                <w:szCs w:val="21"/>
                <w:lang w:eastAsia="zh-CN"/>
              </w:rPr>
              <w:t>工作</w:t>
            </w:r>
            <w:r>
              <w:rPr>
                <w:rFonts w:hint="eastAsia" w:ascii="仿宋_GB2312" w:hAnsi="宋体" w:eastAsia="仿宋_GB2312" w:cs="宋体"/>
                <w:kern w:val="0"/>
                <w:szCs w:val="21"/>
              </w:rPr>
              <w:t>经费</w:t>
            </w:r>
          </w:p>
        </w:tc>
      </w:tr>
      <w:tr>
        <w:tblPrEx>
          <w:tblCellMar>
            <w:top w:w="0" w:type="dxa"/>
            <w:left w:w="108" w:type="dxa"/>
            <w:bottom w:w="0" w:type="dxa"/>
            <w:right w:w="108" w:type="dxa"/>
          </w:tblCellMar>
        </w:tblPrEx>
        <w:trPr>
          <w:trHeight w:val="523"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282"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北京市丰台区归国华侨联合会</w:t>
            </w:r>
          </w:p>
        </w:tc>
        <w:tc>
          <w:tcPr>
            <w:tcW w:w="103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2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北京市丰台区归国华侨联合会</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282"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洪鑫</w:t>
            </w:r>
          </w:p>
        </w:tc>
        <w:tc>
          <w:tcPr>
            <w:tcW w:w="103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2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83656758</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年初预</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全年预</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3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全年</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0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9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45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lang w:val="en-US" w:eastAsia="zh-CN"/>
              </w:rPr>
              <w:t>20.3</w:t>
            </w:r>
            <w:r>
              <w:rPr>
                <w:rFonts w:hint="eastAsia" w:ascii="仿宋_GB2312" w:hAnsi="宋体" w:eastAsia="仿宋_GB2312" w:cs="宋体"/>
                <w:kern w:val="0"/>
                <w:szCs w:val="21"/>
              </w:rPr>
              <w:t>万元</w:t>
            </w:r>
          </w:p>
        </w:tc>
        <w:tc>
          <w:tcPr>
            <w:tcW w:w="13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lang w:val="en-US" w:eastAsia="zh-CN"/>
              </w:rPr>
              <w:t>20.3</w:t>
            </w:r>
            <w:r>
              <w:rPr>
                <w:rFonts w:hint="eastAsia" w:ascii="仿宋_GB2312" w:hAnsi="宋体" w:eastAsia="仿宋_GB2312" w:cs="宋体"/>
                <w:kern w:val="0"/>
                <w:szCs w:val="21"/>
              </w:rPr>
              <w:t>万元</w:t>
            </w:r>
          </w:p>
        </w:tc>
        <w:tc>
          <w:tcPr>
            <w:tcW w:w="103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lang w:val="en-US" w:eastAsia="zh-CN"/>
              </w:rPr>
              <w:t>19.702389</w:t>
            </w:r>
            <w:r>
              <w:rPr>
                <w:rFonts w:hint="eastAsia" w:ascii="仿宋_GB2312" w:hAnsi="宋体" w:eastAsia="仿宋_GB2312" w:cs="宋体"/>
                <w:kern w:val="0"/>
                <w:szCs w:val="21"/>
              </w:rPr>
              <w:t>万元</w:t>
            </w:r>
          </w:p>
        </w:tc>
        <w:tc>
          <w:tcPr>
            <w:tcW w:w="60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97</w:t>
            </w:r>
            <w:r>
              <w:rPr>
                <w:rFonts w:hint="eastAsia" w:ascii="仿宋_GB2312" w:hAnsi="宋体" w:eastAsia="仿宋_GB2312" w:cs="宋体"/>
                <w:kern w:val="0"/>
                <w:szCs w:val="21"/>
                <w:lang w:val="en-US" w:eastAsia="zh-CN"/>
              </w:rPr>
              <w:t>.06</w:t>
            </w:r>
            <w:r>
              <w:rPr>
                <w:rFonts w:hint="eastAsia" w:ascii="仿宋_GB2312" w:hAnsi="宋体" w:eastAsia="仿宋_GB2312" w:cs="宋体"/>
                <w:kern w:val="0"/>
                <w:szCs w:val="21"/>
              </w:rPr>
              <w:t>%</w:t>
            </w:r>
          </w:p>
        </w:tc>
        <w:tc>
          <w:tcPr>
            <w:tcW w:w="9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9.7</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其中：当年财政</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20.3</w:t>
            </w:r>
            <w:r>
              <w:rPr>
                <w:rFonts w:hint="eastAsia" w:ascii="仿宋_GB2312" w:hAnsi="宋体" w:eastAsia="仿宋_GB2312" w:cs="宋体"/>
                <w:kern w:val="0"/>
                <w:szCs w:val="21"/>
              </w:rPr>
              <w:t>万元</w:t>
            </w:r>
          </w:p>
        </w:tc>
        <w:tc>
          <w:tcPr>
            <w:tcW w:w="13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20.3</w:t>
            </w:r>
            <w:r>
              <w:rPr>
                <w:rFonts w:hint="eastAsia" w:ascii="仿宋_GB2312" w:hAnsi="宋体" w:eastAsia="仿宋_GB2312" w:cs="宋体"/>
                <w:kern w:val="0"/>
                <w:szCs w:val="21"/>
              </w:rPr>
              <w:t>万元</w:t>
            </w:r>
          </w:p>
        </w:tc>
        <w:tc>
          <w:tcPr>
            <w:tcW w:w="103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lang w:val="en-US" w:eastAsia="zh-CN"/>
              </w:rPr>
              <w:t>19.702389万元</w:t>
            </w:r>
          </w:p>
        </w:tc>
        <w:tc>
          <w:tcPr>
            <w:tcW w:w="60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97</w:t>
            </w:r>
            <w:r>
              <w:rPr>
                <w:rFonts w:hint="eastAsia" w:ascii="仿宋_GB2312" w:hAnsi="宋体" w:eastAsia="仿宋_GB2312" w:cs="宋体"/>
                <w:kern w:val="0"/>
                <w:szCs w:val="21"/>
                <w:lang w:val="en-US" w:eastAsia="zh-CN"/>
              </w:rPr>
              <w:t>.06</w:t>
            </w:r>
            <w:r>
              <w:rPr>
                <w:rFonts w:hint="eastAsia" w:ascii="仿宋_GB2312" w:hAnsi="宋体" w:eastAsia="仿宋_GB2312" w:cs="宋体"/>
                <w:kern w:val="0"/>
                <w:szCs w:val="21"/>
              </w:rPr>
              <w:t>%</w:t>
            </w:r>
          </w:p>
        </w:tc>
        <w:tc>
          <w:tcPr>
            <w:tcW w:w="9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3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3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0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3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3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0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257"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55"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87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5257"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lang w:eastAsia="zh-CN"/>
              </w:rPr>
            </w:pPr>
            <w:r>
              <w:rPr>
                <w:rFonts w:hint="eastAsia" w:ascii="仿宋_GB2312" w:hAnsi="宋体" w:eastAsia="仿宋_GB2312" w:cs="宋体"/>
                <w:kern w:val="0"/>
                <w:szCs w:val="21"/>
              </w:rPr>
              <w:t>做好侨联各项工作，开展归侨侨眷、海内外华侨的各项工作</w:t>
            </w:r>
            <w:r>
              <w:rPr>
                <w:rFonts w:hint="eastAsia" w:ascii="仿宋_GB2312" w:hAnsi="宋体" w:eastAsia="仿宋_GB2312" w:cs="宋体"/>
                <w:kern w:val="0"/>
                <w:szCs w:val="21"/>
                <w:lang w:eastAsia="zh-CN"/>
              </w:rPr>
              <w:t>。拓展与海外华人、华侨社团的联系；做好老归侨工作，组织相关活动；做好基层侨联工作，开展活动；做好华人华侨、归侨二、三代、留学生、侨眷及家属的工作，开展相关活动；加强侨联组织建设，发挥“侨”的优势，参与志愿服务活动，依法维护侨益等，为丰台区首都中心城区建设和经济建设服务。维护侨联网站，保障丰台区侨联的侨务信息及时有效地对外公布。保障信息的安全，有效提升公信力。维护系统安全，通过软硬件结合的方式，热灾备及自动备份信息，有效妥善保存数据信息，促进工作提升到新的台阶。</w:t>
            </w:r>
          </w:p>
        </w:tc>
        <w:tc>
          <w:tcPr>
            <w:tcW w:w="3455"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很好地完成了</w:t>
            </w:r>
            <w:r>
              <w:rPr>
                <w:rFonts w:hint="eastAsia" w:ascii="仿宋_GB2312" w:hAnsi="宋体" w:eastAsia="仿宋_GB2312" w:cs="宋体"/>
                <w:kern w:val="0"/>
                <w:szCs w:val="21"/>
              </w:rPr>
              <w:t>侨联各项工作，开展归侨侨眷、海内外华侨</w:t>
            </w:r>
            <w:r>
              <w:rPr>
                <w:rFonts w:hint="eastAsia" w:ascii="仿宋_GB2312" w:hAnsi="宋体" w:eastAsia="仿宋_GB2312" w:cs="宋体"/>
                <w:kern w:val="0"/>
                <w:szCs w:val="21"/>
                <w:lang w:eastAsia="zh-CN"/>
              </w:rPr>
              <w:t>的各项工作。开展了海外华裔青少年网上夏令营、承办新侨乡文化节合唱专场、开展侨法宣传和志愿服务活动、慰问老归侨、困侨、侨界代表人士、维护网站和网络系统安全、出版《丰台侨讯》、开展侨联换届工作等。</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1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Cs w:val="21"/>
              </w:rPr>
            </w:pPr>
            <w:r>
              <w:rPr>
                <w:rFonts w:hint="eastAsia" w:ascii="仿宋_GB2312" w:hAnsi="仿宋_GB2312" w:eastAsia="仿宋_GB2312" w:cs="仿宋_GB2312"/>
                <w:sz w:val="21"/>
                <w:szCs w:val="21"/>
              </w:rPr>
              <w:t>开展侨联工作次数</w:t>
            </w:r>
          </w:p>
        </w:tc>
        <w:tc>
          <w:tcPr>
            <w:tcW w:w="12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lang w:eastAsia="zh-CN"/>
              </w:rPr>
            </w:pP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lang w:eastAsia="zh-CN"/>
              </w:rPr>
              <w:t>次</w:t>
            </w:r>
          </w:p>
        </w:tc>
        <w:tc>
          <w:tcPr>
            <w:tcW w:w="9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个</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0</w:t>
            </w:r>
          </w:p>
        </w:tc>
        <w:tc>
          <w:tcPr>
            <w:tcW w:w="6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0</w:t>
            </w:r>
          </w:p>
        </w:tc>
        <w:tc>
          <w:tcPr>
            <w:tcW w:w="13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时效指标</w:t>
            </w:r>
          </w:p>
        </w:tc>
        <w:tc>
          <w:tcPr>
            <w:tcW w:w="195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完成时间</w:t>
            </w:r>
          </w:p>
        </w:tc>
        <w:tc>
          <w:tcPr>
            <w:tcW w:w="12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全年</w:t>
            </w:r>
          </w:p>
        </w:tc>
        <w:tc>
          <w:tcPr>
            <w:tcW w:w="9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全年</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10</w:t>
            </w:r>
          </w:p>
        </w:tc>
        <w:tc>
          <w:tcPr>
            <w:tcW w:w="6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10</w:t>
            </w:r>
          </w:p>
        </w:tc>
        <w:tc>
          <w:tcPr>
            <w:tcW w:w="13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2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20.3</w:t>
            </w:r>
            <w:r>
              <w:rPr>
                <w:rFonts w:hint="eastAsia" w:ascii="仿宋_GB2312" w:hAnsi="宋体" w:eastAsia="仿宋_GB2312" w:cs="宋体"/>
                <w:kern w:val="0"/>
                <w:szCs w:val="21"/>
              </w:rPr>
              <w:t>万元</w:t>
            </w:r>
          </w:p>
        </w:tc>
        <w:tc>
          <w:tcPr>
            <w:tcW w:w="9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19.7</w:t>
            </w:r>
            <w:r>
              <w:rPr>
                <w:rFonts w:hint="eastAsia" w:ascii="仿宋_GB2312" w:hAnsi="宋体" w:eastAsia="仿宋_GB2312" w:cs="宋体"/>
                <w:kern w:val="0"/>
                <w:szCs w:val="21"/>
              </w:rPr>
              <w:t>万元</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0</w:t>
            </w:r>
          </w:p>
        </w:tc>
        <w:tc>
          <w:tcPr>
            <w:tcW w:w="6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0</w:t>
            </w:r>
          </w:p>
        </w:tc>
        <w:tc>
          <w:tcPr>
            <w:tcW w:w="13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归侨侨眷和海外华侨的凝聚力</w:t>
            </w:r>
          </w:p>
        </w:tc>
        <w:tc>
          <w:tcPr>
            <w:tcW w:w="12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得到加强</w:t>
            </w:r>
          </w:p>
        </w:tc>
        <w:tc>
          <w:tcPr>
            <w:tcW w:w="9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lang w:eastAsia="zh-CN"/>
              </w:rPr>
              <w:t>得到加强</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0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c>
          <w:tcPr>
            <w:tcW w:w="195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Cs w:val="21"/>
                <w:lang w:eastAsia="zh-CN"/>
              </w:rPr>
            </w:pPr>
            <w:r>
              <w:rPr>
                <w:rFonts w:hint="eastAsia" w:ascii="仿宋_GB2312" w:hAnsi="宋体" w:eastAsia="仿宋_GB2312" w:cs="宋体"/>
                <w:kern w:val="0"/>
                <w:szCs w:val="21"/>
              </w:rPr>
              <w:t>侨联影响力</w:t>
            </w:r>
          </w:p>
        </w:tc>
        <w:tc>
          <w:tcPr>
            <w:tcW w:w="12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得到提升</w:t>
            </w:r>
          </w:p>
        </w:tc>
        <w:tc>
          <w:tcPr>
            <w:tcW w:w="9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lang w:eastAsia="zh-CN"/>
              </w:rPr>
              <w:t>得到提升</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0</w:t>
            </w:r>
          </w:p>
        </w:tc>
        <w:tc>
          <w:tcPr>
            <w:tcW w:w="6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0</w:t>
            </w:r>
          </w:p>
        </w:tc>
        <w:tc>
          <w:tcPr>
            <w:tcW w:w="13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74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9</w:t>
            </w:r>
            <w:r>
              <w:rPr>
                <w:rFonts w:hint="eastAsia" w:ascii="仿宋_GB2312" w:hAnsi="宋体" w:eastAsia="仿宋_GB2312" w:cs="宋体"/>
                <w:color w:val="000000"/>
                <w:kern w:val="0"/>
                <w:szCs w:val="21"/>
                <w:lang w:val="en-US" w:eastAsia="zh-CN"/>
              </w:rPr>
              <w:t>9.7</w:t>
            </w:r>
          </w:p>
        </w:tc>
        <w:tc>
          <w:tcPr>
            <w:tcW w:w="13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eastAsia="仿宋_GB2312" w:cs="宋体"/>
                <w:kern w:val="0"/>
                <w:szCs w:val="21"/>
              </w:rPr>
            </w:pPr>
          </w:p>
        </w:tc>
      </w:tr>
    </w:tbl>
    <w:p>
      <w:pPr>
        <w:pStyle w:val="2"/>
        <w:rPr>
          <w:rFonts w:hint="eastAsia"/>
        </w:rPr>
      </w:pPr>
    </w:p>
    <w:p>
      <w:pPr>
        <w:spacing w:line="480" w:lineRule="exact"/>
        <w:jc w:val="both"/>
        <w:rPr>
          <w:rFonts w:hint="eastAsia" w:ascii="黑体" w:eastAsia="黑体"/>
          <w:sz w:val="32"/>
          <w:szCs w:val="32"/>
        </w:rPr>
      </w:pPr>
      <w:r>
        <w:rPr>
          <w:rFonts w:hint="eastAsia" w:ascii="黑体" w:eastAsia="黑体"/>
          <w:sz w:val="32"/>
          <w:szCs w:val="32"/>
        </w:rPr>
        <w:t xml:space="preserve"> </w:t>
      </w: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lang w:val="en-US" w:eastAsia="zh-CN"/>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DEC471"/>
    <w:multiLevelType w:val="singleLevel"/>
    <w:tmpl w:val="AEDEC471"/>
    <w:lvl w:ilvl="0" w:tentative="0">
      <w:start w:val="1"/>
      <w:numFmt w:val="chineseCounting"/>
      <w:suff w:val="nothing"/>
      <w:lvlText w:val="（%1）"/>
      <w:lvlJc w:val="left"/>
      <w:rPr>
        <w:rFonts w:hint="eastAsia"/>
      </w:rPr>
    </w:lvl>
  </w:abstractNum>
  <w:abstractNum w:abstractNumId="1">
    <w:nsid w:val="D7FFB472"/>
    <w:multiLevelType w:val="singleLevel"/>
    <w:tmpl w:val="D7FFB472"/>
    <w:lvl w:ilvl="0" w:tentative="0">
      <w:start w:val="1"/>
      <w:numFmt w:val="chineseCounting"/>
      <w:suff w:val="nothing"/>
      <w:lvlText w:val="%1、"/>
      <w:lvlJc w:val="left"/>
      <w:rPr>
        <w:rFonts w:hint="eastAsia"/>
      </w:rPr>
    </w:lvl>
  </w:abstractNum>
  <w:abstractNum w:abstractNumId="2">
    <w:nsid w:val="2BA44214"/>
    <w:multiLevelType w:val="singleLevel"/>
    <w:tmpl w:val="2BA44214"/>
    <w:lvl w:ilvl="0" w:tentative="0">
      <w:start w:val="1"/>
      <w:numFmt w:val="decimal"/>
      <w:lvlText w:val="(%1)"/>
      <w:lvlJc w:val="left"/>
      <w:pPr>
        <w:tabs>
          <w:tab w:val="left" w:pos="420"/>
        </w:tabs>
        <w:ind w:left="845" w:hanging="425"/>
      </w:pPr>
      <w:rPr>
        <w:rFonts w:hint="default"/>
      </w:rPr>
    </w:lvl>
  </w:abstractNum>
  <w:abstractNum w:abstractNumId="3">
    <w:nsid w:val="424068A3"/>
    <w:multiLevelType w:val="singleLevel"/>
    <w:tmpl w:val="424068A3"/>
    <w:lvl w:ilvl="0" w:tentative="0">
      <w:start w:val="3"/>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0246"/>
    <w:rsid w:val="00003B03"/>
    <w:rsid w:val="000040E6"/>
    <w:rsid w:val="00011D72"/>
    <w:rsid w:val="00027CD5"/>
    <w:rsid w:val="00031B8E"/>
    <w:rsid w:val="00033EC1"/>
    <w:rsid w:val="00034224"/>
    <w:rsid w:val="00040275"/>
    <w:rsid w:val="0004719C"/>
    <w:rsid w:val="00047F6E"/>
    <w:rsid w:val="00051B00"/>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6854"/>
    <w:rsid w:val="000E0B26"/>
    <w:rsid w:val="000E3291"/>
    <w:rsid w:val="000F08FE"/>
    <w:rsid w:val="000F2A48"/>
    <w:rsid w:val="000F49BE"/>
    <w:rsid w:val="00100246"/>
    <w:rsid w:val="0010682D"/>
    <w:rsid w:val="001073C6"/>
    <w:rsid w:val="00107DB5"/>
    <w:rsid w:val="0011483D"/>
    <w:rsid w:val="00115724"/>
    <w:rsid w:val="00130995"/>
    <w:rsid w:val="00131FF9"/>
    <w:rsid w:val="00132320"/>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50E"/>
    <w:rsid w:val="00291C98"/>
    <w:rsid w:val="00294DE9"/>
    <w:rsid w:val="002A1488"/>
    <w:rsid w:val="002A4C2B"/>
    <w:rsid w:val="002B19D0"/>
    <w:rsid w:val="002B3682"/>
    <w:rsid w:val="002B5464"/>
    <w:rsid w:val="002B6CC9"/>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701651"/>
    <w:rsid w:val="00701DA4"/>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351E9"/>
    <w:rsid w:val="00937862"/>
    <w:rsid w:val="00942279"/>
    <w:rsid w:val="009524EB"/>
    <w:rsid w:val="00962013"/>
    <w:rsid w:val="00963942"/>
    <w:rsid w:val="0096716C"/>
    <w:rsid w:val="009672B2"/>
    <w:rsid w:val="00971C66"/>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A27"/>
    <w:rsid w:val="00AB3FB0"/>
    <w:rsid w:val="00AB465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45D3"/>
    <w:rsid w:val="00F356ED"/>
    <w:rsid w:val="00F359B5"/>
    <w:rsid w:val="00F4144F"/>
    <w:rsid w:val="00F433F3"/>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47E0C34"/>
    <w:rsid w:val="07A06F92"/>
    <w:rsid w:val="0EE45912"/>
    <w:rsid w:val="1C96CAB6"/>
    <w:rsid w:val="1DF3E524"/>
    <w:rsid w:val="2A4E3146"/>
    <w:rsid w:val="34123E52"/>
    <w:rsid w:val="3CFFD38A"/>
    <w:rsid w:val="3DF7BC2D"/>
    <w:rsid w:val="4E703C3C"/>
    <w:rsid w:val="56FA3A80"/>
    <w:rsid w:val="601E508B"/>
    <w:rsid w:val="6C1545D1"/>
    <w:rsid w:val="6CF96EF5"/>
    <w:rsid w:val="73E81A6F"/>
    <w:rsid w:val="7D08410F"/>
    <w:rsid w:val="D8FF64A3"/>
    <w:rsid w:val="E9BB220B"/>
    <w:rsid w:val="EF0F2CF3"/>
    <w:rsid w:val="F7FB4260"/>
    <w:rsid w:val="FAF98CF7"/>
    <w:rsid w:val="FEFF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next w:val="1"/>
    <w:semiHidden/>
    <w:unhideWhenUsed/>
    <w:qFormat/>
    <w:uiPriority w:val="9"/>
    <w:pPr>
      <w:keepNext/>
      <w:keepLines/>
      <w:widowControl w:val="0"/>
      <w:spacing w:before="280" w:beforeLines="0" w:beforeAutospacing="0" w:after="290" w:afterLines="0" w:afterAutospacing="0" w:line="372" w:lineRule="auto"/>
      <w:jc w:val="both"/>
      <w:outlineLvl w:val="3"/>
    </w:pPr>
    <w:rPr>
      <w:rFonts w:ascii="Arial" w:hAnsi="Arial" w:eastAsia="黑体" w:cstheme="minorBidi"/>
      <w:b/>
      <w:kern w:val="2"/>
      <w:sz w:val="28"/>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basedOn w:val="11"/>
    <w:qFormat/>
    <w:uiPriority w:val="0"/>
  </w:style>
  <w:style w:type="character" w:customStyle="1" w:styleId="14">
    <w:name w:val="页眉 Char"/>
    <w:link w:val="8"/>
    <w:qFormat/>
    <w:uiPriority w:val="0"/>
    <w:rPr>
      <w:rFonts w:ascii="Calibri" w:hAnsi="Calibri" w:eastAsia="宋体"/>
      <w:kern w:val="2"/>
      <w:sz w:val="18"/>
      <w:szCs w:val="18"/>
      <w:lang w:val="en-US" w:eastAsia="zh-CN" w:bidi="ar-SA"/>
    </w:rPr>
  </w:style>
  <w:style w:type="character" w:customStyle="1" w:styleId="15">
    <w:name w:val="页脚 Char"/>
    <w:link w:val="7"/>
    <w:qFormat/>
    <w:uiPriority w:val="0"/>
    <w:rPr>
      <w:rFonts w:eastAsia="宋体"/>
      <w:kern w:val="2"/>
      <w:sz w:val="18"/>
      <w:szCs w:val="18"/>
      <w:lang w:val="en-US" w:eastAsia="zh-CN" w:bidi="ar-SA"/>
    </w:rPr>
  </w:style>
  <w:style w:type="paragraph" w:customStyle="1" w:styleId="16">
    <w:name w:val="Char Char3 Char Char"/>
    <w:basedOn w:val="1"/>
    <w:qFormat/>
    <w:uiPriority w:val="0"/>
    <w:rPr>
      <w:szCs w:val="21"/>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 Char Char Char Char Char Char Char"/>
    <w:basedOn w:val="1"/>
    <w:qFormat/>
    <w:uiPriority w:val="0"/>
    <w:rPr>
      <w:rFonts w:ascii="Tahoma" w:hAnsi="Tahoma"/>
      <w:sz w:val="24"/>
      <w:szCs w:val="20"/>
    </w:rPr>
  </w:style>
  <w:style w:type="paragraph" w:customStyle="1" w:styleId="19">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847</Words>
  <Characters>4834</Characters>
  <Lines>40</Lines>
  <Paragraphs>11</Paragraphs>
  <TotalTime>31</TotalTime>
  <ScaleCrop>false</ScaleCrop>
  <LinksUpToDate>false</LinksUpToDate>
  <CharactersWithSpaces>5670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2022-06-27T08:46:00Z</dcterms:created>
  <dc:creator>Administrator</dc:creator>
  <cp:lastModifiedBy>SYSTEM</cp:lastModifiedBy>
  <cp:lastPrinted>2022-05-26T18:27:00Z</cp:lastPrinted>
  <dcterms:modified xsi:type="dcterms:W3CDTF">2022-07-05T06:38:20Z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